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FD730">
      <w:pPr>
        <w:bidi w:val="0"/>
        <w:rPr>
          <w:color w:val="auto"/>
          <w:highlight w:val="none"/>
        </w:rPr>
      </w:pPr>
    </w:p>
    <w:p w14:paraId="3C1B7AA5">
      <w:pPr>
        <w:bidi w:val="0"/>
        <w:rPr>
          <w:color w:val="auto"/>
          <w:highlight w:val="none"/>
        </w:rPr>
      </w:pPr>
    </w:p>
    <w:p w14:paraId="549F0284">
      <w:pPr>
        <w:bidi w:val="0"/>
        <w:rPr>
          <w:color w:val="auto"/>
          <w:highlight w:val="none"/>
        </w:rPr>
      </w:pPr>
    </w:p>
    <w:p w14:paraId="342B1745">
      <w:pPr>
        <w:bidi w:val="0"/>
        <w:rPr>
          <w:color w:val="auto"/>
          <w:highlight w:val="none"/>
        </w:rPr>
      </w:pPr>
    </w:p>
    <w:p w14:paraId="49E09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color w:val="auto"/>
          <w:sz w:val="72"/>
          <w:szCs w:val="72"/>
          <w:highlight w:val="none"/>
        </w:rPr>
      </w:pPr>
      <w:r>
        <w:rPr>
          <w:rFonts w:hint="eastAsia" w:ascii="方正小标宋_GBK" w:hAnsi="方正小标宋_GBK" w:eastAsia="方正小标宋_GBK" w:cs="方正小标宋_GBK"/>
          <w:color w:val="auto"/>
          <w:sz w:val="72"/>
          <w:szCs w:val="72"/>
          <w:highlight w:val="none"/>
        </w:rPr>
        <w:t>建设项目环境影响报告表</w:t>
      </w:r>
    </w:p>
    <w:p w14:paraId="1355E688">
      <w:pPr>
        <w:keepNext w:val="0"/>
        <w:keepLines w:val="0"/>
        <w:pageBreakBefore w:val="0"/>
        <w:widowControl w:val="0"/>
        <w:kinsoku/>
        <w:wordWrap/>
        <w:overflowPunct/>
        <w:topLinePunct w:val="0"/>
        <w:autoSpaceDE/>
        <w:autoSpaceDN/>
        <w:bidi w:val="0"/>
        <w:adjustRightInd w:val="0"/>
        <w:snapToGrid w:val="0"/>
        <w:spacing w:before="157" w:beforeLines="50"/>
        <w:ind w:firstLine="0" w:firstLineChars="0"/>
        <w:jc w:val="center"/>
        <w:textAlignment w:val="auto"/>
        <w:rPr>
          <w:rFonts w:eastAsia="楷体"/>
          <w:bCs/>
          <w:color w:val="auto"/>
          <w:sz w:val="48"/>
          <w:szCs w:val="48"/>
          <w:highlight w:val="none"/>
        </w:rPr>
      </w:pPr>
      <w:r>
        <w:rPr>
          <w:rFonts w:eastAsia="楷体"/>
          <w:bCs/>
          <w:color w:val="auto"/>
          <w:sz w:val="48"/>
          <w:szCs w:val="48"/>
          <w:highlight w:val="none"/>
        </w:rPr>
        <w:t>（污染影响类）</w:t>
      </w:r>
    </w:p>
    <w:p w14:paraId="51AB15E7">
      <w:pPr>
        <w:bidi w:val="0"/>
        <w:rPr>
          <w:color w:val="auto"/>
          <w:highlight w:val="none"/>
        </w:rPr>
      </w:pPr>
    </w:p>
    <w:p w14:paraId="491E9303">
      <w:pPr>
        <w:bidi w:val="0"/>
        <w:rPr>
          <w:color w:val="auto"/>
          <w:highlight w:val="none"/>
        </w:rPr>
      </w:pPr>
    </w:p>
    <w:p w14:paraId="0452F576">
      <w:pPr>
        <w:bidi w:val="0"/>
        <w:rPr>
          <w:color w:val="auto"/>
          <w:highlight w:val="none"/>
        </w:rPr>
      </w:pPr>
    </w:p>
    <w:p w14:paraId="2EA9BE90">
      <w:pPr>
        <w:bidi w:val="0"/>
        <w:rPr>
          <w:color w:val="auto"/>
          <w:highlight w:val="none"/>
        </w:rPr>
      </w:pPr>
    </w:p>
    <w:p w14:paraId="67A840AF">
      <w:pPr>
        <w:bidi w:val="0"/>
        <w:rPr>
          <w:color w:val="auto"/>
          <w:highlight w:val="none"/>
        </w:rPr>
      </w:pPr>
    </w:p>
    <w:p w14:paraId="64D38E39">
      <w:pPr>
        <w:bidi w:val="0"/>
        <w:rPr>
          <w:color w:val="auto"/>
          <w:highlight w:val="none"/>
        </w:rPr>
      </w:pPr>
    </w:p>
    <w:tbl>
      <w:tblPr>
        <w:tblStyle w:val="18"/>
        <w:tblpPr w:leftFromText="180" w:rightFromText="180" w:vertAnchor="text" w:horzAnchor="page" w:tblpXSpec="center" w:tblpY="385"/>
        <w:tblOverlap w:val="never"/>
        <w:tblW w:w="7919" w:type="dxa"/>
        <w:jc w:val="center"/>
        <w:tblLayout w:type="fixed"/>
        <w:tblCellMar>
          <w:top w:w="0" w:type="dxa"/>
          <w:left w:w="108" w:type="dxa"/>
          <w:bottom w:w="0" w:type="dxa"/>
          <w:right w:w="108" w:type="dxa"/>
        </w:tblCellMar>
      </w:tblPr>
      <w:tblGrid>
        <w:gridCol w:w="2010"/>
        <w:gridCol w:w="5909"/>
      </w:tblGrid>
      <w:tr w14:paraId="4E175391">
        <w:tblPrEx>
          <w:tblCellMar>
            <w:top w:w="0" w:type="dxa"/>
            <w:left w:w="108" w:type="dxa"/>
            <w:bottom w:w="0" w:type="dxa"/>
            <w:right w:w="108" w:type="dxa"/>
          </w:tblCellMar>
        </w:tblPrEx>
        <w:trPr>
          <w:trHeight w:val="975" w:hRule="atLeast"/>
          <w:jc w:val="center"/>
        </w:trPr>
        <w:tc>
          <w:tcPr>
            <w:tcW w:w="2010" w:type="dxa"/>
            <w:noWrap w:val="0"/>
            <w:vAlign w:val="bottom"/>
          </w:tcPr>
          <w:p w14:paraId="666BA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rFonts w:hint="default" w:eastAsia="仿宋"/>
                <w:color w:val="auto"/>
                <w:sz w:val="32"/>
                <w:szCs w:val="32"/>
                <w:highlight w:val="none"/>
                <w:u w:val="none"/>
              </w:rPr>
            </w:pPr>
            <w:r>
              <w:rPr>
                <w:rFonts w:hint="default" w:eastAsia="仿宋"/>
                <w:color w:val="auto"/>
                <w:sz w:val="32"/>
                <w:szCs w:val="32"/>
                <w:highlight w:val="none"/>
                <w:u w:val="none"/>
              </w:rPr>
              <w:t>项目名称：</w:t>
            </w:r>
          </w:p>
        </w:tc>
        <w:tc>
          <w:tcPr>
            <w:tcW w:w="5909" w:type="dxa"/>
            <w:tcBorders>
              <w:bottom w:val="single" w:color="auto" w:sz="4" w:space="0"/>
            </w:tcBorders>
            <w:noWrap w:val="0"/>
            <w:vAlign w:val="bottom"/>
          </w:tcPr>
          <w:p w14:paraId="172D0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仿宋"/>
                <w:color w:val="auto"/>
                <w:sz w:val="32"/>
                <w:szCs w:val="32"/>
                <w:highlight w:val="none"/>
                <w:u w:val="none"/>
              </w:rPr>
            </w:pPr>
            <w:r>
              <w:rPr>
                <w:rFonts w:hint="default" w:eastAsia="仿宋"/>
                <w:color w:val="auto"/>
                <w:sz w:val="32"/>
                <w:szCs w:val="32"/>
                <w:highlight w:val="none"/>
                <w:u w:val="none"/>
              </w:rPr>
              <w:t>环境检测</w:t>
            </w:r>
            <w:r>
              <w:rPr>
                <w:rFonts w:hint="eastAsia" w:eastAsia="仿宋"/>
                <w:color w:val="auto"/>
                <w:sz w:val="32"/>
                <w:szCs w:val="32"/>
                <w:highlight w:val="none"/>
                <w:u w:val="none"/>
                <w:lang w:val="en-US" w:eastAsia="zh-CN"/>
              </w:rPr>
              <w:t>实验室</w:t>
            </w:r>
            <w:r>
              <w:rPr>
                <w:rFonts w:hint="default" w:eastAsia="仿宋"/>
                <w:color w:val="auto"/>
                <w:sz w:val="32"/>
                <w:szCs w:val="32"/>
                <w:highlight w:val="none"/>
                <w:u w:val="none"/>
              </w:rPr>
              <w:t>项目</w:t>
            </w:r>
          </w:p>
        </w:tc>
      </w:tr>
      <w:tr w14:paraId="0F9EEC3B">
        <w:tblPrEx>
          <w:tblCellMar>
            <w:top w:w="0" w:type="dxa"/>
            <w:left w:w="108" w:type="dxa"/>
            <w:bottom w:w="0" w:type="dxa"/>
            <w:right w:w="108" w:type="dxa"/>
          </w:tblCellMar>
        </w:tblPrEx>
        <w:trPr>
          <w:trHeight w:val="882" w:hRule="atLeast"/>
          <w:jc w:val="center"/>
        </w:trPr>
        <w:tc>
          <w:tcPr>
            <w:tcW w:w="2010" w:type="dxa"/>
            <w:noWrap w:val="0"/>
            <w:vAlign w:val="bottom"/>
          </w:tcPr>
          <w:p w14:paraId="549ECC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rFonts w:hint="default" w:eastAsia="仿宋"/>
                <w:color w:val="auto"/>
                <w:sz w:val="32"/>
                <w:szCs w:val="32"/>
                <w:highlight w:val="none"/>
                <w:u w:val="none"/>
              </w:rPr>
            </w:pPr>
            <w:r>
              <w:rPr>
                <w:rFonts w:hint="default" w:eastAsia="仿宋"/>
                <w:color w:val="auto"/>
                <w:sz w:val="32"/>
                <w:szCs w:val="32"/>
                <w:highlight w:val="none"/>
                <w:u w:val="none"/>
              </w:rPr>
              <w:t>建设单位：</w:t>
            </w:r>
          </w:p>
        </w:tc>
        <w:tc>
          <w:tcPr>
            <w:tcW w:w="5909" w:type="dxa"/>
            <w:tcBorders>
              <w:top w:val="single" w:color="auto" w:sz="4" w:space="0"/>
              <w:bottom w:val="single" w:color="auto" w:sz="4" w:space="0"/>
            </w:tcBorders>
            <w:noWrap w:val="0"/>
            <w:vAlign w:val="bottom"/>
          </w:tcPr>
          <w:p w14:paraId="3F1EED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仿宋"/>
                <w:color w:val="auto"/>
                <w:sz w:val="32"/>
                <w:szCs w:val="32"/>
                <w:highlight w:val="none"/>
                <w:u w:val="none"/>
              </w:rPr>
            </w:pPr>
            <w:r>
              <w:rPr>
                <w:rFonts w:hint="eastAsia" w:eastAsia="仿宋"/>
                <w:color w:val="auto"/>
                <w:sz w:val="32"/>
                <w:szCs w:val="32"/>
                <w:highlight w:val="none"/>
                <w:u w:val="none"/>
                <w:lang w:val="en-US" w:eastAsia="zh-CN"/>
              </w:rPr>
              <w:t>安徽环晟环保科技有限</w:t>
            </w:r>
            <w:r>
              <w:rPr>
                <w:rFonts w:hint="eastAsia" w:eastAsia="仿宋"/>
                <w:color w:val="auto"/>
                <w:sz w:val="32"/>
                <w:szCs w:val="32"/>
                <w:highlight w:val="none"/>
                <w:u w:val="none"/>
              </w:rPr>
              <w:t>公司</w:t>
            </w:r>
          </w:p>
        </w:tc>
      </w:tr>
      <w:tr w14:paraId="364CB963">
        <w:tblPrEx>
          <w:tblCellMar>
            <w:top w:w="0" w:type="dxa"/>
            <w:left w:w="108" w:type="dxa"/>
            <w:bottom w:w="0" w:type="dxa"/>
            <w:right w:w="108" w:type="dxa"/>
          </w:tblCellMar>
        </w:tblPrEx>
        <w:trPr>
          <w:trHeight w:val="893" w:hRule="atLeast"/>
          <w:jc w:val="center"/>
        </w:trPr>
        <w:tc>
          <w:tcPr>
            <w:tcW w:w="2010" w:type="dxa"/>
            <w:noWrap w:val="0"/>
            <w:vAlign w:val="bottom"/>
          </w:tcPr>
          <w:p w14:paraId="68881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right"/>
              <w:textAlignment w:val="auto"/>
              <w:rPr>
                <w:rFonts w:hint="default" w:eastAsia="仿宋"/>
                <w:color w:val="auto"/>
                <w:sz w:val="32"/>
                <w:szCs w:val="32"/>
                <w:highlight w:val="none"/>
                <w:u w:val="none"/>
              </w:rPr>
            </w:pPr>
            <w:r>
              <w:rPr>
                <w:rFonts w:hint="default" w:eastAsia="仿宋"/>
                <w:color w:val="auto"/>
                <w:sz w:val="32"/>
                <w:szCs w:val="32"/>
                <w:highlight w:val="none"/>
                <w:u w:val="none"/>
              </w:rPr>
              <w:t>编制日期：</w:t>
            </w:r>
          </w:p>
        </w:tc>
        <w:tc>
          <w:tcPr>
            <w:tcW w:w="5909" w:type="dxa"/>
            <w:tcBorders>
              <w:top w:val="single" w:color="auto" w:sz="4" w:space="0"/>
              <w:bottom w:val="single" w:color="auto" w:sz="4" w:space="0"/>
            </w:tcBorders>
            <w:noWrap w:val="0"/>
            <w:vAlign w:val="bottom"/>
          </w:tcPr>
          <w:p w14:paraId="76774A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仿宋"/>
                <w:color w:val="auto"/>
                <w:sz w:val="32"/>
                <w:szCs w:val="32"/>
                <w:highlight w:val="none"/>
                <w:u w:val="none"/>
              </w:rPr>
            </w:pPr>
            <w:bookmarkStart w:id="0" w:name="_Toc36872067"/>
            <w:r>
              <w:rPr>
                <w:rFonts w:hint="default" w:eastAsia="仿宋"/>
                <w:color w:val="auto"/>
                <w:sz w:val="32"/>
                <w:szCs w:val="32"/>
                <w:highlight w:val="none"/>
                <w:u w:val="none"/>
              </w:rPr>
              <w:t>202</w:t>
            </w:r>
            <w:r>
              <w:rPr>
                <w:rFonts w:hint="eastAsia" w:eastAsia="仿宋"/>
                <w:color w:val="auto"/>
                <w:sz w:val="32"/>
                <w:szCs w:val="32"/>
                <w:highlight w:val="none"/>
                <w:u w:val="none"/>
                <w:lang w:val="en-US" w:eastAsia="zh-CN"/>
              </w:rPr>
              <w:t>5</w:t>
            </w:r>
            <w:r>
              <w:rPr>
                <w:rFonts w:hint="default" w:eastAsia="仿宋"/>
                <w:color w:val="auto"/>
                <w:sz w:val="32"/>
                <w:szCs w:val="32"/>
                <w:highlight w:val="none"/>
                <w:u w:val="none"/>
              </w:rPr>
              <w:t>年</w:t>
            </w:r>
            <w:bookmarkEnd w:id="0"/>
            <w:r>
              <w:rPr>
                <w:rFonts w:hint="eastAsia" w:eastAsia="仿宋"/>
                <w:color w:val="0000FF"/>
                <w:sz w:val="32"/>
                <w:szCs w:val="32"/>
                <w:highlight w:val="none"/>
                <w:u w:val="none"/>
                <w:lang w:val="en-US" w:eastAsia="zh-CN"/>
              </w:rPr>
              <w:t>11</w:t>
            </w:r>
            <w:r>
              <w:rPr>
                <w:rFonts w:hint="default" w:eastAsia="仿宋"/>
                <w:color w:val="auto"/>
                <w:sz w:val="32"/>
                <w:szCs w:val="32"/>
                <w:highlight w:val="none"/>
                <w:u w:val="none"/>
              </w:rPr>
              <w:t>月</w:t>
            </w:r>
          </w:p>
        </w:tc>
      </w:tr>
    </w:tbl>
    <w:p w14:paraId="110ABE46">
      <w:pPr>
        <w:bidi w:val="0"/>
        <w:rPr>
          <w:color w:val="auto"/>
          <w:highlight w:val="none"/>
        </w:rPr>
      </w:pPr>
      <w:bookmarkStart w:id="1" w:name="_Hlk57884087"/>
    </w:p>
    <w:p w14:paraId="5EDA3E8A">
      <w:pPr>
        <w:bidi w:val="0"/>
        <w:rPr>
          <w:rFonts w:hint="eastAsia"/>
          <w:color w:val="auto"/>
          <w:highlight w:val="none"/>
        </w:rPr>
      </w:pPr>
    </w:p>
    <w:p w14:paraId="0F1CCE34">
      <w:pPr>
        <w:bidi w:val="0"/>
        <w:rPr>
          <w:rFonts w:hint="eastAsia"/>
          <w:color w:val="auto"/>
          <w:highlight w:val="none"/>
        </w:rPr>
      </w:pPr>
    </w:p>
    <w:p w14:paraId="21055407">
      <w:pPr>
        <w:bidi w:val="0"/>
        <w:rPr>
          <w:color w:val="auto"/>
          <w:highlight w:val="none"/>
        </w:rPr>
      </w:pPr>
    </w:p>
    <w:p w14:paraId="692F91FD">
      <w:pPr>
        <w:bidi w:val="0"/>
        <w:rPr>
          <w:color w:val="auto"/>
          <w:highlight w:val="none"/>
        </w:rPr>
      </w:pPr>
    </w:p>
    <w:p w14:paraId="3B8BB47F">
      <w:pPr>
        <w:bidi w:val="0"/>
        <w:rPr>
          <w:color w:val="auto"/>
          <w:highlight w:val="none"/>
        </w:rPr>
      </w:pPr>
    </w:p>
    <w:p w14:paraId="0BE577D7">
      <w:pPr>
        <w:bidi w:val="0"/>
        <w:rPr>
          <w:color w:val="auto"/>
          <w:highlight w:val="none"/>
        </w:rPr>
      </w:pPr>
    </w:p>
    <w:bookmarkEnd w:id="1"/>
    <w:p w14:paraId="0AF4FA3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eastAsia="楷体"/>
          <w:color w:val="auto"/>
          <w:sz w:val="36"/>
          <w:szCs w:val="36"/>
          <w:highlight w:val="none"/>
        </w:rPr>
      </w:pPr>
      <w:r>
        <w:rPr>
          <w:rFonts w:eastAsia="楷体"/>
          <w:color w:val="auto"/>
          <w:sz w:val="36"/>
          <w:szCs w:val="36"/>
          <w:highlight w:val="none"/>
        </w:rPr>
        <w:t>中华人民共和国生态环境部制</w:t>
      </w:r>
    </w:p>
    <w:p w14:paraId="78FBA6F3">
      <w:pPr>
        <w:adjustRightInd w:val="0"/>
        <w:snapToGrid w:val="0"/>
        <w:spacing w:line="288" w:lineRule="auto"/>
        <w:ind w:firstLine="1040"/>
        <w:rPr>
          <w:rFonts w:eastAsia="仿宋"/>
          <w:color w:val="auto"/>
          <w:sz w:val="36"/>
          <w:szCs w:val="36"/>
          <w:highlight w:val="none"/>
        </w:rPr>
        <w:sectPr>
          <w:footerReference r:id="rId5" w:type="default"/>
          <w:pgSz w:w="11906" w:h="16838"/>
          <w:pgMar w:top="1440" w:right="1531" w:bottom="1440"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3C32256">
      <w:pPr>
        <w:pStyle w:val="3"/>
        <w:bidi w:val="0"/>
        <w:rPr>
          <w:color w:val="auto"/>
          <w:highlight w:val="none"/>
        </w:rPr>
      </w:pPr>
      <w:r>
        <w:rPr>
          <w:color w:val="auto"/>
          <w:highlight w:val="none"/>
        </w:rPr>
        <w:t>一、建设项目基本情况</w:t>
      </w:r>
    </w:p>
    <w:tbl>
      <w:tblPr>
        <w:tblStyle w:val="18"/>
        <w:tblW w:w="9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0"/>
        <w:gridCol w:w="2201"/>
        <w:gridCol w:w="2042"/>
        <w:gridCol w:w="3690"/>
      </w:tblGrid>
      <w:tr w14:paraId="11072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22104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建设项目名称</w:t>
            </w:r>
          </w:p>
        </w:tc>
        <w:tc>
          <w:tcPr>
            <w:tcW w:w="7933" w:type="dxa"/>
            <w:gridSpan w:val="3"/>
            <w:noWrap w:val="0"/>
            <w:vAlign w:val="center"/>
          </w:tcPr>
          <w:p w14:paraId="5FE7F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eastAsia"/>
                <w:color w:val="auto"/>
                <w:sz w:val="24"/>
                <w:szCs w:val="32"/>
                <w:highlight w:val="none"/>
              </w:rPr>
              <w:t>环境检测</w:t>
            </w:r>
            <w:r>
              <w:rPr>
                <w:rFonts w:hint="eastAsia"/>
                <w:color w:val="auto"/>
                <w:sz w:val="24"/>
                <w:szCs w:val="32"/>
                <w:highlight w:val="none"/>
                <w:lang w:val="en-US" w:eastAsia="zh-CN"/>
              </w:rPr>
              <w:t>实验室</w:t>
            </w:r>
            <w:r>
              <w:rPr>
                <w:rFonts w:hint="eastAsia"/>
                <w:color w:val="auto"/>
                <w:sz w:val="24"/>
                <w:szCs w:val="32"/>
                <w:highlight w:val="none"/>
              </w:rPr>
              <w:t>项目</w:t>
            </w:r>
          </w:p>
        </w:tc>
      </w:tr>
      <w:tr w14:paraId="4044A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655DCF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项目代码</w:t>
            </w:r>
          </w:p>
        </w:tc>
        <w:tc>
          <w:tcPr>
            <w:tcW w:w="7933" w:type="dxa"/>
            <w:gridSpan w:val="3"/>
            <w:noWrap w:val="0"/>
            <w:vAlign w:val="center"/>
          </w:tcPr>
          <w:p w14:paraId="06A0B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2509-340463-04-01-818058</w:t>
            </w:r>
          </w:p>
        </w:tc>
      </w:tr>
      <w:tr w14:paraId="55944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28CA31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建设单位联系人</w:t>
            </w:r>
          </w:p>
        </w:tc>
        <w:tc>
          <w:tcPr>
            <w:tcW w:w="2201" w:type="dxa"/>
            <w:noWrap w:val="0"/>
            <w:vAlign w:val="center"/>
          </w:tcPr>
          <w:p w14:paraId="78D5D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4"/>
                <w:szCs w:val="32"/>
                <w:highlight w:val="none"/>
                <w:lang w:eastAsia="zh-CN"/>
              </w:rPr>
            </w:pPr>
            <w:r>
              <w:rPr>
                <w:rFonts w:hint="eastAsia"/>
                <w:color w:val="auto"/>
                <w:sz w:val="24"/>
                <w:szCs w:val="32"/>
                <w:highlight w:val="none"/>
                <w:lang w:val="en-US" w:eastAsia="zh-CN"/>
              </w:rPr>
              <w:t>李翔</w:t>
            </w:r>
          </w:p>
        </w:tc>
        <w:tc>
          <w:tcPr>
            <w:tcW w:w="2042" w:type="dxa"/>
            <w:noWrap w:val="0"/>
            <w:vAlign w:val="center"/>
          </w:tcPr>
          <w:p w14:paraId="50AD5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联系方式</w:t>
            </w:r>
          </w:p>
        </w:tc>
        <w:tc>
          <w:tcPr>
            <w:tcW w:w="3690" w:type="dxa"/>
            <w:noWrap w:val="0"/>
            <w:vAlign w:val="center"/>
          </w:tcPr>
          <w:p w14:paraId="731E5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18130147791</w:t>
            </w:r>
          </w:p>
        </w:tc>
      </w:tr>
      <w:tr w14:paraId="73540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1100" w:type="dxa"/>
            <w:noWrap w:val="0"/>
            <w:tcMar>
              <w:top w:w="16" w:type="dxa"/>
              <w:left w:w="16" w:type="dxa"/>
              <w:right w:w="16" w:type="dxa"/>
            </w:tcMar>
            <w:vAlign w:val="center"/>
          </w:tcPr>
          <w:p w14:paraId="643C7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建设地点</w:t>
            </w:r>
          </w:p>
        </w:tc>
        <w:tc>
          <w:tcPr>
            <w:tcW w:w="7933" w:type="dxa"/>
            <w:gridSpan w:val="3"/>
            <w:noWrap w:val="0"/>
            <w:vAlign w:val="center"/>
          </w:tcPr>
          <w:p w14:paraId="41F1C6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4"/>
                <w:szCs w:val="32"/>
                <w:highlight w:val="none"/>
              </w:rPr>
            </w:pPr>
            <w:r>
              <w:rPr>
                <w:rFonts w:hint="eastAsia"/>
                <w:color w:val="auto"/>
                <w:sz w:val="24"/>
                <w:szCs w:val="32"/>
                <w:highlight w:val="none"/>
              </w:rPr>
              <w:t>安徽省淮南市高新技术产业开发区泰宁大街288号A02栋02室</w:t>
            </w:r>
          </w:p>
        </w:tc>
      </w:tr>
      <w:tr w14:paraId="4C9DD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7444DC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地理坐标</w:t>
            </w:r>
          </w:p>
        </w:tc>
        <w:tc>
          <w:tcPr>
            <w:tcW w:w="7933" w:type="dxa"/>
            <w:gridSpan w:val="3"/>
            <w:noWrap w:val="0"/>
            <w:vAlign w:val="center"/>
          </w:tcPr>
          <w:p w14:paraId="58F5F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11</w:t>
            </w:r>
            <w:r>
              <w:rPr>
                <w:rFonts w:hint="eastAsia"/>
                <w:color w:val="auto"/>
                <w:sz w:val="24"/>
                <w:szCs w:val="32"/>
                <w:highlight w:val="none"/>
                <w:lang w:val="en-US" w:eastAsia="zh-CN"/>
              </w:rPr>
              <w:t>7</w:t>
            </w:r>
            <w:r>
              <w:rPr>
                <w:rFonts w:hint="default"/>
                <w:color w:val="auto"/>
                <w:sz w:val="24"/>
                <w:szCs w:val="32"/>
                <w:highlight w:val="none"/>
              </w:rPr>
              <w:t>度</w:t>
            </w:r>
            <w:r>
              <w:rPr>
                <w:rFonts w:hint="eastAsia"/>
                <w:color w:val="auto"/>
                <w:sz w:val="24"/>
                <w:szCs w:val="32"/>
                <w:highlight w:val="none"/>
                <w:lang w:val="en-US" w:eastAsia="zh-CN"/>
              </w:rPr>
              <w:t>0</w:t>
            </w:r>
            <w:r>
              <w:rPr>
                <w:rFonts w:hint="default"/>
                <w:color w:val="auto"/>
                <w:sz w:val="24"/>
                <w:szCs w:val="32"/>
                <w:highlight w:val="none"/>
              </w:rPr>
              <w:t>分</w:t>
            </w:r>
            <w:r>
              <w:rPr>
                <w:rFonts w:hint="eastAsia"/>
                <w:color w:val="auto"/>
                <w:sz w:val="24"/>
                <w:szCs w:val="32"/>
                <w:highlight w:val="none"/>
                <w:lang w:val="en-US" w:eastAsia="zh-CN"/>
              </w:rPr>
              <w:t>3.798</w:t>
            </w:r>
            <w:r>
              <w:rPr>
                <w:rFonts w:hint="default"/>
                <w:color w:val="auto"/>
                <w:sz w:val="24"/>
                <w:szCs w:val="32"/>
                <w:highlight w:val="none"/>
              </w:rPr>
              <w:t>秒，3</w:t>
            </w:r>
            <w:r>
              <w:rPr>
                <w:rFonts w:hint="eastAsia"/>
                <w:color w:val="auto"/>
                <w:sz w:val="24"/>
                <w:szCs w:val="32"/>
                <w:highlight w:val="none"/>
              </w:rPr>
              <w:t>2</w:t>
            </w:r>
            <w:r>
              <w:rPr>
                <w:rFonts w:hint="default"/>
                <w:color w:val="auto"/>
                <w:sz w:val="24"/>
                <w:szCs w:val="32"/>
                <w:highlight w:val="none"/>
              </w:rPr>
              <w:t>度</w:t>
            </w:r>
            <w:r>
              <w:rPr>
                <w:rFonts w:hint="eastAsia"/>
                <w:color w:val="auto"/>
                <w:sz w:val="24"/>
                <w:szCs w:val="32"/>
                <w:highlight w:val="none"/>
              </w:rPr>
              <w:t>3</w:t>
            </w:r>
            <w:r>
              <w:rPr>
                <w:rFonts w:hint="eastAsia"/>
                <w:color w:val="auto"/>
                <w:sz w:val="24"/>
                <w:szCs w:val="32"/>
                <w:highlight w:val="none"/>
                <w:lang w:val="en-US" w:eastAsia="zh-CN"/>
              </w:rPr>
              <w:t>3</w:t>
            </w:r>
            <w:r>
              <w:rPr>
                <w:rFonts w:hint="default"/>
                <w:color w:val="auto"/>
                <w:sz w:val="24"/>
                <w:szCs w:val="32"/>
                <w:highlight w:val="none"/>
              </w:rPr>
              <w:t>分</w:t>
            </w:r>
            <w:r>
              <w:rPr>
                <w:rFonts w:hint="eastAsia"/>
                <w:color w:val="auto"/>
                <w:sz w:val="24"/>
                <w:szCs w:val="32"/>
                <w:highlight w:val="none"/>
                <w:lang w:val="en-US" w:eastAsia="zh-CN"/>
              </w:rPr>
              <w:t>38.401</w:t>
            </w:r>
            <w:r>
              <w:rPr>
                <w:rFonts w:hint="default"/>
                <w:color w:val="auto"/>
                <w:sz w:val="24"/>
                <w:szCs w:val="32"/>
                <w:highlight w:val="none"/>
              </w:rPr>
              <w:t>秒</w:t>
            </w:r>
          </w:p>
        </w:tc>
      </w:tr>
      <w:tr w14:paraId="71133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55" w:hRule="atLeast"/>
          <w:jc w:val="center"/>
        </w:trPr>
        <w:tc>
          <w:tcPr>
            <w:tcW w:w="1100" w:type="dxa"/>
            <w:noWrap w:val="0"/>
            <w:tcMar>
              <w:top w:w="16" w:type="dxa"/>
              <w:left w:w="16" w:type="dxa"/>
              <w:right w:w="16" w:type="dxa"/>
            </w:tcMar>
            <w:vAlign w:val="center"/>
          </w:tcPr>
          <w:p w14:paraId="01DB4B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国民经济</w:t>
            </w:r>
          </w:p>
          <w:p w14:paraId="27D6F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行业类别</w:t>
            </w:r>
          </w:p>
        </w:tc>
        <w:tc>
          <w:tcPr>
            <w:tcW w:w="2201" w:type="dxa"/>
            <w:noWrap w:val="0"/>
            <w:vAlign w:val="center"/>
          </w:tcPr>
          <w:p w14:paraId="22ABE3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4"/>
                <w:szCs w:val="32"/>
                <w:highlight w:val="none"/>
                <w:lang w:eastAsia="zh-CN"/>
              </w:rPr>
            </w:pPr>
            <w:r>
              <w:rPr>
                <w:rFonts w:hint="eastAsia" w:eastAsia="宋体"/>
                <w:color w:val="auto"/>
                <w:sz w:val="24"/>
                <w:szCs w:val="32"/>
                <w:highlight w:val="none"/>
                <w:lang w:eastAsia="zh-CN"/>
              </w:rPr>
              <w:t>M746环境与生态监测</w:t>
            </w:r>
          </w:p>
        </w:tc>
        <w:tc>
          <w:tcPr>
            <w:tcW w:w="2042" w:type="dxa"/>
            <w:noWrap w:val="0"/>
            <w:vAlign w:val="center"/>
          </w:tcPr>
          <w:p w14:paraId="50329F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bookmarkStart w:id="2" w:name="_Hlk49843745"/>
            <w:r>
              <w:rPr>
                <w:rFonts w:hint="default"/>
                <w:color w:val="auto"/>
                <w:sz w:val="24"/>
                <w:szCs w:val="32"/>
                <w:highlight w:val="none"/>
              </w:rPr>
              <w:t>建设项目</w:t>
            </w:r>
          </w:p>
          <w:p w14:paraId="1F1CE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行业类别</w:t>
            </w:r>
            <w:bookmarkEnd w:id="2"/>
          </w:p>
        </w:tc>
        <w:tc>
          <w:tcPr>
            <w:tcW w:w="3690" w:type="dxa"/>
            <w:noWrap w:val="0"/>
            <w:vAlign w:val="center"/>
          </w:tcPr>
          <w:p w14:paraId="01257D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四十五、研究和试验发展98专</w:t>
            </w:r>
          </w:p>
          <w:p w14:paraId="21656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业实验室、研发（试验）基地其</w:t>
            </w:r>
          </w:p>
          <w:p w14:paraId="0590F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他（不产生实验废气、废水、危</w:t>
            </w:r>
          </w:p>
          <w:p w14:paraId="40EAE0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4"/>
                <w:szCs w:val="32"/>
                <w:highlight w:val="none"/>
                <w:lang w:eastAsia="zh-CN"/>
              </w:rPr>
            </w:pPr>
            <w:r>
              <w:rPr>
                <w:rFonts w:hint="default"/>
                <w:color w:val="auto"/>
                <w:sz w:val="24"/>
                <w:szCs w:val="32"/>
                <w:highlight w:val="none"/>
              </w:rPr>
              <w:t>险废物的除外）</w:t>
            </w:r>
          </w:p>
        </w:tc>
      </w:tr>
      <w:tr w14:paraId="5569E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56" w:hRule="atLeast"/>
          <w:jc w:val="center"/>
        </w:trPr>
        <w:tc>
          <w:tcPr>
            <w:tcW w:w="1100" w:type="dxa"/>
            <w:noWrap w:val="0"/>
            <w:tcMar>
              <w:top w:w="16" w:type="dxa"/>
              <w:left w:w="16" w:type="dxa"/>
              <w:right w:w="16" w:type="dxa"/>
            </w:tcMar>
            <w:vAlign w:val="center"/>
          </w:tcPr>
          <w:p w14:paraId="071B5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建设性质</w:t>
            </w:r>
          </w:p>
        </w:tc>
        <w:tc>
          <w:tcPr>
            <w:tcW w:w="2201" w:type="dxa"/>
            <w:noWrap w:val="0"/>
            <w:vAlign w:val="center"/>
          </w:tcPr>
          <w:p w14:paraId="4C0507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新建（迁建）</w:t>
            </w:r>
          </w:p>
          <w:p w14:paraId="0083D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改建</w:t>
            </w:r>
          </w:p>
          <w:p w14:paraId="5B5FF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扩建</w:t>
            </w:r>
          </w:p>
          <w:p w14:paraId="6BC098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技术改造</w:t>
            </w:r>
          </w:p>
        </w:tc>
        <w:tc>
          <w:tcPr>
            <w:tcW w:w="2042" w:type="dxa"/>
            <w:noWrap w:val="0"/>
            <w:vAlign w:val="center"/>
          </w:tcPr>
          <w:p w14:paraId="3F2D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建设项目</w:t>
            </w:r>
          </w:p>
          <w:p w14:paraId="1F0631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申报情形</w:t>
            </w:r>
          </w:p>
        </w:tc>
        <w:tc>
          <w:tcPr>
            <w:tcW w:w="3690" w:type="dxa"/>
            <w:noWrap w:val="0"/>
            <w:vAlign w:val="center"/>
          </w:tcPr>
          <w:p w14:paraId="7154C8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首次申报项目</w:t>
            </w:r>
          </w:p>
          <w:p w14:paraId="480B3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不予批准后再次申报项目</w:t>
            </w:r>
          </w:p>
          <w:p w14:paraId="295DCE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超五年重新审核项目</w:t>
            </w:r>
          </w:p>
          <w:p w14:paraId="48A20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重大变动重新报批项目</w:t>
            </w:r>
          </w:p>
        </w:tc>
      </w:tr>
      <w:tr w14:paraId="572E5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647D33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default"/>
                <w:color w:val="auto"/>
                <w:sz w:val="24"/>
                <w:highlight w:val="none"/>
              </w:rPr>
              <w:t>项目审批</w:t>
            </w:r>
          </w:p>
          <w:p w14:paraId="2D31BA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default"/>
                <w:color w:val="auto"/>
                <w:sz w:val="24"/>
                <w:highlight w:val="none"/>
              </w:rPr>
              <w:t>（核准/备案）</w:t>
            </w:r>
          </w:p>
          <w:p w14:paraId="416B7E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default"/>
                <w:color w:val="auto"/>
                <w:sz w:val="24"/>
                <w:highlight w:val="none"/>
              </w:rPr>
              <w:t>部门（选填）</w:t>
            </w:r>
          </w:p>
        </w:tc>
        <w:tc>
          <w:tcPr>
            <w:tcW w:w="2201" w:type="dxa"/>
            <w:noWrap w:val="0"/>
            <w:vAlign w:val="center"/>
          </w:tcPr>
          <w:p w14:paraId="4BFF98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eastAsia"/>
                <w:color w:val="auto"/>
                <w:sz w:val="24"/>
                <w:highlight w:val="none"/>
                <w:lang w:val="en-US" w:eastAsia="zh-CN"/>
              </w:rPr>
              <w:t>淮南高新区经济发展局</w:t>
            </w:r>
          </w:p>
        </w:tc>
        <w:tc>
          <w:tcPr>
            <w:tcW w:w="2042" w:type="dxa"/>
            <w:noWrap w:val="0"/>
            <w:vAlign w:val="center"/>
          </w:tcPr>
          <w:p w14:paraId="167E8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default"/>
                <w:color w:val="auto"/>
                <w:sz w:val="24"/>
                <w:highlight w:val="none"/>
              </w:rPr>
              <w:t>项目审批（核准/</w:t>
            </w:r>
          </w:p>
          <w:p w14:paraId="2B4CC1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default"/>
                <w:color w:val="auto"/>
                <w:sz w:val="24"/>
                <w:highlight w:val="none"/>
              </w:rPr>
              <w:t>备案）文号（选填）</w:t>
            </w:r>
          </w:p>
        </w:tc>
        <w:tc>
          <w:tcPr>
            <w:tcW w:w="3690" w:type="dxa"/>
            <w:noWrap w:val="0"/>
            <w:vAlign w:val="center"/>
          </w:tcPr>
          <w:p w14:paraId="2CE7E2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highlight w:val="none"/>
              </w:rPr>
            </w:pPr>
            <w:r>
              <w:rPr>
                <w:rFonts w:hint="eastAsia"/>
                <w:color w:val="auto"/>
                <w:sz w:val="24"/>
                <w:highlight w:val="none"/>
              </w:rPr>
              <w:t>/</w:t>
            </w:r>
          </w:p>
        </w:tc>
      </w:tr>
      <w:tr w14:paraId="0A22E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27AADE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总投资</w:t>
            </w:r>
          </w:p>
          <w:p w14:paraId="4F025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（万元）</w:t>
            </w:r>
          </w:p>
        </w:tc>
        <w:tc>
          <w:tcPr>
            <w:tcW w:w="2201" w:type="dxa"/>
            <w:noWrap w:val="0"/>
            <w:vAlign w:val="center"/>
          </w:tcPr>
          <w:p w14:paraId="58CE4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4"/>
                <w:szCs w:val="32"/>
                <w:highlight w:val="none"/>
                <w:lang w:val="en-US" w:eastAsia="zh-CN"/>
              </w:rPr>
            </w:pPr>
            <w:r>
              <w:rPr>
                <w:rFonts w:hint="eastAsia"/>
                <w:color w:val="auto"/>
                <w:sz w:val="24"/>
                <w:szCs w:val="32"/>
                <w:highlight w:val="none"/>
              </w:rPr>
              <w:t>10</w:t>
            </w:r>
            <w:r>
              <w:rPr>
                <w:rFonts w:hint="eastAsia"/>
                <w:color w:val="auto"/>
                <w:sz w:val="24"/>
                <w:szCs w:val="32"/>
                <w:highlight w:val="none"/>
                <w:lang w:val="en-US" w:eastAsia="zh-CN"/>
              </w:rPr>
              <w:t>00</w:t>
            </w:r>
          </w:p>
        </w:tc>
        <w:tc>
          <w:tcPr>
            <w:tcW w:w="2042" w:type="dxa"/>
            <w:noWrap w:val="0"/>
            <w:tcMar>
              <w:top w:w="16" w:type="dxa"/>
              <w:left w:w="16" w:type="dxa"/>
              <w:right w:w="16" w:type="dxa"/>
            </w:tcMar>
            <w:vAlign w:val="center"/>
          </w:tcPr>
          <w:p w14:paraId="080CF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环保投资（万元）</w:t>
            </w:r>
          </w:p>
        </w:tc>
        <w:tc>
          <w:tcPr>
            <w:tcW w:w="3690" w:type="dxa"/>
            <w:noWrap w:val="0"/>
            <w:vAlign w:val="center"/>
          </w:tcPr>
          <w:p w14:paraId="3C4541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4"/>
                <w:szCs w:val="32"/>
                <w:highlight w:val="none"/>
                <w:lang w:val="en-US" w:eastAsia="zh-CN"/>
              </w:rPr>
            </w:pPr>
            <w:r>
              <w:rPr>
                <w:rFonts w:hint="eastAsia"/>
                <w:color w:val="auto"/>
                <w:sz w:val="24"/>
                <w:szCs w:val="32"/>
                <w:highlight w:val="none"/>
                <w:lang w:val="en-US" w:eastAsia="zh-CN"/>
              </w:rPr>
              <w:t>30</w:t>
            </w:r>
          </w:p>
        </w:tc>
      </w:tr>
      <w:tr w14:paraId="5D581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25961F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环保投资占比（%）</w:t>
            </w:r>
          </w:p>
        </w:tc>
        <w:tc>
          <w:tcPr>
            <w:tcW w:w="2201" w:type="dxa"/>
            <w:noWrap w:val="0"/>
            <w:vAlign w:val="center"/>
          </w:tcPr>
          <w:p w14:paraId="73D52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4"/>
                <w:szCs w:val="32"/>
                <w:highlight w:val="none"/>
                <w:lang w:eastAsia="zh-CN"/>
              </w:rPr>
            </w:pPr>
            <w:r>
              <w:rPr>
                <w:rFonts w:hint="eastAsia"/>
                <w:color w:val="auto"/>
                <w:sz w:val="24"/>
                <w:szCs w:val="32"/>
                <w:highlight w:val="none"/>
                <w:lang w:val="en-US" w:eastAsia="zh-CN"/>
              </w:rPr>
              <w:t>3</w:t>
            </w:r>
          </w:p>
        </w:tc>
        <w:tc>
          <w:tcPr>
            <w:tcW w:w="2042" w:type="dxa"/>
            <w:noWrap w:val="0"/>
            <w:tcMar>
              <w:top w:w="16" w:type="dxa"/>
              <w:left w:w="16" w:type="dxa"/>
              <w:right w:w="16" w:type="dxa"/>
            </w:tcMar>
            <w:vAlign w:val="center"/>
          </w:tcPr>
          <w:p w14:paraId="5E39A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施工工期</w:t>
            </w:r>
          </w:p>
        </w:tc>
        <w:tc>
          <w:tcPr>
            <w:tcW w:w="3690" w:type="dxa"/>
            <w:noWrap w:val="0"/>
            <w:vAlign w:val="center"/>
          </w:tcPr>
          <w:p w14:paraId="2967F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eastAsia"/>
                <w:color w:val="auto"/>
                <w:sz w:val="24"/>
                <w:szCs w:val="32"/>
                <w:highlight w:val="none"/>
                <w:lang w:val="en-US" w:eastAsia="zh-CN"/>
              </w:rPr>
              <w:t>3</w:t>
            </w:r>
            <w:r>
              <w:rPr>
                <w:rFonts w:hint="eastAsia"/>
                <w:color w:val="auto"/>
                <w:sz w:val="24"/>
                <w:szCs w:val="32"/>
                <w:highlight w:val="none"/>
              </w:rPr>
              <w:t>个月</w:t>
            </w:r>
          </w:p>
        </w:tc>
      </w:tr>
      <w:tr w14:paraId="504DD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00" w:type="dxa"/>
            <w:noWrap w:val="0"/>
            <w:tcMar>
              <w:top w:w="16" w:type="dxa"/>
              <w:left w:w="16" w:type="dxa"/>
              <w:right w:w="16" w:type="dxa"/>
            </w:tcMar>
            <w:vAlign w:val="center"/>
          </w:tcPr>
          <w:p w14:paraId="322F84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是否开工</w:t>
            </w:r>
          </w:p>
          <w:p w14:paraId="3ECB4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建设</w:t>
            </w:r>
          </w:p>
        </w:tc>
        <w:tc>
          <w:tcPr>
            <w:tcW w:w="2201" w:type="dxa"/>
            <w:noWrap w:val="0"/>
            <w:vAlign w:val="center"/>
          </w:tcPr>
          <w:p w14:paraId="4BAD51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52"/>
            </w:r>
            <w:r>
              <w:rPr>
                <w:rFonts w:hint="default"/>
                <w:color w:val="auto"/>
                <w:sz w:val="24"/>
                <w:szCs w:val="32"/>
                <w:highlight w:val="none"/>
              </w:rPr>
              <w:t>否</w:t>
            </w:r>
          </w:p>
          <w:p w14:paraId="426DE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 w:val="24"/>
                <w:szCs w:val="32"/>
                <w:highlight w:val="none"/>
              </w:rPr>
            </w:pPr>
            <w:r>
              <w:rPr>
                <w:rFonts w:hint="default"/>
                <w:color w:val="auto"/>
                <w:sz w:val="24"/>
                <w:szCs w:val="32"/>
                <w:highlight w:val="none"/>
              </w:rPr>
              <w:sym w:font="Wingdings 2" w:char="00A3"/>
            </w:r>
            <w:r>
              <w:rPr>
                <w:rFonts w:hint="default"/>
                <w:color w:val="auto"/>
                <w:sz w:val="24"/>
                <w:szCs w:val="32"/>
                <w:highlight w:val="none"/>
              </w:rPr>
              <w:t>是：</w:t>
            </w:r>
          </w:p>
        </w:tc>
        <w:tc>
          <w:tcPr>
            <w:tcW w:w="2042" w:type="dxa"/>
            <w:noWrap w:val="0"/>
            <w:tcMar>
              <w:top w:w="16" w:type="dxa"/>
              <w:left w:w="16" w:type="dxa"/>
              <w:right w:w="16" w:type="dxa"/>
            </w:tcMar>
            <w:vAlign w:val="center"/>
          </w:tcPr>
          <w:p w14:paraId="267BB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用地（用海）</w:t>
            </w:r>
          </w:p>
          <w:p w14:paraId="49025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面积（m</w:t>
            </w:r>
            <w:r>
              <w:rPr>
                <w:rFonts w:hint="default"/>
                <w:color w:val="auto"/>
                <w:sz w:val="24"/>
                <w:szCs w:val="32"/>
                <w:highlight w:val="none"/>
                <w:vertAlign w:val="superscript"/>
              </w:rPr>
              <w:t>2</w:t>
            </w:r>
            <w:r>
              <w:rPr>
                <w:rFonts w:hint="default"/>
                <w:color w:val="auto"/>
                <w:sz w:val="24"/>
                <w:szCs w:val="32"/>
                <w:highlight w:val="none"/>
              </w:rPr>
              <w:t>）</w:t>
            </w:r>
          </w:p>
        </w:tc>
        <w:tc>
          <w:tcPr>
            <w:tcW w:w="3690" w:type="dxa"/>
            <w:noWrap w:val="0"/>
            <w:vAlign w:val="center"/>
          </w:tcPr>
          <w:p w14:paraId="54DAF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4"/>
                <w:szCs w:val="32"/>
                <w:highlight w:val="none"/>
                <w:lang w:val="en-US" w:eastAsia="zh-CN"/>
              </w:rPr>
            </w:pPr>
            <w:r>
              <w:rPr>
                <w:rFonts w:hint="eastAsia"/>
                <w:color w:val="auto"/>
                <w:sz w:val="24"/>
                <w:szCs w:val="32"/>
                <w:highlight w:val="none"/>
                <w:lang w:val="en-US" w:eastAsia="zh-CN"/>
              </w:rPr>
              <w:t>814.19</w:t>
            </w:r>
          </w:p>
        </w:tc>
      </w:tr>
      <w:tr w14:paraId="1825A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00" w:type="dxa"/>
            <w:noWrap w:val="0"/>
            <w:vAlign w:val="center"/>
          </w:tcPr>
          <w:p w14:paraId="6FB9E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专项评价设置情况</w:t>
            </w:r>
          </w:p>
        </w:tc>
        <w:tc>
          <w:tcPr>
            <w:tcW w:w="7933" w:type="dxa"/>
            <w:gridSpan w:val="3"/>
            <w:noWrap w:val="0"/>
            <w:vAlign w:val="center"/>
          </w:tcPr>
          <w:p w14:paraId="0A7356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default"/>
                <w:color w:val="auto"/>
                <w:sz w:val="24"/>
                <w:szCs w:val="32"/>
                <w:highlight w:val="none"/>
              </w:rPr>
            </w:pPr>
            <w:r>
              <w:rPr>
                <w:rFonts w:hint="default"/>
                <w:color w:val="auto"/>
                <w:sz w:val="24"/>
                <w:szCs w:val="32"/>
                <w:highlight w:val="none"/>
              </w:rPr>
              <w:t>对照《建设项目环境影响报告表编制技术指南》（污染影响类）（试行）表1专项评价设置原则表，本项目</w:t>
            </w:r>
            <w:r>
              <w:rPr>
                <w:rFonts w:hint="eastAsia"/>
                <w:color w:val="auto"/>
                <w:sz w:val="24"/>
                <w:szCs w:val="32"/>
                <w:highlight w:val="none"/>
                <w:lang w:val="en-US" w:eastAsia="zh-CN"/>
              </w:rPr>
              <w:t>检测试剂使用有</w:t>
            </w:r>
            <w:r>
              <w:rPr>
                <w:rFonts w:hint="default"/>
                <w:color w:val="auto"/>
                <w:sz w:val="24"/>
                <w:szCs w:val="32"/>
                <w:highlight w:val="none"/>
              </w:rPr>
              <w:t>甲醛溶液、三氯甲烷等会在常温下挥发废气，对照《有毒有害大气污染物名录》（2018年），属于名录内有毒有害大气污染物，且项目500m范围内有环境空气保护目标，根据《建设项目环境影响报告表编制技术指南》（污染影响类）（试行）表1专项评价设置原则表，本项目应设置大气专项。</w:t>
            </w:r>
          </w:p>
        </w:tc>
      </w:tr>
      <w:tr w14:paraId="6D650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0" w:type="dxa"/>
            <w:noWrap w:val="0"/>
            <w:vAlign w:val="center"/>
          </w:tcPr>
          <w:p w14:paraId="45B75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4"/>
                <w:szCs w:val="32"/>
                <w:highlight w:val="none"/>
              </w:rPr>
            </w:pPr>
            <w:r>
              <w:rPr>
                <w:rFonts w:hint="default"/>
                <w:color w:val="auto"/>
                <w:sz w:val="24"/>
                <w:szCs w:val="32"/>
                <w:highlight w:val="none"/>
              </w:rPr>
              <w:t>规划情况</w:t>
            </w:r>
          </w:p>
        </w:tc>
        <w:tc>
          <w:tcPr>
            <w:tcW w:w="7933" w:type="dxa"/>
            <w:gridSpan w:val="3"/>
            <w:noWrap w:val="0"/>
            <w:vAlign w:val="center"/>
          </w:tcPr>
          <w:p w14:paraId="3024DD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color w:val="auto"/>
                <w:highlight w:val="none"/>
                <w:lang w:eastAsia="zh-CN"/>
              </w:rPr>
            </w:pPr>
            <w:r>
              <w:rPr>
                <w:rFonts w:hint="eastAsia"/>
                <w:color w:val="auto"/>
                <w:highlight w:val="none"/>
              </w:rPr>
              <w:t>规划名称：</w:t>
            </w:r>
            <w:r>
              <w:rPr>
                <w:rFonts w:hint="eastAsia"/>
                <w:color w:val="auto"/>
                <w:highlight w:val="none"/>
                <w:lang w:val="en-US" w:eastAsia="zh-CN"/>
              </w:rPr>
              <w:t>《淮南高新技术产业开发区总体发展规划（2024-2035年）（主导产业变更）》</w:t>
            </w:r>
          </w:p>
        </w:tc>
      </w:tr>
      <w:tr w14:paraId="792F8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1100" w:type="dxa"/>
            <w:noWrap w:val="0"/>
            <w:vAlign w:val="center"/>
          </w:tcPr>
          <w:p w14:paraId="14EAC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sz w:val="24"/>
                <w:highlight w:val="none"/>
              </w:rPr>
              <w:t>规划环境影响评价情况</w:t>
            </w:r>
          </w:p>
        </w:tc>
        <w:tc>
          <w:tcPr>
            <w:tcW w:w="7933" w:type="dxa"/>
            <w:gridSpan w:val="3"/>
            <w:noWrap w:val="0"/>
            <w:vAlign w:val="center"/>
          </w:tcPr>
          <w:p w14:paraId="194C5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规划环评名称：《淮南高新技术产业开发区总体发展规划</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2024-2035年</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主导产业变更</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环境影响报告》</w:t>
            </w:r>
          </w:p>
          <w:p w14:paraId="25910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审批机关：淮南市生态环境局</w:t>
            </w:r>
          </w:p>
          <w:p w14:paraId="75B49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firstLineChars="20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审批文件名称：关于印发《淮南高新技术产业开发区总体发展规划</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2024-2035年</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主导产业变更</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环境影响报告书》审查意见的函</w:t>
            </w:r>
          </w:p>
          <w:p w14:paraId="20CDCC42">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0" w:firstLineChars="0"/>
              <w:textAlignment w:val="auto"/>
              <w:rPr>
                <w:rFonts w:hint="eastAsia"/>
                <w:color w:val="auto"/>
                <w:highlight w:val="none"/>
              </w:rPr>
            </w:pPr>
            <w:r>
              <w:rPr>
                <w:rFonts w:hint="eastAsia" w:ascii="Times New Roman" w:hAnsi="Times New Roman" w:eastAsia="宋体" w:cs="Times New Roman"/>
                <w:color w:val="auto"/>
                <w:highlight w:val="none"/>
                <w:lang w:val="en-US" w:eastAsia="zh-CN"/>
              </w:rPr>
              <w:t>审批文号：淮环函〔2024〕43号</w:t>
            </w:r>
          </w:p>
        </w:tc>
      </w:tr>
      <w:tr w14:paraId="72A9A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noWrap w:val="0"/>
            <w:vAlign w:val="center"/>
          </w:tcPr>
          <w:p w14:paraId="56353B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kern w:val="0"/>
                <w:sz w:val="24"/>
                <w:highlight w:val="none"/>
              </w:rPr>
              <w:t>规划及规划环境影响评价符合性分析</w:t>
            </w:r>
          </w:p>
        </w:tc>
        <w:tc>
          <w:tcPr>
            <w:tcW w:w="7933" w:type="dxa"/>
            <w:gridSpan w:val="3"/>
            <w:noWrap w:val="0"/>
            <w:vAlign w:val="center"/>
          </w:tcPr>
          <w:p w14:paraId="5345FD6F">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color w:val="auto"/>
                <w:highlight w:val="none"/>
                <w:lang w:val="en-US" w:eastAsia="zh-CN"/>
              </w:rPr>
            </w:pPr>
            <w:r>
              <w:rPr>
                <w:rFonts w:hint="eastAsia"/>
                <w:color w:val="auto"/>
                <w:highlight w:val="none"/>
                <w:lang w:val="en-US" w:eastAsia="zh-CN"/>
              </w:rPr>
              <w:t>2024年5月11日，淮南市发展和改革委员会、淮南市科学技术局、淮南市工业和信息化局、淮南市工业和信息化局、淮南市生态环境局、淮南市水利局、淮南市商务局、淮南市应急管理局、淮南市统计局联合发布《</w:t>
            </w:r>
            <w:r>
              <w:rPr>
                <w:rFonts w:hint="default"/>
                <w:color w:val="auto"/>
                <w:highlight w:val="none"/>
              </w:rPr>
              <w:t>关于印发</w:t>
            </w:r>
            <w:r>
              <w:rPr>
                <w:rFonts w:hint="eastAsia"/>
                <w:color w:val="auto"/>
                <w:highlight w:val="none"/>
                <w:lang w:eastAsia="zh-CN"/>
              </w:rPr>
              <w:t>〈</w:t>
            </w:r>
            <w:r>
              <w:rPr>
                <w:rFonts w:hint="default"/>
                <w:color w:val="auto"/>
                <w:highlight w:val="none"/>
              </w:rPr>
              <w:t>淮南市省级以上开发区主导产业变更实施细则</w:t>
            </w:r>
            <w:r>
              <w:rPr>
                <w:rFonts w:hint="eastAsia"/>
                <w:color w:val="auto"/>
                <w:highlight w:val="none"/>
                <w:lang w:eastAsia="zh-CN"/>
              </w:rPr>
              <w:t>〉</w:t>
            </w:r>
            <w:r>
              <w:rPr>
                <w:rFonts w:hint="default"/>
                <w:color w:val="auto"/>
                <w:highlight w:val="none"/>
              </w:rPr>
              <w:t>的通知</w:t>
            </w:r>
            <w:r>
              <w:rPr>
                <w:rFonts w:hint="eastAsia"/>
                <w:color w:val="auto"/>
                <w:highlight w:val="none"/>
                <w:lang w:eastAsia="zh-CN"/>
              </w:rPr>
              <w:t>》，</w:t>
            </w:r>
            <w:r>
              <w:rPr>
                <w:rFonts w:hint="eastAsia"/>
                <w:color w:val="auto"/>
                <w:highlight w:val="none"/>
                <w:lang w:val="en-US" w:eastAsia="zh-CN"/>
              </w:rPr>
              <w:t>根据“第二章变更原则第二条”：主导产业应符合国民经济和社会发展规划、全省开发区相关规划、各开发区制定的深化开发区管理制度改革推动开发区高质量发展实施方案(“一区一策”)、生态环境分区管控要求、区域用水总量管控等相关水资源管理要求和各开发区发展实际。</w:t>
            </w:r>
          </w:p>
          <w:p w14:paraId="51BFFE81">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color w:val="auto"/>
                <w:highlight w:val="none"/>
                <w:lang w:val="en-US" w:eastAsia="zh-CN"/>
              </w:rPr>
            </w:pPr>
            <w:r>
              <w:rPr>
                <w:rFonts w:hint="eastAsia"/>
                <w:color w:val="auto"/>
                <w:highlight w:val="none"/>
              </w:rPr>
              <w:t>淮南高新区当前重点发展的主导产业与《中国开发区审核公告目录》（2018年版）中确定的装备制造、数据信息、生物医药三大主导产业已不相符合，且高新区在生物医药领域企业集聚度较低，创新平台数量少，暂未达到</w:t>
            </w:r>
            <w:r>
              <w:rPr>
                <w:rFonts w:hint="eastAsia"/>
                <w:color w:val="auto"/>
                <w:highlight w:val="none"/>
                <w:lang w:eastAsia="zh-CN"/>
              </w:rPr>
              <w:t>“</w:t>
            </w:r>
            <w:r>
              <w:rPr>
                <w:rFonts w:hint="eastAsia"/>
                <w:color w:val="auto"/>
                <w:highlight w:val="none"/>
              </w:rPr>
              <w:t>成链成群</w:t>
            </w:r>
            <w:r>
              <w:rPr>
                <w:rFonts w:hint="eastAsia"/>
                <w:color w:val="auto"/>
                <w:highlight w:val="none"/>
                <w:lang w:eastAsia="zh-CN"/>
              </w:rPr>
              <w:t>”</w:t>
            </w:r>
            <w:r>
              <w:rPr>
                <w:rFonts w:hint="eastAsia"/>
                <w:color w:val="auto"/>
                <w:highlight w:val="none"/>
              </w:rPr>
              <w:t>的产业规模，原定主导产业无法有效支撑高新区高质量发展，主导产业亟需根据高新区产业发展实际情况进行变更</w:t>
            </w:r>
            <w:r>
              <w:rPr>
                <w:rFonts w:hint="eastAsia"/>
                <w:color w:val="auto"/>
                <w:highlight w:val="none"/>
                <w:lang w:eastAsia="zh-CN"/>
              </w:rPr>
              <w:t>；</w:t>
            </w:r>
            <w:r>
              <w:rPr>
                <w:rFonts w:hint="eastAsia"/>
                <w:color w:val="auto"/>
                <w:highlight w:val="none"/>
                <w:lang w:val="en-US" w:eastAsia="zh-CN"/>
              </w:rPr>
              <w:t>此外，</w:t>
            </w:r>
            <w:r>
              <w:rPr>
                <w:rFonts w:hint="eastAsia"/>
                <w:color w:val="auto"/>
                <w:highlight w:val="none"/>
              </w:rPr>
              <w:t>淮南高新区汽车制造、新型显示、大数据等新兴产业发展取得长足进步，已逐步成为高新区经济增长新动能。</w:t>
            </w:r>
            <w:r>
              <w:rPr>
                <w:rFonts w:hint="default"/>
                <w:color w:val="auto"/>
                <w:highlight w:val="none"/>
                <w:lang w:val="en-US" w:eastAsia="zh-CN"/>
              </w:rPr>
              <w:t>综上有必要对开发区主导产业实施变更。</w:t>
            </w:r>
          </w:p>
          <w:p w14:paraId="47478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Times New Roman" w:cs="Times New Roman"/>
                <w:b w:val="0"/>
                <w:bCs w:val="0"/>
                <w:color w:val="auto"/>
                <w:sz w:val="24"/>
                <w:szCs w:val="24"/>
                <w:highlight w:val="none"/>
              </w:rPr>
            </w:pPr>
            <w:r>
              <w:rPr>
                <w:rFonts w:hint="eastAsia"/>
                <w:color w:val="auto"/>
                <w:highlight w:val="none"/>
                <w:lang w:val="en-US" w:eastAsia="zh-CN"/>
              </w:rPr>
              <w:t>2024年10月29日，淮南市生态环境局以淮环函〔2</w:t>
            </w:r>
            <w:r>
              <w:rPr>
                <w:rFonts w:hint="default"/>
                <w:color w:val="auto"/>
                <w:highlight w:val="none"/>
                <w:lang w:val="en-US" w:eastAsia="zh-CN"/>
              </w:rPr>
              <w:t>0</w:t>
            </w:r>
            <w:r>
              <w:rPr>
                <w:rFonts w:hint="eastAsia"/>
                <w:color w:val="auto"/>
                <w:highlight w:val="none"/>
                <w:lang w:val="en-US" w:eastAsia="zh-CN"/>
              </w:rPr>
              <w:t>24〕43号对《淮南高新技术产业开发区总体发展规划（2024-2035年）（主导产业变更）环境影响报告》做出审核，其主导产业为汽车制造、新型显示、煤炭清洁利用。</w:t>
            </w:r>
          </w:p>
          <w:p w14:paraId="0735B802">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b/>
                <w:bCs/>
                <w:color w:val="auto"/>
                <w:highlight w:val="none"/>
              </w:rPr>
            </w:pPr>
            <w:r>
              <w:rPr>
                <w:rFonts w:hint="eastAsia"/>
                <w:b/>
                <w:bCs/>
                <w:color w:val="auto"/>
                <w:highlight w:val="none"/>
              </w:rPr>
              <w:t>1、</w:t>
            </w:r>
            <w:r>
              <w:rPr>
                <w:rFonts w:hint="default"/>
                <w:b/>
                <w:bCs/>
                <w:color w:val="auto"/>
                <w:highlight w:val="none"/>
              </w:rPr>
              <w:t>与</w:t>
            </w:r>
            <w:r>
              <w:rPr>
                <w:rFonts w:hint="eastAsia"/>
                <w:b/>
                <w:bCs/>
                <w:color w:val="auto"/>
                <w:highlight w:val="none"/>
              </w:rPr>
              <w:t>规划环评及审查意见的</w:t>
            </w:r>
            <w:r>
              <w:rPr>
                <w:rFonts w:hint="default"/>
                <w:b/>
                <w:bCs/>
                <w:color w:val="auto"/>
                <w:highlight w:val="none"/>
              </w:rPr>
              <w:t>符合性分析</w:t>
            </w:r>
          </w:p>
          <w:p w14:paraId="073B2CC7">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b/>
                <w:bCs/>
                <w:color w:val="auto"/>
                <w:highlight w:val="none"/>
              </w:rPr>
            </w:pPr>
            <w:r>
              <w:rPr>
                <w:rFonts w:hint="eastAsia"/>
                <w:b/>
                <w:bCs/>
                <w:color w:val="auto"/>
                <w:highlight w:val="none"/>
              </w:rPr>
              <w:t>（1）项目选址符合性分析</w:t>
            </w:r>
          </w:p>
          <w:p w14:paraId="1B87915A">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color w:val="auto"/>
                <w:highlight w:val="none"/>
                <w:lang w:val="en-US" w:eastAsia="zh-CN"/>
              </w:rPr>
            </w:pPr>
            <w:r>
              <w:rPr>
                <w:rFonts w:hint="eastAsia"/>
                <w:color w:val="auto"/>
                <w:highlight w:val="none"/>
              </w:rPr>
              <w:t>根据</w:t>
            </w:r>
            <w:r>
              <w:rPr>
                <w:rFonts w:hint="eastAsia"/>
                <w:color w:val="auto"/>
                <w:highlight w:val="none"/>
                <w:lang w:val="en-US" w:eastAsia="zh-CN"/>
              </w:rPr>
              <w:t>《淮南高新技术产业开发区总体发展规划（2024-2035年）》中确定的园区四至范围为：区块一东至淮河大道，南至泰丰大街，西至高压走廊，北至春申大街，面积为5.15km</w:t>
            </w:r>
            <w:r>
              <w:rPr>
                <w:rFonts w:hint="eastAsia"/>
                <w:color w:val="auto"/>
                <w:highlight w:val="none"/>
                <w:vertAlign w:val="superscript"/>
                <w:lang w:val="en-US" w:eastAsia="zh-CN"/>
              </w:rPr>
              <w:t>2</w:t>
            </w:r>
            <w:r>
              <w:rPr>
                <w:rFonts w:hint="eastAsia"/>
                <w:color w:val="auto"/>
                <w:highlight w:val="none"/>
                <w:lang w:val="en-US" w:eastAsia="zh-CN"/>
              </w:rPr>
              <w:t>；区块二东至李园路，南至102省道，西至新河排洪渠，北至规划南纬一路，面积为0.49km</w:t>
            </w:r>
            <w:r>
              <w:rPr>
                <w:rFonts w:hint="eastAsia"/>
                <w:color w:val="auto"/>
                <w:highlight w:val="none"/>
                <w:vertAlign w:val="superscript"/>
                <w:lang w:val="en-US" w:eastAsia="zh-CN"/>
              </w:rPr>
              <w:t>2</w:t>
            </w:r>
            <w:r>
              <w:rPr>
                <w:rFonts w:hint="eastAsia"/>
                <w:color w:val="auto"/>
                <w:highlight w:val="none"/>
                <w:lang w:val="en-US" w:eastAsia="zh-CN"/>
              </w:rPr>
              <w:t>。</w:t>
            </w:r>
          </w:p>
          <w:p w14:paraId="1D96C17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firstLine="480" w:firstLineChars="200"/>
              <w:jc w:val="left"/>
              <w:textAlignment w:val="auto"/>
              <w:rPr>
                <w:rFonts w:hint="default"/>
                <w:color w:val="auto"/>
                <w:highlight w:val="none"/>
              </w:rPr>
            </w:pPr>
            <w:r>
              <w:rPr>
                <w:rFonts w:hint="eastAsia"/>
                <w:color w:val="auto"/>
                <w:highlight w:val="none"/>
                <w:lang w:val="en-US" w:eastAsia="zh-CN"/>
              </w:rPr>
              <w:t>本项目位于区块一范围内</w:t>
            </w:r>
            <w:r>
              <w:rPr>
                <w:rFonts w:hint="eastAsia"/>
                <w:color w:val="auto"/>
                <w:highlight w:val="none"/>
                <w:lang w:eastAsia="zh-CN"/>
              </w:rPr>
              <w:t>，</w:t>
            </w:r>
            <w:r>
              <w:rPr>
                <w:rFonts w:hint="eastAsia"/>
                <w:color w:val="auto"/>
                <w:highlight w:val="none"/>
              </w:rPr>
              <w:t>选址为工业用地</w:t>
            </w:r>
            <w:r>
              <w:rPr>
                <w:rFonts w:hint="eastAsia"/>
                <w:color w:val="auto"/>
                <w:highlight w:val="none"/>
                <w:lang w:val="en-US" w:eastAsia="zh-CN"/>
              </w:rPr>
              <w:t>，因此，本项目选址</w:t>
            </w:r>
            <w:r>
              <w:rPr>
                <w:rFonts w:hint="eastAsia"/>
                <w:color w:val="auto"/>
                <w:highlight w:val="none"/>
              </w:rPr>
              <w:t>符合</w:t>
            </w:r>
            <w:r>
              <w:rPr>
                <w:rFonts w:hint="eastAsia"/>
                <w:color w:val="auto"/>
                <w:highlight w:val="none"/>
                <w:lang w:val="en-US" w:eastAsia="zh-CN"/>
              </w:rPr>
              <w:t>《淮南高新技术产业开发区总体发展规划（2024-2035年）（主导产业变更）》</w:t>
            </w:r>
            <w:r>
              <w:rPr>
                <w:rFonts w:hint="eastAsia"/>
                <w:color w:val="auto"/>
                <w:highlight w:val="none"/>
                <w:lang w:eastAsia="zh-CN"/>
              </w:rPr>
              <w:t>。</w:t>
            </w:r>
          </w:p>
          <w:p w14:paraId="2F0653FA">
            <w:pPr>
              <w:keepNext w:val="0"/>
              <w:keepLines w:val="0"/>
              <w:pageBreakBefore w:val="0"/>
              <w:suppressLineNumbers w:val="0"/>
              <w:kinsoku/>
              <w:overflowPunct/>
              <w:topLinePunct w:val="0"/>
              <w:autoSpaceDE/>
              <w:autoSpaceDN/>
              <w:bidi w:val="0"/>
              <w:adjustRightInd/>
              <w:snapToGrid/>
              <w:spacing w:before="0" w:beforeAutospacing="0" w:after="0" w:afterAutospacing="0"/>
              <w:ind w:left="480" w:leftChars="200" w:right="0" w:firstLine="482" w:firstLineChars="200"/>
              <w:jc w:val="left"/>
              <w:textAlignment w:val="auto"/>
              <w:rPr>
                <w:rFonts w:hint="default"/>
                <w:b/>
                <w:bCs/>
                <w:color w:val="auto"/>
                <w:highlight w:val="none"/>
              </w:rPr>
            </w:pPr>
            <w:r>
              <w:rPr>
                <w:rFonts w:hint="eastAsia"/>
                <w:b/>
                <w:bCs/>
                <w:color w:val="auto"/>
                <w:highlight w:val="none"/>
              </w:rPr>
              <w:t>（2）与园区主导产业及功能定位符合性分析</w:t>
            </w:r>
          </w:p>
          <w:p w14:paraId="4A0CFC95">
            <w:pPr>
              <w:keepNext w:val="0"/>
              <w:keepLines w:val="0"/>
              <w:pageBreakBefore w:val="0"/>
              <w:suppressLineNumbers w:val="0"/>
              <w:kinsoku/>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color w:val="auto"/>
                <w:highlight w:val="none"/>
              </w:rPr>
            </w:pPr>
            <w:r>
              <w:rPr>
                <w:rFonts w:hint="eastAsia"/>
                <w:color w:val="auto"/>
                <w:highlight w:val="none"/>
              </w:rPr>
              <w:t>根据</w:t>
            </w:r>
            <w:r>
              <w:rPr>
                <w:rFonts w:hint="eastAsia"/>
                <w:color w:val="auto"/>
                <w:highlight w:val="none"/>
                <w:lang w:val="en-US" w:eastAsia="zh-CN"/>
              </w:rPr>
              <w:t>《淮南高新技术产业开发区总体发展规划（2024-2035年）（主导产业变更）》</w:t>
            </w:r>
            <w:r>
              <w:rPr>
                <w:rFonts w:hint="eastAsia"/>
                <w:color w:val="auto"/>
                <w:highlight w:val="none"/>
              </w:rPr>
              <w:t>，可知</w:t>
            </w:r>
            <w:r>
              <w:rPr>
                <w:rFonts w:hint="eastAsia"/>
                <w:color w:val="auto"/>
                <w:highlight w:val="none"/>
                <w:lang w:val="en-US" w:eastAsia="zh-CN"/>
              </w:rPr>
              <w:t>主导产业为汽车制造、新型显示、煤炭清洁利用</w:t>
            </w:r>
            <w:r>
              <w:rPr>
                <w:rFonts w:hint="default"/>
                <w:color w:val="auto"/>
                <w:highlight w:val="none"/>
              </w:rPr>
              <w:t>。</w:t>
            </w:r>
            <w:r>
              <w:rPr>
                <w:rFonts w:hint="eastAsia"/>
                <w:color w:val="auto"/>
                <w:highlight w:val="none"/>
              </w:rPr>
              <w:t>本项目位于现代服务业产业园。</w:t>
            </w:r>
          </w:p>
          <w:p w14:paraId="716DEF1A">
            <w:pPr>
              <w:pStyle w:val="55"/>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表1-</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高新区产业准入清单</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29"/>
              <w:gridCol w:w="657"/>
              <w:gridCol w:w="838"/>
              <w:gridCol w:w="1298"/>
              <w:gridCol w:w="2662"/>
              <w:gridCol w:w="1061"/>
            </w:tblGrid>
            <w:tr w14:paraId="2530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noWrap/>
                  <w:vAlign w:val="center"/>
                </w:tcPr>
                <w:p w14:paraId="4E04CE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b/>
                      <w:bCs/>
                      <w:color w:val="auto"/>
                      <w:sz w:val="21"/>
                      <w:szCs w:val="21"/>
                      <w:highlight w:val="none"/>
                    </w:rPr>
                  </w:pPr>
                  <w:r>
                    <w:rPr>
                      <w:rFonts w:hint="default"/>
                      <w:b/>
                      <w:bCs/>
                      <w:color w:val="auto"/>
                      <w:sz w:val="21"/>
                      <w:szCs w:val="21"/>
                      <w:highlight w:val="none"/>
                    </w:rPr>
                    <w:t>清单类型</w:t>
                  </w:r>
                </w:p>
              </w:tc>
              <w:tc>
                <w:tcPr>
                  <w:tcW w:w="640" w:type="dxa"/>
                  <w:noWrap/>
                  <w:vAlign w:val="center"/>
                </w:tcPr>
                <w:p w14:paraId="4925E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b/>
                      <w:bCs/>
                      <w:color w:val="auto"/>
                      <w:sz w:val="21"/>
                      <w:szCs w:val="21"/>
                      <w:highlight w:val="none"/>
                    </w:rPr>
                  </w:pPr>
                  <w:r>
                    <w:rPr>
                      <w:rFonts w:hint="default"/>
                      <w:b/>
                      <w:bCs/>
                      <w:color w:val="auto"/>
                      <w:sz w:val="21"/>
                      <w:szCs w:val="21"/>
                      <w:highlight w:val="none"/>
                    </w:rPr>
                    <w:t>管控类别</w:t>
                  </w:r>
                </w:p>
              </w:tc>
              <w:tc>
                <w:tcPr>
                  <w:tcW w:w="669" w:type="dxa"/>
                  <w:noWrap w:val="0"/>
                  <w:vAlign w:val="center"/>
                </w:tcPr>
                <w:p w14:paraId="0867D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b/>
                      <w:bCs/>
                      <w:color w:val="auto"/>
                      <w:sz w:val="21"/>
                      <w:szCs w:val="21"/>
                      <w:highlight w:val="none"/>
                    </w:rPr>
                  </w:pPr>
                  <w:r>
                    <w:rPr>
                      <w:rFonts w:hint="default"/>
                      <w:b/>
                      <w:bCs/>
                      <w:color w:val="auto"/>
                      <w:sz w:val="21"/>
                      <w:szCs w:val="21"/>
                      <w:highlight w:val="none"/>
                    </w:rPr>
                    <w:t>主导产业</w:t>
                  </w:r>
                </w:p>
              </w:tc>
              <w:tc>
                <w:tcPr>
                  <w:tcW w:w="853" w:type="dxa"/>
                  <w:noWrap w:val="0"/>
                  <w:vAlign w:val="center"/>
                </w:tcPr>
                <w:p w14:paraId="0332D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b/>
                      <w:bCs/>
                      <w:color w:val="auto"/>
                      <w:sz w:val="21"/>
                      <w:szCs w:val="21"/>
                      <w:highlight w:val="none"/>
                    </w:rPr>
                  </w:pPr>
                  <w:r>
                    <w:rPr>
                      <w:rFonts w:hint="default"/>
                      <w:b/>
                      <w:bCs/>
                      <w:color w:val="auto"/>
                      <w:sz w:val="21"/>
                      <w:szCs w:val="21"/>
                      <w:highlight w:val="none"/>
                    </w:rPr>
                    <w:t>区块</w:t>
                  </w:r>
                </w:p>
              </w:tc>
              <w:tc>
                <w:tcPr>
                  <w:tcW w:w="4031" w:type="dxa"/>
                  <w:gridSpan w:val="2"/>
                  <w:noWrap w:val="0"/>
                  <w:vAlign w:val="center"/>
                </w:tcPr>
                <w:p w14:paraId="38E310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b/>
                      <w:bCs/>
                      <w:color w:val="auto"/>
                      <w:sz w:val="21"/>
                      <w:szCs w:val="21"/>
                      <w:highlight w:val="none"/>
                    </w:rPr>
                  </w:pPr>
                  <w:r>
                    <w:rPr>
                      <w:rFonts w:hint="default"/>
                      <w:b/>
                      <w:bCs/>
                      <w:color w:val="auto"/>
                      <w:sz w:val="21"/>
                      <w:szCs w:val="21"/>
                      <w:highlight w:val="none"/>
                    </w:rPr>
                    <w:t>行业类别</w:t>
                  </w:r>
                </w:p>
              </w:tc>
              <w:tc>
                <w:tcPr>
                  <w:tcW w:w="1080" w:type="dxa"/>
                  <w:noWrap w:val="0"/>
                  <w:vAlign w:val="center"/>
                </w:tcPr>
                <w:p w14:paraId="79314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本项目情况</w:t>
                  </w:r>
                </w:p>
              </w:tc>
            </w:tr>
            <w:tr w14:paraId="4C75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restart"/>
                  <w:noWrap/>
                  <w:vAlign w:val="center"/>
                </w:tcPr>
                <w:p w14:paraId="04A57B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default"/>
                      <w:color w:val="auto"/>
                      <w:sz w:val="21"/>
                      <w:szCs w:val="21"/>
                      <w:highlight w:val="none"/>
                    </w:rPr>
                    <w:t>产业准入要求</w:t>
                  </w:r>
                </w:p>
              </w:tc>
              <w:tc>
                <w:tcPr>
                  <w:tcW w:w="640" w:type="dxa"/>
                  <w:vMerge w:val="restart"/>
                  <w:noWrap/>
                  <w:vAlign w:val="center"/>
                </w:tcPr>
                <w:p w14:paraId="6F006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产业定位</w:t>
                  </w:r>
                </w:p>
              </w:tc>
              <w:tc>
                <w:tcPr>
                  <w:tcW w:w="669" w:type="dxa"/>
                  <w:noWrap w:val="0"/>
                  <w:vAlign w:val="center"/>
                </w:tcPr>
                <w:p w14:paraId="34F94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汽车制造</w:t>
                  </w:r>
                </w:p>
              </w:tc>
              <w:tc>
                <w:tcPr>
                  <w:tcW w:w="853" w:type="dxa"/>
                  <w:noWrap w:val="0"/>
                  <w:vAlign w:val="center"/>
                </w:tcPr>
                <w:p w14:paraId="078AC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区块一西北部</w:t>
                  </w:r>
                </w:p>
              </w:tc>
              <w:tc>
                <w:tcPr>
                  <w:tcW w:w="1321" w:type="dxa"/>
                  <w:noWrap w:val="0"/>
                  <w:vAlign w:val="center"/>
                </w:tcPr>
                <w:p w14:paraId="373CC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36汽车制造业</w:t>
                  </w:r>
                </w:p>
              </w:tc>
              <w:tc>
                <w:tcPr>
                  <w:tcW w:w="2710" w:type="dxa"/>
                  <w:noWrap w:val="0"/>
                  <w:vAlign w:val="center"/>
                </w:tcPr>
                <w:p w14:paraId="390D8F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361汽车整车制造、366汽车车身、挂车制造、367汽车零部件及配件制造</w:t>
                  </w:r>
                </w:p>
              </w:tc>
              <w:tc>
                <w:tcPr>
                  <w:tcW w:w="1080" w:type="dxa"/>
                  <w:vMerge w:val="restart"/>
                  <w:noWrap w:val="0"/>
                  <w:vAlign w:val="center"/>
                </w:tcPr>
                <w:p w14:paraId="1800B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本项目不属于主导产业</w:t>
                  </w:r>
                </w:p>
              </w:tc>
            </w:tr>
            <w:tr w14:paraId="4F2C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0045E4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0"/>
                  <w:vAlign w:val="center"/>
                </w:tcPr>
                <w:p w14:paraId="0DE58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69" w:type="dxa"/>
                  <w:noWrap w:val="0"/>
                  <w:vAlign w:val="center"/>
                </w:tcPr>
                <w:p w14:paraId="19A99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新兴显示</w:t>
                  </w:r>
                </w:p>
              </w:tc>
              <w:tc>
                <w:tcPr>
                  <w:tcW w:w="853" w:type="dxa"/>
                  <w:noWrap w:val="0"/>
                  <w:vAlign w:val="center"/>
                </w:tcPr>
                <w:p w14:paraId="0DD2D4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区块一北部</w:t>
                  </w:r>
                </w:p>
              </w:tc>
              <w:tc>
                <w:tcPr>
                  <w:tcW w:w="1321" w:type="dxa"/>
                  <w:noWrap w:val="0"/>
                  <w:vAlign w:val="center"/>
                </w:tcPr>
                <w:p w14:paraId="5B62FB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39计算机、通信和其他电子设备制造业</w:t>
                  </w:r>
                </w:p>
              </w:tc>
              <w:tc>
                <w:tcPr>
                  <w:tcW w:w="2710" w:type="dxa"/>
                  <w:noWrap w:val="0"/>
                  <w:vAlign w:val="center"/>
                </w:tcPr>
                <w:p w14:paraId="26956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391计算机制造、396智能消费设备制造、397电子器件制造</w:t>
                  </w:r>
                </w:p>
              </w:tc>
              <w:tc>
                <w:tcPr>
                  <w:tcW w:w="1080" w:type="dxa"/>
                  <w:vMerge w:val="continue"/>
                  <w:noWrap w:val="0"/>
                  <w:vAlign w:val="center"/>
                </w:tcPr>
                <w:p w14:paraId="60E35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eastAsia"/>
                      <w:color w:val="auto"/>
                      <w:sz w:val="21"/>
                      <w:szCs w:val="21"/>
                      <w:highlight w:val="none"/>
                    </w:rPr>
                  </w:pPr>
                </w:p>
              </w:tc>
            </w:tr>
            <w:tr w14:paraId="4818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3E4F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0"/>
                  <w:vAlign w:val="center"/>
                </w:tcPr>
                <w:p w14:paraId="659106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69" w:type="dxa"/>
                  <w:vMerge w:val="restart"/>
                  <w:noWrap w:val="0"/>
                  <w:vAlign w:val="center"/>
                </w:tcPr>
                <w:p w14:paraId="31187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煤炭清洁利用</w:t>
                  </w:r>
                </w:p>
              </w:tc>
              <w:tc>
                <w:tcPr>
                  <w:tcW w:w="853" w:type="dxa"/>
                  <w:noWrap w:val="0"/>
                  <w:vAlign w:val="center"/>
                </w:tcPr>
                <w:p w14:paraId="580EB8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区块一东北部</w:t>
                  </w:r>
                </w:p>
              </w:tc>
              <w:tc>
                <w:tcPr>
                  <w:tcW w:w="1321" w:type="dxa"/>
                  <w:vMerge w:val="restart"/>
                  <w:noWrap w:val="0"/>
                  <w:vAlign w:val="center"/>
                </w:tcPr>
                <w:p w14:paraId="28A97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eastAsia" w:eastAsia="宋体"/>
                      <w:color w:val="auto"/>
                      <w:sz w:val="21"/>
                      <w:szCs w:val="21"/>
                      <w:highlight w:val="none"/>
                      <w:lang w:val="en-US" w:eastAsia="zh-CN"/>
                    </w:rPr>
                  </w:pPr>
                  <w:r>
                    <w:rPr>
                      <w:rFonts w:hint="eastAsia"/>
                      <w:color w:val="auto"/>
                      <w:sz w:val="21"/>
                      <w:szCs w:val="21"/>
                      <w:highlight w:val="none"/>
                    </w:rPr>
                    <w:t>06煤炭开采和洗选业</w:t>
                  </w:r>
                  <w:r>
                    <w:rPr>
                      <w:rFonts w:hint="eastAsia"/>
                      <w:color w:val="auto"/>
                      <w:sz w:val="21"/>
                      <w:szCs w:val="21"/>
                      <w:highlight w:val="none"/>
                      <w:lang w:val="en-US" w:eastAsia="zh-CN"/>
                    </w:rPr>
                    <w:t>*</w:t>
                  </w:r>
                </w:p>
              </w:tc>
              <w:tc>
                <w:tcPr>
                  <w:tcW w:w="2710" w:type="dxa"/>
                  <w:vMerge w:val="restart"/>
                  <w:noWrap w:val="0"/>
                  <w:vAlign w:val="center"/>
                </w:tcPr>
                <w:p w14:paraId="4F9552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w:t>
                  </w:r>
                </w:p>
              </w:tc>
              <w:tc>
                <w:tcPr>
                  <w:tcW w:w="1080" w:type="dxa"/>
                  <w:vMerge w:val="continue"/>
                  <w:noWrap w:val="0"/>
                  <w:vAlign w:val="center"/>
                </w:tcPr>
                <w:p w14:paraId="31A69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eastAsia="宋体"/>
                      <w:color w:val="auto"/>
                      <w:sz w:val="21"/>
                      <w:szCs w:val="21"/>
                      <w:highlight w:val="none"/>
                      <w:lang w:val="en-US" w:eastAsia="zh-CN"/>
                    </w:rPr>
                  </w:pPr>
                </w:p>
              </w:tc>
            </w:tr>
            <w:tr w14:paraId="1CBE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3A36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0"/>
                  <w:vAlign w:val="center"/>
                </w:tcPr>
                <w:p w14:paraId="7106B4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69" w:type="dxa"/>
                  <w:vMerge w:val="continue"/>
                  <w:noWrap w:val="0"/>
                  <w:vAlign w:val="center"/>
                </w:tcPr>
                <w:p w14:paraId="21AE0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853" w:type="dxa"/>
                  <w:noWrap w:val="0"/>
                  <w:vAlign w:val="center"/>
                </w:tcPr>
                <w:p w14:paraId="7BA52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eastAsia"/>
                      <w:color w:val="auto"/>
                      <w:sz w:val="21"/>
                      <w:szCs w:val="21"/>
                      <w:highlight w:val="none"/>
                    </w:rPr>
                    <w:t>区块二</w:t>
                  </w:r>
                </w:p>
              </w:tc>
              <w:tc>
                <w:tcPr>
                  <w:tcW w:w="1321" w:type="dxa"/>
                  <w:vMerge w:val="continue"/>
                  <w:noWrap w:val="0"/>
                  <w:vAlign w:val="center"/>
                </w:tcPr>
                <w:p w14:paraId="4ED4D5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2710" w:type="dxa"/>
                  <w:vMerge w:val="continue"/>
                  <w:noWrap w:val="0"/>
                  <w:vAlign w:val="center"/>
                </w:tcPr>
                <w:p w14:paraId="369EE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eastAsia="宋体"/>
                      <w:color w:val="auto"/>
                      <w:sz w:val="21"/>
                      <w:szCs w:val="21"/>
                      <w:highlight w:val="none"/>
                      <w:lang w:val="en-US" w:eastAsia="zh-CN"/>
                    </w:rPr>
                  </w:pPr>
                </w:p>
              </w:tc>
              <w:tc>
                <w:tcPr>
                  <w:tcW w:w="1080" w:type="dxa"/>
                  <w:vMerge w:val="continue"/>
                  <w:noWrap w:val="0"/>
                  <w:vAlign w:val="center"/>
                </w:tcPr>
                <w:p w14:paraId="1FCAE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eastAsia="宋体"/>
                      <w:color w:val="auto"/>
                      <w:sz w:val="21"/>
                      <w:szCs w:val="21"/>
                      <w:highlight w:val="none"/>
                      <w:lang w:val="en-US" w:eastAsia="zh-CN"/>
                    </w:rPr>
                  </w:pPr>
                </w:p>
              </w:tc>
            </w:tr>
            <w:tr w14:paraId="3175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6EA28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restart"/>
                  <w:noWrap/>
                  <w:vAlign w:val="center"/>
                </w:tcPr>
                <w:p w14:paraId="24EC00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优先进入类</w:t>
                  </w:r>
                </w:p>
              </w:tc>
              <w:tc>
                <w:tcPr>
                  <w:tcW w:w="5553" w:type="dxa"/>
                  <w:gridSpan w:val="4"/>
                  <w:noWrap w:val="0"/>
                  <w:vAlign w:val="center"/>
                </w:tcPr>
                <w:p w14:paraId="200D0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符合产业定位且属于国家发展和改革委《产业结构调整指导目录（</w:t>
                  </w:r>
                  <w:r>
                    <w:rPr>
                      <w:rFonts w:hint="eastAsia"/>
                      <w:color w:val="auto"/>
                      <w:sz w:val="21"/>
                      <w:szCs w:val="21"/>
                      <w:highlight w:val="none"/>
                      <w:lang w:val="en-US" w:eastAsia="zh-CN"/>
                    </w:rPr>
                    <w:t>2024</w:t>
                  </w:r>
                  <w:r>
                    <w:rPr>
                      <w:rFonts w:hint="eastAsia"/>
                      <w:color w:val="auto"/>
                      <w:sz w:val="21"/>
                      <w:szCs w:val="21"/>
                      <w:highlight w:val="none"/>
                    </w:rPr>
                    <w:t>年本）</w:t>
                  </w:r>
                  <w:r>
                    <w:rPr>
                      <w:rFonts w:hint="eastAsia"/>
                      <w:color w:val="auto"/>
                      <w:sz w:val="21"/>
                      <w:szCs w:val="21"/>
                      <w:highlight w:val="none"/>
                      <w:lang w:eastAsia="zh-CN"/>
                    </w:rPr>
                    <w:t>》《</w:t>
                  </w:r>
                  <w:r>
                    <w:rPr>
                      <w:rFonts w:hint="eastAsia"/>
                      <w:color w:val="auto"/>
                      <w:sz w:val="21"/>
                      <w:szCs w:val="21"/>
                      <w:highlight w:val="none"/>
                    </w:rPr>
                    <w:t>鼓励外商投资产业目录》（20</w:t>
                  </w:r>
                  <w:r>
                    <w:rPr>
                      <w:rFonts w:hint="eastAsia"/>
                      <w:color w:val="auto"/>
                      <w:sz w:val="21"/>
                      <w:szCs w:val="21"/>
                      <w:highlight w:val="none"/>
                      <w:lang w:val="en-US" w:eastAsia="zh-CN"/>
                    </w:rPr>
                    <w:t>22</w:t>
                  </w:r>
                  <w:r>
                    <w:rPr>
                      <w:rFonts w:hint="eastAsia"/>
                      <w:color w:val="auto"/>
                      <w:sz w:val="21"/>
                      <w:szCs w:val="21"/>
                      <w:highlight w:val="none"/>
                    </w:rPr>
                    <w:t>年版）、《产业转移指导目录》（2018年版）</w:t>
                  </w:r>
                  <w:r>
                    <w:rPr>
                      <w:rFonts w:hint="eastAsia"/>
                      <w:color w:val="auto"/>
                      <w:sz w:val="21"/>
                      <w:szCs w:val="21"/>
                      <w:highlight w:val="none"/>
                      <w:lang w:eastAsia="zh-CN"/>
                    </w:rPr>
                    <w:t>、</w:t>
                  </w:r>
                  <w:r>
                    <w:rPr>
                      <w:rFonts w:hint="eastAsia"/>
                      <w:color w:val="auto"/>
                      <w:sz w:val="21"/>
                      <w:szCs w:val="21"/>
                      <w:highlight w:val="none"/>
                    </w:rPr>
                    <w:t>《战略性新兴产业重点产品和服务指导目录（2016版）》等产业政策文件中属于鼓励类和重点发展中的产品、工艺和技术。</w:t>
                  </w:r>
                </w:p>
              </w:tc>
              <w:tc>
                <w:tcPr>
                  <w:tcW w:w="1080" w:type="dxa"/>
                  <w:vMerge w:val="restart"/>
                  <w:noWrap w:val="0"/>
                  <w:vAlign w:val="center"/>
                </w:tcPr>
                <w:p w14:paraId="7F296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eastAsia="宋体"/>
                      <w:color w:val="auto"/>
                      <w:sz w:val="21"/>
                      <w:szCs w:val="21"/>
                      <w:highlight w:val="none"/>
                      <w:lang w:val="en-US" w:eastAsia="zh-CN"/>
                    </w:rPr>
                  </w:pPr>
                  <w:r>
                    <w:rPr>
                      <w:rFonts w:hint="eastAsia"/>
                      <w:color w:val="auto"/>
                      <w:sz w:val="21"/>
                      <w:szCs w:val="21"/>
                      <w:highlight w:val="none"/>
                      <w:lang w:val="en-US" w:eastAsia="zh-CN"/>
                    </w:rPr>
                    <w:t>本项目属于</w:t>
                  </w:r>
                  <w:r>
                    <w:rPr>
                      <w:rFonts w:hint="eastAsia"/>
                      <w:color w:val="auto"/>
                      <w:sz w:val="21"/>
                      <w:szCs w:val="21"/>
                      <w:highlight w:val="none"/>
                    </w:rPr>
                    <w:t>《产业结构调整指导目录（</w:t>
                  </w:r>
                  <w:r>
                    <w:rPr>
                      <w:rFonts w:hint="eastAsia"/>
                      <w:color w:val="auto"/>
                      <w:sz w:val="21"/>
                      <w:szCs w:val="21"/>
                      <w:highlight w:val="none"/>
                      <w:lang w:val="en-US" w:eastAsia="zh-CN"/>
                    </w:rPr>
                    <w:t>2024</w:t>
                  </w:r>
                  <w:r>
                    <w:rPr>
                      <w:rFonts w:hint="eastAsia"/>
                      <w:color w:val="auto"/>
                      <w:sz w:val="21"/>
                      <w:szCs w:val="21"/>
                      <w:highlight w:val="none"/>
                    </w:rPr>
                    <w:t>年本）</w:t>
                  </w:r>
                  <w:r>
                    <w:rPr>
                      <w:rFonts w:hint="eastAsia"/>
                      <w:color w:val="auto"/>
                      <w:sz w:val="21"/>
                      <w:szCs w:val="21"/>
                      <w:highlight w:val="none"/>
                      <w:lang w:eastAsia="zh-CN"/>
                    </w:rPr>
                    <w:t>》</w:t>
                  </w:r>
                  <w:r>
                    <w:rPr>
                      <w:rFonts w:hint="eastAsia"/>
                      <w:color w:val="auto"/>
                      <w:sz w:val="21"/>
                      <w:szCs w:val="21"/>
                      <w:highlight w:val="none"/>
                      <w:lang w:val="en-US" w:eastAsia="zh-CN"/>
                    </w:rPr>
                    <w:t>鼓励类</w:t>
                  </w:r>
                </w:p>
              </w:tc>
            </w:tr>
            <w:tr w14:paraId="297F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71FB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ign w:val="center"/>
                </w:tcPr>
                <w:p w14:paraId="0CD7CB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color w:val="auto"/>
                      <w:sz w:val="21"/>
                      <w:szCs w:val="21"/>
                      <w:highlight w:val="none"/>
                      <w:lang w:val="en-US" w:eastAsia="zh-CN"/>
                    </w:rPr>
                  </w:pPr>
                </w:p>
              </w:tc>
              <w:tc>
                <w:tcPr>
                  <w:tcW w:w="5553" w:type="dxa"/>
                  <w:gridSpan w:val="4"/>
                  <w:noWrap w:val="0"/>
                  <w:vAlign w:val="center"/>
                </w:tcPr>
                <w:p w14:paraId="0ECFA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r>
                    <w:rPr>
                      <w:rFonts w:hint="eastAsia"/>
                      <w:color w:val="auto"/>
                      <w:sz w:val="21"/>
                      <w:szCs w:val="21"/>
                      <w:highlight w:val="none"/>
                    </w:rPr>
                    <w:t>鼓励依托产业定位发展上下游关联度强、技术水平高、绿色安全环保的企业和项目，进一步补链、延链、强链。</w:t>
                  </w:r>
                </w:p>
              </w:tc>
              <w:tc>
                <w:tcPr>
                  <w:tcW w:w="1080" w:type="dxa"/>
                  <w:vMerge w:val="continue"/>
                  <w:noWrap w:val="0"/>
                  <w:vAlign w:val="center"/>
                </w:tcPr>
                <w:p w14:paraId="4F3D39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eastAsia"/>
                      <w:color w:val="auto"/>
                      <w:sz w:val="21"/>
                      <w:szCs w:val="21"/>
                      <w:highlight w:val="none"/>
                    </w:rPr>
                  </w:pPr>
                </w:p>
              </w:tc>
            </w:tr>
            <w:tr w14:paraId="57BD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FE40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noWrap/>
                  <w:vAlign w:val="center"/>
                </w:tcPr>
                <w:p w14:paraId="56D012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有条件进入类</w:t>
                  </w:r>
                </w:p>
              </w:tc>
              <w:tc>
                <w:tcPr>
                  <w:tcW w:w="5553" w:type="dxa"/>
                  <w:gridSpan w:val="4"/>
                  <w:noWrap w:val="0"/>
                  <w:vAlign w:val="center"/>
                </w:tcPr>
                <w:p w14:paraId="270770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eastAsia"/>
                      <w:color w:val="auto"/>
                      <w:sz w:val="21"/>
                      <w:szCs w:val="21"/>
                      <w:highlight w:val="none"/>
                      <w:lang w:val="en-US" w:eastAsia="zh-CN"/>
                    </w:rPr>
                  </w:pPr>
                  <w:r>
                    <w:rPr>
                      <w:rFonts w:hint="default"/>
                      <w:color w:val="auto"/>
                      <w:sz w:val="21"/>
                      <w:szCs w:val="21"/>
                      <w:highlight w:val="none"/>
                      <w:lang w:val="en-US" w:eastAsia="zh-CN"/>
                    </w:rPr>
                    <w:t>与主导产业链配套的其他相关产业，且经过充分的环境影响论证</w:t>
                  </w:r>
                  <w:r>
                    <w:rPr>
                      <w:rFonts w:hint="eastAsia"/>
                      <w:color w:val="auto"/>
                      <w:sz w:val="21"/>
                      <w:szCs w:val="21"/>
                      <w:highlight w:val="none"/>
                      <w:lang w:val="en-US" w:eastAsia="zh-CN"/>
                    </w:rPr>
                    <w:t>。</w:t>
                  </w:r>
                </w:p>
              </w:tc>
              <w:tc>
                <w:tcPr>
                  <w:tcW w:w="1080" w:type="dxa"/>
                  <w:vMerge w:val="restart"/>
                  <w:noWrap w:val="0"/>
                  <w:vAlign w:val="center"/>
                </w:tcPr>
                <w:p w14:paraId="3879B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本项目进行环境与生态监测，服务于周边生产企业，产生少量实验废气及实验设备清洗废水，酸性废气经收集采用喷淋、有机废气采用二级活性炭吸附装置处理后经楼顶排气筒排放，设备润洗及涉及酸碱废液、重金属废液作为危废收集暂存，其他设备清洗废水、喷淋废水经酸碱中和调节接管园区污水管网。本项目所属行业类别为M746环境与生态监测，服务于开发区内各类生产企业，属于配套服务行业，不属于园区限制类和禁止类，按照“非禁即入”原则，视为允许类。目前积极履行环评手续。</w:t>
                  </w:r>
                </w:p>
              </w:tc>
            </w:tr>
            <w:tr w14:paraId="67BF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32C6A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restart"/>
                  <w:noWrap/>
                  <w:vAlign w:val="center"/>
                </w:tcPr>
                <w:p w14:paraId="2878B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default"/>
                      <w:color w:val="auto"/>
                      <w:sz w:val="21"/>
                      <w:szCs w:val="21"/>
                      <w:highlight w:val="none"/>
                    </w:rPr>
                    <w:t>限制类</w:t>
                  </w:r>
                </w:p>
              </w:tc>
              <w:tc>
                <w:tcPr>
                  <w:tcW w:w="5553" w:type="dxa"/>
                  <w:gridSpan w:val="4"/>
                  <w:noWrap w:val="0"/>
                  <w:vAlign w:val="center"/>
                </w:tcPr>
                <w:p w14:paraId="6AC852CB">
                  <w:pPr>
                    <w:pStyle w:val="37"/>
                    <w:keepNext w:val="0"/>
                    <w:keepLines w:val="0"/>
                    <w:suppressLineNumbers w:val="0"/>
                    <w:bidi w:val="0"/>
                    <w:spacing w:beforeAutospacing="0" w:afterAutospacing="0"/>
                    <w:ind w:left="0" w:right="0"/>
                    <w:jc w:val="both"/>
                    <w:rPr>
                      <w:rFonts w:hint="eastAsia"/>
                      <w:color w:val="auto"/>
                      <w:sz w:val="21"/>
                      <w:szCs w:val="21"/>
                      <w:highlight w:val="none"/>
                      <w:lang w:val="en-US" w:eastAsia="zh-CN"/>
                    </w:rPr>
                  </w:pPr>
                  <w:r>
                    <w:rPr>
                      <w:rFonts w:hint="eastAsia"/>
                      <w:color w:val="auto"/>
                      <w:sz w:val="21"/>
                      <w:szCs w:val="21"/>
                      <w:highlight w:val="none"/>
                    </w:rPr>
                    <w:t>《产业结构调整指导目录（</w:t>
                  </w:r>
                  <w:r>
                    <w:rPr>
                      <w:rFonts w:hint="eastAsia"/>
                      <w:color w:val="auto"/>
                      <w:sz w:val="21"/>
                      <w:szCs w:val="21"/>
                      <w:highlight w:val="none"/>
                      <w:lang w:val="en-US" w:eastAsia="zh-CN"/>
                    </w:rPr>
                    <w:t>2024</w:t>
                  </w:r>
                  <w:r>
                    <w:rPr>
                      <w:rFonts w:hint="eastAsia"/>
                      <w:color w:val="auto"/>
                      <w:sz w:val="21"/>
                      <w:szCs w:val="21"/>
                      <w:highlight w:val="none"/>
                    </w:rPr>
                    <w:t>年</w:t>
                  </w:r>
                  <w:r>
                    <w:rPr>
                      <w:rFonts w:hint="eastAsia"/>
                      <w:color w:val="auto"/>
                      <w:sz w:val="21"/>
                      <w:szCs w:val="21"/>
                      <w:highlight w:val="none"/>
                      <w:lang w:eastAsia="zh-CN"/>
                    </w:rPr>
                    <w:t>本</w:t>
                  </w:r>
                  <w:r>
                    <w:rPr>
                      <w:rFonts w:hint="eastAsia"/>
                      <w:color w:val="auto"/>
                      <w:sz w:val="21"/>
                      <w:szCs w:val="21"/>
                      <w:highlight w:val="none"/>
                    </w:rPr>
                    <w:t>）》中限制类项目</w:t>
                  </w:r>
                  <w:r>
                    <w:rPr>
                      <w:rFonts w:hint="eastAsia"/>
                      <w:color w:val="auto"/>
                      <w:sz w:val="21"/>
                      <w:szCs w:val="21"/>
                      <w:highlight w:val="none"/>
                      <w:lang w:eastAsia="zh-CN"/>
                    </w:rPr>
                    <w:t>；</w:t>
                  </w:r>
                </w:p>
              </w:tc>
              <w:tc>
                <w:tcPr>
                  <w:tcW w:w="1080" w:type="dxa"/>
                  <w:vMerge w:val="continue"/>
                  <w:noWrap w:val="0"/>
                  <w:vAlign w:val="center"/>
                </w:tcPr>
                <w:p w14:paraId="793B94D6">
                  <w:pPr>
                    <w:pStyle w:val="37"/>
                    <w:keepNext w:val="0"/>
                    <w:keepLines w:val="0"/>
                    <w:suppressLineNumbers w:val="0"/>
                    <w:bidi w:val="0"/>
                    <w:spacing w:beforeAutospacing="0" w:afterAutospacing="0"/>
                    <w:ind w:left="0" w:right="0"/>
                    <w:jc w:val="both"/>
                    <w:rPr>
                      <w:rFonts w:hint="eastAsia"/>
                      <w:color w:val="auto"/>
                      <w:sz w:val="21"/>
                      <w:szCs w:val="21"/>
                      <w:highlight w:val="none"/>
                    </w:rPr>
                  </w:pPr>
                </w:p>
              </w:tc>
            </w:tr>
            <w:tr w14:paraId="4115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357F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ign w:val="center"/>
                </w:tcPr>
                <w:p w14:paraId="44A98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5553" w:type="dxa"/>
                  <w:gridSpan w:val="4"/>
                  <w:noWrap w:val="0"/>
                  <w:vAlign w:val="center"/>
                </w:tcPr>
                <w:p w14:paraId="22C7E3EF">
                  <w:pPr>
                    <w:pStyle w:val="37"/>
                    <w:keepNext w:val="0"/>
                    <w:keepLines w:val="0"/>
                    <w:suppressLineNumbers w:val="0"/>
                    <w:bidi w:val="0"/>
                    <w:spacing w:beforeAutospacing="0" w:afterAutospacing="0"/>
                    <w:ind w:left="0" w:right="0"/>
                    <w:jc w:val="both"/>
                    <w:rPr>
                      <w:rFonts w:hint="eastAsia"/>
                      <w:color w:val="auto"/>
                      <w:sz w:val="21"/>
                      <w:szCs w:val="21"/>
                      <w:highlight w:val="none"/>
                      <w:lang w:val="en-US" w:eastAsia="zh-CN"/>
                    </w:rPr>
                  </w:pPr>
                  <w:r>
                    <w:rPr>
                      <w:rFonts w:hint="eastAsia"/>
                      <w:color w:val="auto"/>
                      <w:sz w:val="21"/>
                      <w:szCs w:val="21"/>
                      <w:highlight w:val="none"/>
                    </w:rPr>
                    <w:t>限制发展能源、资源消耗量或排污量较大但效益相对较好的企业，主要为规划外非禁止类项目，具体项目引入需经充分环境影响论证</w:t>
                  </w:r>
                  <w:r>
                    <w:rPr>
                      <w:rFonts w:hint="eastAsia"/>
                      <w:color w:val="auto"/>
                      <w:sz w:val="21"/>
                      <w:szCs w:val="21"/>
                      <w:highlight w:val="none"/>
                      <w:lang w:eastAsia="zh-CN"/>
                    </w:rPr>
                    <w:t>；</w:t>
                  </w:r>
                </w:p>
              </w:tc>
              <w:tc>
                <w:tcPr>
                  <w:tcW w:w="1080" w:type="dxa"/>
                  <w:vMerge w:val="continue"/>
                  <w:noWrap w:val="0"/>
                  <w:vAlign w:val="center"/>
                </w:tcPr>
                <w:p w14:paraId="23280F35">
                  <w:pPr>
                    <w:pStyle w:val="37"/>
                    <w:keepNext w:val="0"/>
                    <w:keepLines w:val="0"/>
                    <w:suppressLineNumbers w:val="0"/>
                    <w:bidi w:val="0"/>
                    <w:spacing w:beforeAutospacing="0" w:afterAutospacing="0"/>
                    <w:ind w:left="0" w:right="0"/>
                    <w:jc w:val="both"/>
                    <w:rPr>
                      <w:rFonts w:hint="eastAsia"/>
                      <w:color w:val="auto"/>
                      <w:sz w:val="21"/>
                      <w:szCs w:val="21"/>
                      <w:highlight w:val="none"/>
                    </w:rPr>
                  </w:pPr>
                </w:p>
              </w:tc>
            </w:tr>
            <w:tr w14:paraId="5D6D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A60C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ign w:val="center"/>
                </w:tcPr>
                <w:p w14:paraId="06F1E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5553" w:type="dxa"/>
                  <w:gridSpan w:val="4"/>
                  <w:noWrap w:val="0"/>
                  <w:vAlign w:val="center"/>
                </w:tcPr>
                <w:p w14:paraId="16C499EA">
                  <w:pPr>
                    <w:pStyle w:val="37"/>
                    <w:keepNext w:val="0"/>
                    <w:keepLines w:val="0"/>
                    <w:suppressLineNumbers w:val="0"/>
                    <w:bidi w:val="0"/>
                    <w:spacing w:beforeAutospacing="0" w:afterAutospacing="0"/>
                    <w:ind w:left="0" w:right="0"/>
                    <w:jc w:val="both"/>
                    <w:rPr>
                      <w:rFonts w:hint="eastAsia"/>
                      <w:color w:val="auto"/>
                      <w:sz w:val="21"/>
                      <w:szCs w:val="21"/>
                      <w:highlight w:val="none"/>
                      <w:lang w:val="en-US" w:eastAsia="zh-CN"/>
                    </w:rPr>
                  </w:pPr>
                  <w:r>
                    <w:rPr>
                      <w:rFonts w:hint="eastAsia"/>
                      <w:color w:val="auto"/>
                      <w:sz w:val="21"/>
                      <w:szCs w:val="21"/>
                      <w:highlight w:val="none"/>
                    </w:rPr>
                    <w:t>限制新增与主导产业无关的、污染物排放量大的产业项目；</w:t>
                  </w:r>
                </w:p>
              </w:tc>
              <w:tc>
                <w:tcPr>
                  <w:tcW w:w="1080" w:type="dxa"/>
                  <w:vMerge w:val="continue"/>
                  <w:noWrap w:val="0"/>
                  <w:vAlign w:val="center"/>
                </w:tcPr>
                <w:p w14:paraId="5EFC589C">
                  <w:pPr>
                    <w:pStyle w:val="37"/>
                    <w:keepNext w:val="0"/>
                    <w:keepLines w:val="0"/>
                    <w:suppressLineNumbers w:val="0"/>
                    <w:bidi w:val="0"/>
                    <w:spacing w:beforeAutospacing="0" w:afterAutospacing="0"/>
                    <w:ind w:left="0" w:right="0"/>
                    <w:jc w:val="both"/>
                    <w:rPr>
                      <w:rFonts w:hint="eastAsia"/>
                      <w:color w:val="auto"/>
                      <w:sz w:val="21"/>
                      <w:szCs w:val="21"/>
                      <w:highlight w:val="none"/>
                    </w:rPr>
                  </w:pPr>
                </w:p>
              </w:tc>
            </w:tr>
            <w:tr w14:paraId="6E40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573D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ign w:val="center"/>
                </w:tcPr>
                <w:p w14:paraId="28087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5553" w:type="dxa"/>
                  <w:gridSpan w:val="4"/>
                  <w:noWrap w:val="0"/>
                  <w:vAlign w:val="center"/>
                </w:tcPr>
                <w:p w14:paraId="1DC7F670">
                  <w:pPr>
                    <w:pStyle w:val="37"/>
                    <w:keepNext w:val="0"/>
                    <w:keepLines w:val="0"/>
                    <w:suppressLineNumbers w:val="0"/>
                    <w:bidi w:val="0"/>
                    <w:spacing w:beforeAutospacing="0" w:afterAutospacing="0"/>
                    <w:ind w:left="0" w:right="0"/>
                    <w:jc w:val="both"/>
                    <w:rPr>
                      <w:rFonts w:hint="eastAsia"/>
                      <w:color w:val="auto"/>
                      <w:sz w:val="21"/>
                      <w:szCs w:val="21"/>
                      <w:highlight w:val="none"/>
                      <w:lang w:val="en-US" w:eastAsia="zh-CN"/>
                    </w:rPr>
                  </w:pPr>
                  <w:r>
                    <w:rPr>
                      <w:rFonts w:hint="eastAsia"/>
                      <w:color w:val="auto"/>
                      <w:sz w:val="21"/>
                      <w:szCs w:val="21"/>
                      <w:highlight w:val="none"/>
                      <w:lang w:eastAsia="zh-CN"/>
                    </w:rPr>
                    <w:t>与主导产业相关的“两高”类项目需按照</w:t>
                  </w:r>
                  <w:r>
                    <w:rPr>
                      <w:rFonts w:hint="default"/>
                      <w:color w:val="auto"/>
                      <w:sz w:val="21"/>
                      <w:szCs w:val="21"/>
                      <w:highlight w:val="none"/>
                    </w:rPr>
                    <w:t>《生态环境部关于加强高耗能、高排放建设项目生态环境源头防控的指导意见</w:t>
                  </w:r>
                  <w:r>
                    <w:rPr>
                      <w:rFonts w:hint="eastAsia"/>
                      <w:color w:val="auto"/>
                      <w:sz w:val="21"/>
                      <w:szCs w:val="21"/>
                      <w:highlight w:val="none"/>
                      <w:lang w:eastAsia="zh-CN"/>
                    </w:rPr>
                    <w:t>》《</w:t>
                  </w:r>
                  <w:r>
                    <w:rPr>
                      <w:rFonts w:hint="default"/>
                      <w:color w:val="auto"/>
                      <w:sz w:val="21"/>
                      <w:szCs w:val="21"/>
                      <w:highlight w:val="none"/>
                    </w:rPr>
                    <w:t>安徽省节能减排及应对气候变化工作领导小组关于进一步加强新上</w:t>
                  </w:r>
                  <w:r>
                    <w:rPr>
                      <w:rFonts w:hint="eastAsia"/>
                      <w:color w:val="auto"/>
                      <w:sz w:val="21"/>
                      <w:szCs w:val="21"/>
                      <w:highlight w:val="none"/>
                      <w:lang w:eastAsia="zh-CN"/>
                    </w:rPr>
                    <w:t>“</w:t>
                  </w:r>
                  <w:r>
                    <w:rPr>
                      <w:rFonts w:hint="default"/>
                      <w:color w:val="auto"/>
                      <w:sz w:val="21"/>
                      <w:szCs w:val="21"/>
                      <w:highlight w:val="none"/>
                    </w:rPr>
                    <w:t>两高</w:t>
                  </w:r>
                  <w:r>
                    <w:rPr>
                      <w:rFonts w:hint="eastAsia"/>
                      <w:color w:val="auto"/>
                      <w:sz w:val="21"/>
                      <w:szCs w:val="21"/>
                      <w:highlight w:val="none"/>
                      <w:lang w:eastAsia="zh-CN"/>
                    </w:rPr>
                    <w:t>”</w:t>
                  </w:r>
                  <w:r>
                    <w:rPr>
                      <w:rFonts w:hint="default"/>
                      <w:color w:val="auto"/>
                      <w:sz w:val="21"/>
                      <w:szCs w:val="21"/>
                      <w:highlight w:val="none"/>
                    </w:rPr>
                    <w:t>项目管理的通知》</w:t>
                  </w:r>
                  <w:r>
                    <w:rPr>
                      <w:rFonts w:hint="eastAsia"/>
                      <w:color w:val="auto"/>
                      <w:sz w:val="21"/>
                      <w:szCs w:val="21"/>
                      <w:highlight w:val="none"/>
                      <w:lang w:val="en-US" w:eastAsia="zh-CN"/>
                    </w:rPr>
                    <w:t>等</w:t>
                  </w:r>
                  <w:r>
                    <w:rPr>
                      <w:rFonts w:hint="eastAsia"/>
                      <w:color w:val="auto"/>
                      <w:sz w:val="21"/>
                      <w:szCs w:val="21"/>
                      <w:highlight w:val="none"/>
                      <w:lang w:eastAsia="zh-CN"/>
                    </w:rPr>
                    <w:t>国家及安徽省相关政策要求严格控制引入，并经过环境影响充分论证；</w:t>
                  </w:r>
                </w:p>
              </w:tc>
              <w:tc>
                <w:tcPr>
                  <w:tcW w:w="1080" w:type="dxa"/>
                  <w:vMerge w:val="continue"/>
                  <w:noWrap w:val="0"/>
                  <w:vAlign w:val="center"/>
                </w:tcPr>
                <w:p w14:paraId="4EDB9E77">
                  <w:pPr>
                    <w:pStyle w:val="37"/>
                    <w:keepNext w:val="0"/>
                    <w:keepLines w:val="0"/>
                    <w:suppressLineNumbers w:val="0"/>
                    <w:bidi w:val="0"/>
                    <w:spacing w:beforeAutospacing="0" w:afterAutospacing="0"/>
                    <w:ind w:left="0" w:right="0"/>
                    <w:jc w:val="both"/>
                    <w:rPr>
                      <w:rFonts w:hint="eastAsia"/>
                      <w:color w:val="auto"/>
                      <w:sz w:val="21"/>
                      <w:szCs w:val="21"/>
                      <w:highlight w:val="none"/>
                      <w:lang w:eastAsia="zh-CN"/>
                    </w:rPr>
                  </w:pPr>
                </w:p>
              </w:tc>
            </w:tr>
            <w:tr w14:paraId="265F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1C11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vMerge w:val="continue"/>
                  <w:noWrap/>
                  <w:vAlign w:val="center"/>
                </w:tcPr>
                <w:p w14:paraId="1E41B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5553" w:type="dxa"/>
                  <w:gridSpan w:val="4"/>
                  <w:noWrap w:val="0"/>
                  <w:vAlign w:val="center"/>
                </w:tcPr>
                <w:p w14:paraId="6E054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lang w:val="en-US" w:eastAsia="zh-CN"/>
                    </w:rPr>
                  </w:pPr>
                  <w:r>
                    <w:rPr>
                      <w:rFonts w:hint="default"/>
                      <w:color w:val="auto"/>
                      <w:sz w:val="21"/>
                      <w:szCs w:val="21"/>
                      <w:highlight w:val="none"/>
                    </w:rPr>
                    <w:t>严格限制在淮河流域新建印染、制革、电镀、</w:t>
                  </w:r>
                  <w:r>
                    <w:rPr>
                      <w:rFonts w:hint="eastAsia"/>
                      <w:color w:val="auto"/>
                      <w:sz w:val="21"/>
                      <w:szCs w:val="21"/>
                      <w:highlight w:val="none"/>
                      <w:lang w:val="en-US" w:eastAsia="zh-CN"/>
                    </w:rPr>
                    <w:t>化工、</w:t>
                  </w:r>
                  <w:r>
                    <w:rPr>
                      <w:rFonts w:hint="default"/>
                      <w:color w:val="auto"/>
                      <w:sz w:val="21"/>
                      <w:szCs w:val="21"/>
                      <w:highlight w:val="none"/>
                    </w:rPr>
                    <w:t>酿造等大中型项目或者其他污染严重的项目；建设该类项目的，应当事前征得省人民政府生态环境行政主管部门的同意，并按照规定办理有关手续</w:t>
                  </w:r>
                  <w:r>
                    <w:rPr>
                      <w:rFonts w:hint="eastAsia"/>
                      <w:color w:val="auto"/>
                      <w:sz w:val="21"/>
                      <w:szCs w:val="21"/>
                      <w:highlight w:val="none"/>
                      <w:lang w:eastAsia="zh-CN"/>
                    </w:rPr>
                    <w:t>；</w:t>
                  </w:r>
                  <w:r>
                    <w:rPr>
                      <w:rFonts w:hint="eastAsia"/>
                      <w:color w:val="auto"/>
                      <w:sz w:val="21"/>
                      <w:szCs w:val="21"/>
                      <w:highlight w:val="none"/>
                      <w:lang w:val="en-US" w:eastAsia="zh-CN"/>
                    </w:rPr>
                    <w:t>化工项目应符合《关于进一步规范化工项目建设管理的通知》（皖经信原材料〔2022〕73号）准入管理要求。</w:t>
                  </w:r>
                </w:p>
              </w:tc>
              <w:tc>
                <w:tcPr>
                  <w:tcW w:w="1080" w:type="dxa"/>
                  <w:vMerge w:val="continue"/>
                  <w:noWrap w:val="0"/>
                  <w:vAlign w:val="center"/>
                </w:tcPr>
                <w:p w14:paraId="60092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default"/>
                      <w:color w:val="auto"/>
                      <w:sz w:val="21"/>
                      <w:szCs w:val="21"/>
                      <w:highlight w:val="none"/>
                    </w:rPr>
                  </w:pPr>
                </w:p>
              </w:tc>
            </w:tr>
            <w:tr w14:paraId="746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3BFA5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p>
              </w:tc>
              <w:tc>
                <w:tcPr>
                  <w:tcW w:w="640" w:type="dxa"/>
                  <w:noWrap/>
                  <w:vAlign w:val="center"/>
                </w:tcPr>
                <w:p w14:paraId="00AEC4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auto"/>
                      <w:sz w:val="21"/>
                      <w:szCs w:val="21"/>
                      <w:highlight w:val="none"/>
                    </w:rPr>
                  </w:pPr>
                  <w:r>
                    <w:rPr>
                      <w:rFonts w:hint="default"/>
                      <w:color w:val="auto"/>
                      <w:sz w:val="21"/>
                      <w:szCs w:val="21"/>
                      <w:highlight w:val="none"/>
                    </w:rPr>
                    <w:t>禁止类</w:t>
                  </w:r>
                </w:p>
              </w:tc>
              <w:tc>
                <w:tcPr>
                  <w:tcW w:w="5553" w:type="dxa"/>
                  <w:gridSpan w:val="4"/>
                  <w:noWrap w:val="0"/>
                  <w:vAlign w:val="center"/>
                </w:tcPr>
                <w:p w14:paraId="269F1237">
                  <w:pPr>
                    <w:pStyle w:val="37"/>
                    <w:keepNext w:val="0"/>
                    <w:keepLines w:val="0"/>
                    <w:suppressLineNumbers w:val="0"/>
                    <w:bidi w:val="0"/>
                    <w:spacing w:beforeAutospacing="0" w:afterAutospacing="0"/>
                    <w:ind w:left="0" w:right="0"/>
                    <w:jc w:val="both"/>
                    <w:rPr>
                      <w:rFonts w:hint="eastAsia"/>
                      <w:color w:val="auto"/>
                      <w:sz w:val="21"/>
                      <w:szCs w:val="21"/>
                      <w:highlight w:val="none"/>
                    </w:rPr>
                  </w:pPr>
                  <w:r>
                    <w:rPr>
                      <w:rFonts w:hint="eastAsia"/>
                      <w:color w:val="auto"/>
                      <w:sz w:val="21"/>
                      <w:szCs w:val="21"/>
                      <w:highlight w:val="none"/>
                    </w:rPr>
                    <w:t>（1）禁止引入《产业结构调整指导目录（2024年本）》《外商投资准入特别管理措施（负面清单）（2021年版）》《市场准入负面清单（2020年版）》和《国家长江经济带市场准入禁止限制目录》等相关产业政策中禁止或淘汰类项目、产品、工艺和设备；</w:t>
                  </w:r>
                </w:p>
                <w:p w14:paraId="5B68F860">
                  <w:pPr>
                    <w:pStyle w:val="37"/>
                    <w:keepNext w:val="0"/>
                    <w:keepLines w:val="0"/>
                    <w:suppressLineNumbers w:val="0"/>
                    <w:bidi w:val="0"/>
                    <w:spacing w:beforeAutospacing="0" w:afterAutospacing="0"/>
                    <w:ind w:left="0" w:right="0"/>
                    <w:jc w:val="both"/>
                    <w:rPr>
                      <w:rFonts w:hint="eastAsia"/>
                      <w:color w:val="auto"/>
                      <w:sz w:val="21"/>
                      <w:szCs w:val="21"/>
                      <w:highlight w:val="none"/>
                    </w:rPr>
                  </w:pPr>
                  <w:r>
                    <w:rPr>
                      <w:rFonts w:hint="eastAsia"/>
                      <w:color w:val="auto"/>
                      <w:sz w:val="21"/>
                      <w:szCs w:val="21"/>
                      <w:highlight w:val="none"/>
                    </w:rPr>
                    <w:t>（2）禁止引入专门从事印染、制革、电镀等生产的项目，禁止引入与主导产业不相符的</w:t>
                  </w:r>
                  <w:r>
                    <w:rPr>
                      <w:rFonts w:hint="eastAsia"/>
                      <w:color w:val="auto"/>
                      <w:sz w:val="21"/>
                      <w:szCs w:val="21"/>
                      <w:highlight w:val="none"/>
                      <w:lang w:eastAsia="zh-CN"/>
                    </w:rPr>
                    <w:t>“</w:t>
                  </w:r>
                  <w:r>
                    <w:rPr>
                      <w:rFonts w:hint="eastAsia"/>
                      <w:color w:val="auto"/>
                      <w:sz w:val="21"/>
                      <w:szCs w:val="21"/>
                      <w:highlight w:val="none"/>
                    </w:rPr>
                    <w:t>两高</w:t>
                  </w:r>
                  <w:r>
                    <w:rPr>
                      <w:rFonts w:hint="eastAsia"/>
                      <w:color w:val="auto"/>
                      <w:sz w:val="21"/>
                      <w:szCs w:val="21"/>
                      <w:highlight w:val="none"/>
                      <w:lang w:eastAsia="zh-CN"/>
                    </w:rPr>
                    <w:t>”</w:t>
                  </w:r>
                  <w:r>
                    <w:rPr>
                      <w:rFonts w:hint="eastAsia"/>
                      <w:color w:val="auto"/>
                      <w:sz w:val="21"/>
                      <w:szCs w:val="21"/>
                      <w:highlight w:val="none"/>
                    </w:rPr>
                    <w:t>类项目；</w:t>
                  </w:r>
                </w:p>
                <w:p w14:paraId="1DCE1518">
                  <w:pPr>
                    <w:pStyle w:val="37"/>
                    <w:keepNext w:val="0"/>
                    <w:keepLines w:val="0"/>
                    <w:suppressLineNumbers w:val="0"/>
                    <w:bidi w:val="0"/>
                    <w:spacing w:beforeAutospacing="0" w:afterAutospacing="0"/>
                    <w:ind w:left="0" w:right="0"/>
                    <w:jc w:val="both"/>
                    <w:rPr>
                      <w:rFonts w:hint="eastAsia"/>
                      <w:color w:val="auto"/>
                      <w:sz w:val="21"/>
                      <w:szCs w:val="21"/>
                      <w:highlight w:val="none"/>
                    </w:rPr>
                  </w:pPr>
                  <w:r>
                    <w:rPr>
                      <w:rFonts w:hint="eastAsia"/>
                      <w:color w:val="auto"/>
                      <w:sz w:val="21"/>
                      <w:szCs w:val="21"/>
                      <w:highlight w:val="none"/>
                    </w:rPr>
                    <w:t>（3）禁止新建、扩建法律法规和相关政策明令禁止的落后产能项目；</w:t>
                  </w:r>
                </w:p>
                <w:p w14:paraId="62D6E76C">
                  <w:pPr>
                    <w:pStyle w:val="37"/>
                    <w:keepNext w:val="0"/>
                    <w:keepLines w:val="0"/>
                    <w:suppressLineNumbers w:val="0"/>
                    <w:bidi w:val="0"/>
                    <w:spacing w:beforeAutospacing="0" w:afterAutospacing="0"/>
                    <w:ind w:left="0" w:right="0"/>
                    <w:jc w:val="both"/>
                    <w:rPr>
                      <w:rFonts w:hint="eastAsia"/>
                      <w:color w:val="auto"/>
                      <w:sz w:val="21"/>
                      <w:szCs w:val="21"/>
                      <w:highlight w:val="none"/>
                    </w:rPr>
                  </w:pPr>
                  <w:r>
                    <w:rPr>
                      <w:rFonts w:hint="eastAsia"/>
                      <w:color w:val="auto"/>
                      <w:sz w:val="21"/>
                      <w:szCs w:val="21"/>
                      <w:highlight w:val="none"/>
                    </w:rPr>
                    <w:t>（4）禁止新建、扩建不符合国家产能置换要求的严重过剩产能行业的项目；</w:t>
                  </w:r>
                </w:p>
                <w:p w14:paraId="2EF6143A">
                  <w:pPr>
                    <w:pStyle w:val="37"/>
                    <w:keepNext w:val="0"/>
                    <w:keepLines w:val="0"/>
                    <w:suppressLineNumbers w:val="0"/>
                    <w:bidi w:val="0"/>
                    <w:spacing w:beforeAutospacing="0" w:afterAutospacing="0"/>
                    <w:ind w:left="0" w:right="0"/>
                    <w:jc w:val="both"/>
                    <w:rPr>
                      <w:rFonts w:hint="default"/>
                      <w:color w:val="auto"/>
                      <w:sz w:val="21"/>
                      <w:szCs w:val="21"/>
                      <w:highlight w:val="none"/>
                    </w:rPr>
                  </w:pPr>
                  <w:r>
                    <w:rPr>
                      <w:rFonts w:hint="eastAsia"/>
                      <w:color w:val="auto"/>
                      <w:sz w:val="21"/>
                      <w:szCs w:val="21"/>
                      <w:highlight w:val="none"/>
                    </w:rPr>
                    <w:t>（5）区内部分紧邻居民点等环境敏感目标的工业用地，严格限制设计使用危险化学品的企业入驻。</w:t>
                  </w:r>
                </w:p>
              </w:tc>
              <w:tc>
                <w:tcPr>
                  <w:tcW w:w="1080" w:type="dxa"/>
                  <w:vMerge w:val="continue"/>
                  <w:noWrap w:val="0"/>
                  <w:vAlign w:val="center"/>
                </w:tcPr>
                <w:p w14:paraId="44E21EE2">
                  <w:pPr>
                    <w:pStyle w:val="37"/>
                    <w:keepNext w:val="0"/>
                    <w:keepLines w:val="0"/>
                    <w:suppressLineNumbers w:val="0"/>
                    <w:bidi w:val="0"/>
                    <w:spacing w:beforeAutospacing="0" w:afterAutospacing="0"/>
                    <w:ind w:left="0" w:right="0"/>
                    <w:jc w:val="both"/>
                    <w:rPr>
                      <w:rFonts w:hint="eastAsia"/>
                      <w:color w:val="auto"/>
                      <w:sz w:val="21"/>
                      <w:szCs w:val="21"/>
                      <w:highlight w:val="none"/>
                    </w:rPr>
                  </w:pPr>
                </w:p>
              </w:tc>
            </w:tr>
          </w:tbl>
          <w:p w14:paraId="1184C299">
            <w:pPr>
              <w:keepNext w:val="0"/>
              <w:keepLines w:val="0"/>
              <w:suppressLineNumbers w:val="0"/>
              <w:bidi w:val="0"/>
              <w:spacing w:before="0" w:beforeAutospacing="0" w:after="0" w:afterAutospacing="0"/>
              <w:ind w:left="0" w:right="0"/>
              <w:rPr>
                <w:rFonts w:hint="eastAsia"/>
                <w:color w:val="auto"/>
                <w:highlight w:val="none"/>
              </w:rPr>
            </w:pPr>
            <w:r>
              <w:rPr>
                <w:rFonts w:hint="eastAsia" w:cs="Times New Roman"/>
                <w:b w:val="0"/>
                <w:bCs w:val="0"/>
                <w:color w:val="auto"/>
                <w:kern w:val="2"/>
                <w:sz w:val="24"/>
                <w:szCs w:val="24"/>
                <w:highlight w:val="none"/>
                <w:lang w:val="en-US" w:eastAsia="zh-CN" w:bidi="ar-SA"/>
              </w:rPr>
              <w:t>根据上述分析可知，</w:t>
            </w:r>
            <w:r>
              <w:rPr>
                <w:rFonts w:hint="eastAsia"/>
                <w:color w:val="auto"/>
                <w:highlight w:val="none"/>
              </w:rPr>
              <w:t>本项目</w:t>
            </w:r>
            <w:r>
              <w:rPr>
                <w:rFonts w:hint="eastAsia"/>
                <w:color w:val="auto"/>
                <w:highlight w:val="none"/>
                <w:lang w:val="en-US" w:eastAsia="zh-CN"/>
              </w:rPr>
              <w:t>涉及行业类别为</w:t>
            </w:r>
            <w:r>
              <w:rPr>
                <w:rFonts w:hint="eastAsia" w:eastAsia="宋体"/>
                <w:color w:val="auto"/>
                <w:sz w:val="24"/>
                <w:szCs w:val="32"/>
                <w:highlight w:val="none"/>
                <w:lang w:eastAsia="zh-CN"/>
              </w:rPr>
              <w:t>M746环境与生态监测</w:t>
            </w:r>
            <w:r>
              <w:rPr>
                <w:rFonts w:hint="eastAsia"/>
                <w:color w:val="auto"/>
                <w:highlight w:val="none"/>
              </w:rPr>
              <w:t>，</w:t>
            </w:r>
            <w:r>
              <w:rPr>
                <w:rFonts w:hint="eastAsia" w:cs="Times New Roman"/>
                <w:b w:val="0"/>
                <w:bCs w:val="0"/>
                <w:color w:val="auto"/>
                <w:kern w:val="2"/>
                <w:sz w:val="24"/>
                <w:szCs w:val="24"/>
                <w:highlight w:val="none"/>
                <w:lang w:val="en-US" w:eastAsia="zh-CN" w:bidi="ar-SA"/>
              </w:rPr>
              <w:t>本项目不属于园区主导产业，同时亦不属于园区限制和禁止类项目，</w:t>
            </w:r>
            <w:r>
              <w:rPr>
                <w:rFonts w:hint="eastAsia"/>
                <w:color w:val="auto"/>
                <w:highlight w:val="none"/>
                <w:lang w:val="en-US" w:eastAsia="zh-CN"/>
              </w:rPr>
              <w:t>根据对照《淮南高新技术产业开发区总体发展规划（2024-2035年）（主导产业变更）》产业空间布局图（见附图4-1），开发区共计分为</w:t>
            </w:r>
            <w:r>
              <w:rPr>
                <w:rFonts w:hint="eastAsia"/>
                <w:color w:val="auto"/>
                <w:highlight w:val="none"/>
              </w:rPr>
              <w:t>汽车制造产业园、新型显示产业园、煤炭清洁利用产业园、现代服务业产业园</w:t>
            </w:r>
            <w:r>
              <w:rPr>
                <w:rFonts w:hint="eastAsia"/>
                <w:color w:val="auto"/>
                <w:highlight w:val="none"/>
                <w:lang w:val="en-US" w:eastAsia="zh-CN"/>
              </w:rPr>
              <w:t>，本项目位于</w:t>
            </w:r>
            <w:r>
              <w:rPr>
                <w:rFonts w:hint="eastAsia"/>
                <w:color w:val="auto"/>
                <w:highlight w:val="none"/>
              </w:rPr>
              <w:t>现代服务业产业园</w:t>
            </w:r>
            <w:r>
              <w:rPr>
                <w:rFonts w:hint="eastAsia"/>
                <w:color w:val="auto"/>
                <w:highlight w:val="none"/>
                <w:lang w:val="en-US" w:eastAsia="zh-CN"/>
              </w:rPr>
              <w:t>，</w:t>
            </w:r>
            <w:r>
              <w:rPr>
                <w:rFonts w:hint="eastAsia"/>
                <w:color w:val="auto"/>
                <w:highlight w:val="none"/>
              </w:rPr>
              <w:t>现代服务业产业园</w:t>
            </w:r>
            <w:r>
              <w:rPr>
                <w:rFonts w:hint="eastAsia"/>
                <w:color w:val="auto"/>
                <w:highlight w:val="none"/>
                <w:lang w:val="en-US" w:eastAsia="zh-CN"/>
              </w:rPr>
              <w:t>以健全园区配套功能和推动产业创新发展为导向，重点发展科技服务、电子商务、商务商贸和现代物流等业态，支撑主导产业高质量发展。本项目主要进行各类生态环境检测，不属于开发区主导产业，不在园区限制、控制、禁止进入行业范围内，企业服务于开发区内各类工业生产企业，属于与主导产业链配套的其他相关产业，按照“非禁即入”原则，</w:t>
            </w:r>
            <w:r>
              <w:rPr>
                <w:rFonts w:hint="eastAsia"/>
                <w:color w:val="auto"/>
                <w:highlight w:val="none"/>
              </w:rPr>
              <w:t>本项目满足</w:t>
            </w:r>
            <w:r>
              <w:rPr>
                <w:rFonts w:hint="eastAsia"/>
                <w:color w:val="auto"/>
                <w:highlight w:val="none"/>
                <w:lang w:val="en-US" w:eastAsia="zh-CN"/>
              </w:rPr>
              <w:t>淮南高新技术产业开发区</w:t>
            </w:r>
            <w:r>
              <w:rPr>
                <w:rFonts w:hint="eastAsia"/>
                <w:color w:val="auto"/>
                <w:highlight w:val="none"/>
              </w:rPr>
              <w:t>规划要求。</w:t>
            </w:r>
          </w:p>
          <w:p w14:paraId="5AC9C518">
            <w:pPr>
              <w:keepNext w:val="0"/>
              <w:keepLines w:val="0"/>
              <w:numPr>
                <w:ilvl w:val="0"/>
                <w:numId w:val="0"/>
              </w:numPr>
              <w:suppressLineNumbers w:val="0"/>
              <w:bidi w:val="0"/>
              <w:spacing w:before="0" w:beforeAutospacing="0" w:after="0" w:afterAutospacing="0"/>
              <w:ind w:left="0" w:right="0" w:firstLine="482" w:firstLineChars="200"/>
              <w:rPr>
                <w:rFonts w:hint="eastAsia"/>
                <w:b/>
                <w:bCs/>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2、</w:t>
            </w:r>
            <w:r>
              <w:rPr>
                <w:rFonts w:hint="eastAsia"/>
                <w:b/>
                <w:bCs/>
                <w:color w:val="auto"/>
                <w:highlight w:val="none"/>
                <w:lang w:val="en-US" w:eastAsia="zh-CN"/>
              </w:rPr>
              <w:t>与规划环评审查意见符合性分析</w:t>
            </w:r>
          </w:p>
          <w:p w14:paraId="15FF8658">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textAlignment w:val="auto"/>
              <w:rPr>
                <w:rFonts w:hint="eastAsia"/>
                <w:color w:val="auto"/>
                <w:highlight w:val="none"/>
                <w:lang w:val="en-US" w:eastAsia="zh-CN"/>
              </w:rPr>
            </w:pPr>
            <w:r>
              <w:rPr>
                <w:rFonts w:hint="eastAsia"/>
                <w:color w:val="auto"/>
                <w:highlight w:val="none"/>
                <w:lang w:val="en-US" w:eastAsia="zh-CN"/>
              </w:rPr>
              <w:t>表1-2  与规划环评审查意见符合性分析</w:t>
            </w:r>
          </w:p>
          <w:tbl>
            <w:tblPr>
              <w:tblStyle w:val="18"/>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7"/>
              <w:gridCol w:w="2198"/>
            </w:tblGrid>
            <w:tr w14:paraId="03CD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1DA22271">
                  <w:pPr>
                    <w:pStyle w:val="56"/>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意见</w:t>
                  </w:r>
                  <w:r>
                    <w:rPr>
                      <w:rFonts w:hint="default"/>
                      <w:b/>
                      <w:bCs/>
                      <w:color w:val="auto"/>
                      <w:highlight w:val="none"/>
                    </w:rPr>
                    <w:t>要求</w:t>
                  </w:r>
                </w:p>
              </w:tc>
              <w:tc>
                <w:tcPr>
                  <w:tcW w:w="1433" w:type="pct"/>
                  <w:noWrap/>
                  <w:vAlign w:val="center"/>
                </w:tcPr>
                <w:p w14:paraId="0D7C22C3">
                  <w:pPr>
                    <w:pStyle w:val="5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本项目情况</w:t>
                  </w:r>
                </w:p>
              </w:tc>
            </w:tr>
            <w:tr w14:paraId="5101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B4B8095">
                  <w:pPr>
                    <w:pStyle w:val="56"/>
                    <w:keepNext w:val="0"/>
                    <w:keepLines w:val="0"/>
                    <w:suppressLineNumbers w:val="0"/>
                    <w:bidi w:val="0"/>
                    <w:spacing w:before="0" w:beforeAutospacing="0" w:after="0" w:afterAutospacing="0"/>
                    <w:ind w:left="0" w:right="0"/>
                    <w:jc w:val="both"/>
                    <w:rPr>
                      <w:rFonts w:hint="eastAsia"/>
                      <w:b w:val="0"/>
                      <w:bCs w:val="0"/>
                      <w:color w:val="auto"/>
                      <w:highlight w:val="none"/>
                      <w:lang w:val="en-US" w:eastAsia="zh-CN"/>
                    </w:rPr>
                  </w:pPr>
                  <w:r>
                    <w:rPr>
                      <w:rFonts w:hint="eastAsia"/>
                      <w:b w:val="0"/>
                      <w:bCs w:val="0"/>
                      <w:color w:val="auto"/>
                      <w:highlight w:val="none"/>
                      <w:lang w:val="en-US" w:eastAsia="zh-CN"/>
                    </w:rPr>
                    <w:t>(一)加强《规划》引领，坚持绿色协调发展</w:t>
                  </w:r>
                </w:p>
                <w:p w14:paraId="4D58FBFE">
                  <w:pPr>
                    <w:pStyle w:val="56"/>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val="0"/>
                      <w:bCs w:val="0"/>
                      <w:color w:val="auto"/>
                      <w:highlight w:val="none"/>
                      <w:lang w:val="en-US" w:eastAsia="zh-CN"/>
                    </w:rPr>
                    <w:t>《规划》应加强与区域生态环境分区管控的协调衔接。统筹推进开发区整体发展和生态保护，基于环境承载力合理控制开发利用强度和时序，进一步提高土地利用效率，协调好产业发展与区域环境保护的关系。统筹开发区减污降碳协同共治、资源集约节约及循环化利用、能源智慧高效利用、环境风险防控等重大事项，引导开发区高质量发展。落实开发区发展规划，结合区域生态环境承载力，确保产业发展与区域生态环境保护、人居环境质量保障相协调。</w:t>
                  </w:r>
                </w:p>
              </w:tc>
              <w:tc>
                <w:tcPr>
                  <w:tcW w:w="1433" w:type="pct"/>
                  <w:noWrap/>
                  <w:vAlign w:val="center"/>
                </w:tcPr>
                <w:p w14:paraId="693BD576">
                  <w:pPr>
                    <w:pStyle w:val="56"/>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val="0"/>
                      <w:bCs w:val="0"/>
                      <w:color w:val="auto"/>
                      <w:highlight w:val="none"/>
                      <w:lang w:val="en-US" w:eastAsia="zh-CN"/>
                    </w:rPr>
                    <w:t>项目位于</w:t>
                  </w:r>
                  <w:r>
                    <w:rPr>
                      <w:rFonts w:hint="eastAsia"/>
                      <w:color w:val="auto"/>
                      <w:highlight w:val="none"/>
                      <w:lang w:val="en-US" w:eastAsia="zh-CN"/>
                    </w:rPr>
                    <w:t>淮南高新技术产业开发区，租赁现有闲置厂房，不新增用地</w:t>
                  </w:r>
                </w:p>
              </w:tc>
            </w:tr>
            <w:tr w14:paraId="2F7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ECB5FDC">
                  <w:pPr>
                    <w:pStyle w:val="56"/>
                    <w:keepNext w:val="0"/>
                    <w:keepLines w:val="0"/>
                    <w:suppressLineNumbers w:val="0"/>
                    <w:bidi w:val="0"/>
                    <w:spacing w:before="0" w:beforeAutospacing="0" w:after="0" w:afterAutospacing="0"/>
                    <w:ind w:left="0" w:right="0"/>
                    <w:jc w:val="both"/>
                    <w:rPr>
                      <w:rFonts w:hint="eastAsia"/>
                      <w:b w:val="0"/>
                      <w:bCs w:val="0"/>
                      <w:color w:val="auto"/>
                      <w:highlight w:val="none"/>
                      <w:lang w:val="en-US" w:eastAsia="zh-CN"/>
                    </w:rPr>
                  </w:pPr>
                  <w:r>
                    <w:rPr>
                      <w:rFonts w:hint="eastAsia"/>
                      <w:b w:val="0"/>
                      <w:bCs w:val="0"/>
                      <w:color w:val="auto"/>
                      <w:highlight w:val="none"/>
                      <w:lang w:val="en-US" w:eastAsia="zh-CN"/>
                    </w:rPr>
                    <w:t>(二)严守环境质量底线，保护区域生态环境质量</w:t>
                  </w:r>
                </w:p>
                <w:p w14:paraId="6EE31248">
                  <w:pPr>
                    <w:pStyle w:val="56"/>
                    <w:keepNext w:val="0"/>
                    <w:keepLines w:val="0"/>
                    <w:suppressLineNumbers w:val="0"/>
                    <w:bidi w:val="0"/>
                    <w:spacing w:before="0" w:beforeAutospacing="0" w:after="0" w:afterAutospacing="0"/>
                    <w:ind w:left="0" w:right="0"/>
                    <w:rPr>
                      <w:rFonts w:hint="eastAsia"/>
                      <w:b w:val="0"/>
                      <w:bCs w:val="0"/>
                      <w:color w:val="auto"/>
                      <w:highlight w:val="none"/>
                      <w:lang w:val="en-US" w:eastAsia="zh-CN"/>
                    </w:rPr>
                  </w:pPr>
                  <w:r>
                    <w:rPr>
                      <w:rFonts w:hint="eastAsia"/>
                      <w:b w:val="0"/>
                      <w:bCs w:val="0"/>
                      <w:color w:val="auto"/>
                      <w:highlight w:val="none"/>
                      <w:lang w:val="en-US" w:eastAsia="zh-CN"/>
                    </w:rPr>
                    <w:t>开发区应坚持生态优先、高效集约发展，以生态环境质量改善、防范环境风险为核心，明确开发区发展存在的制约因素根据国家和我省大气、水、土壤、固废污染防治相关要求，妥善解决区域生态环境问题，确保开发区建设项目污染物长期稳定达标排放，区域生态环境质量持续优化。</w:t>
                  </w:r>
                </w:p>
              </w:tc>
              <w:tc>
                <w:tcPr>
                  <w:tcW w:w="1433" w:type="pct"/>
                  <w:noWrap/>
                  <w:vAlign w:val="center"/>
                </w:tcPr>
                <w:p w14:paraId="27F41044">
                  <w:pPr>
                    <w:pStyle w:val="56"/>
                    <w:keepNext w:val="0"/>
                    <w:keepLines w:val="0"/>
                    <w:suppressLineNumbers w:val="0"/>
                    <w:bidi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项目营运期采取现行可行技术对产生的废气、废水等进行处理确保各污染物均能达标排放，满足规划要求</w:t>
                  </w:r>
                </w:p>
              </w:tc>
            </w:tr>
            <w:tr w14:paraId="70ED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1842F01">
                  <w:pPr>
                    <w:pStyle w:val="56"/>
                    <w:keepNext w:val="0"/>
                    <w:keepLines w:val="0"/>
                    <w:suppressLineNumbers w:val="0"/>
                    <w:bidi w:val="0"/>
                    <w:spacing w:before="0" w:beforeAutospacing="0" w:after="0" w:afterAutospacing="0"/>
                    <w:ind w:left="0" w:right="0"/>
                    <w:jc w:val="both"/>
                    <w:rPr>
                      <w:rFonts w:hint="eastAsia"/>
                      <w:b w:val="0"/>
                      <w:bCs w:val="0"/>
                      <w:color w:val="auto"/>
                      <w:highlight w:val="none"/>
                      <w:lang w:val="en-US" w:eastAsia="zh-CN"/>
                    </w:rPr>
                  </w:pPr>
                  <w:r>
                    <w:rPr>
                      <w:rFonts w:hint="eastAsia"/>
                      <w:b w:val="0"/>
                      <w:bCs w:val="0"/>
                      <w:color w:val="auto"/>
                      <w:highlight w:val="none"/>
                      <w:lang w:val="en-US" w:eastAsia="zh-CN"/>
                    </w:rPr>
                    <w:t>(三)优化产业布局，加强生态环境分区管控</w:t>
                  </w:r>
                </w:p>
                <w:p w14:paraId="6411209E">
                  <w:pPr>
                    <w:pStyle w:val="56"/>
                    <w:keepNext w:val="0"/>
                    <w:keepLines w:val="0"/>
                    <w:suppressLineNumbers w:val="0"/>
                    <w:bidi w:val="0"/>
                    <w:spacing w:before="0" w:beforeAutospacing="0" w:after="0" w:afterAutospacing="0"/>
                    <w:ind w:left="0" w:right="0"/>
                    <w:rPr>
                      <w:rFonts w:hint="eastAsia"/>
                      <w:b w:val="0"/>
                      <w:bCs w:val="0"/>
                      <w:color w:val="auto"/>
                      <w:highlight w:val="none"/>
                      <w:lang w:val="en-US" w:eastAsia="zh-CN"/>
                    </w:rPr>
                  </w:pPr>
                  <w:r>
                    <w:rPr>
                      <w:rFonts w:hint="eastAsia"/>
                      <w:b w:val="0"/>
                      <w:bCs w:val="0"/>
                      <w:color w:val="auto"/>
                      <w:highlight w:val="none"/>
                      <w:lang w:val="en-US" w:eastAsia="zh-CN"/>
                    </w:rPr>
                    <w:t>落实生态环境分区管控要求，结合省长江经济带发展负面清单管控要求及区域资源优势和环境制约因素等，进一步完善产业发展规划，优化功能分区和空间布局。合理规划区的环境保护空间，严禁不符合管控要求的各类开发建设活动，规划实施不得降低淮河、高塘湖、瓦埠湖等地表水体的环境质量</w:t>
                  </w:r>
                </w:p>
              </w:tc>
              <w:tc>
                <w:tcPr>
                  <w:tcW w:w="1433" w:type="pct"/>
                  <w:vMerge w:val="restart"/>
                  <w:noWrap/>
                  <w:vAlign w:val="center"/>
                </w:tcPr>
                <w:p w14:paraId="22504081">
                  <w:pPr>
                    <w:pStyle w:val="5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textAlignment w:val="baseline"/>
                    <w:rPr>
                      <w:rFonts w:hint="default"/>
                      <w:b w:val="0"/>
                      <w:bCs w:val="0"/>
                      <w:color w:val="auto"/>
                      <w:highlight w:val="none"/>
                      <w:lang w:val="en-US" w:eastAsia="zh-CN"/>
                    </w:rPr>
                  </w:pPr>
                  <w:r>
                    <w:rPr>
                      <w:rFonts w:hint="eastAsia"/>
                      <w:b w:val="0"/>
                      <w:bCs w:val="0"/>
                      <w:color w:val="auto"/>
                      <w:highlight w:val="none"/>
                      <w:lang w:val="en-US" w:eastAsia="zh-CN"/>
                    </w:rPr>
                    <w:t>项目位于</w:t>
                  </w:r>
                  <w:r>
                    <w:rPr>
                      <w:rFonts w:hint="eastAsia"/>
                      <w:color w:val="auto"/>
                      <w:highlight w:val="none"/>
                      <w:lang w:val="en-US" w:eastAsia="zh-CN"/>
                    </w:rPr>
                    <w:t>淮南高新技术产业开发区</w:t>
                  </w:r>
                  <w:r>
                    <w:rPr>
                      <w:rFonts w:hint="eastAsia"/>
                      <w:b w:val="0"/>
                      <w:bCs w:val="0"/>
                      <w:color w:val="auto"/>
                      <w:highlight w:val="none"/>
                      <w:lang w:val="en-US" w:eastAsia="zh-CN"/>
                    </w:rPr>
                    <w:t>，为重点管控单元，满足重点管控单元分区管控条件、长江经济带发展负面清单管控要求。</w:t>
                  </w:r>
                  <w:r>
                    <w:rPr>
                      <w:rFonts w:hint="eastAsia"/>
                      <w:b w:val="0"/>
                      <w:bCs w:val="0"/>
                      <w:color w:val="0000FF"/>
                      <w:highlight w:val="none"/>
                      <w:lang w:val="en-US" w:eastAsia="zh-CN"/>
                    </w:rPr>
                    <w:t>项目实验废水经自建污水处理设施达到排放标准后排入山南新区污水处理厂集中处理后排入高塘湖，生活污水、保洁废水经化粪池收集预处理接管市政污水管网，尾水满足</w:t>
                  </w:r>
                  <w:r>
                    <w:rPr>
                      <w:rFonts w:hint="eastAsia" w:cs="Times New Roman"/>
                      <w:color w:val="0000FF"/>
                      <w:highlight w:val="none"/>
                      <w:lang w:val="en-US" w:eastAsia="zh-CN"/>
                    </w:rPr>
                    <w:t>《城镇污水处理厂污染物排放标准》GB18918-2002）一级A标准，对地表水环境影响不大</w:t>
                  </w:r>
                </w:p>
              </w:tc>
            </w:tr>
            <w:tr w14:paraId="4E15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461B567E">
                  <w:pPr>
                    <w:pStyle w:val="56"/>
                    <w:keepNext w:val="0"/>
                    <w:keepLines w:val="0"/>
                    <w:suppressLineNumbers w:val="0"/>
                    <w:bidi w:val="0"/>
                    <w:spacing w:before="0" w:beforeAutospacing="0" w:after="0" w:afterAutospacing="0"/>
                    <w:ind w:left="0" w:right="0"/>
                    <w:rPr>
                      <w:rFonts w:hint="eastAsia"/>
                      <w:b w:val="0"/>
                      <w:bCs w:val="0"/>
                      <w:color w:val="auto"/>
                      <w:highlight w:val="none"/>
                      <w:lang w:val="en-US" w:eastAsia="zh-CN"/>
                    </w:rPr>
                  </w:pPr>
                  <w:r>
                    <w:rPr>
                      <w:rFonts w:hint="eastAsia"/>
                      <w:b w:val="0"/>
                      <w:bCs w:val="0"/>
                      <w:color w:val="auto"/>
                      <w:highlight w:val="none"/>
                      <w:lang w:val="en-US" w:eastAsia="zh-CN"/>
                    </w:rPr>
                    <w:t>(四)完善环保基础设施建设，强化环境污染防控根据开发时序和开发强度，进一步优化区域供水、排水、供气等规划，完善各项环保基础设施建设，结合区域环境质量现状，细化污染防治措施建设和运行管理要求，保障受纳水体的水环境功能、下游水环境保护目标及相关核断面水质稳定达标。</w:t>
                  </w:r>
                </w:p>
              </w:tc>
              <w:tc>
                <w:tcPr>
                  <w:tcW w:w="1433" w:type="pct"/>
                  <w:vMerge w:val="continue"/>
                  <w:noWrap/>
                  <w:vAlign w:val="center"/>
                </w:tcPr>
                <w:p w14:paraId="67C49CAF">
                  <w:pPr>
                    <w:pStyle w:val="5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textAlignment w:val="baseline"/>
                    <w:rPr>
                      <w:rFonts w:hint="eastAsia"/>
                      <w:b w:val="0"/>
                      <w:bCs w:val="0"/>
                      <w:color w:val="auto"/>
                      <w:highlight w:val="none"/>
                      <w:lang w:val="en-US" w:eastAsia="zh-CN"/>
                    </w:rPr>
                  </w:pPr>
                </w:p>
              </w:tc>
            </w:tr>
            <w:tr w14:paraId="0F37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4F6D9D48">
                  <w:pPr>
                    <w:pStyle w:val="56"/>
                    <w:keepNext w:val="0"/>
                    <w:keepLines w:val="0"/>
                    <w:suppressLineNumbers w:val="0"/>
                    <w:bidi w:val="0"/>
                    <w:spacing w:before="0" w:beforeAutospacing="0" w:after="0" w:afterAutospacing="0"/>
                    <w:ind w:left="0" w:right="0"/>
                    <w:jc w:val="both"/>
                    <w:rPr>
                      <w:rFonts w:hint="eastAsia"/>
                      <w:b w:val="0"/>
                      <w:bCs w:val="0"/>
                      <w:color w:val="auto"/>
                      <w:highlight w:val="none"/>
                      <w:lang w:val="en-US" w:eastAsia="zh-CN"/>
                    </w:rPr>
                  </w:pPr>
                  <w:r>
                    <w:rPr>
                      <w:rFonts w:hint="eastAsia"/>
                      <w:b w:val="0"/>
                      <w:bCs w:val="0"/>
                      <w:color w:val="auto"/>
                      <w:highlight w:val="none"/>
                      <w:lang w:val="en-US" w:eastAsia="zh-CN"/>
                    </w:rPr>
                    <w:t>(五)细化生态环境准入清单，推动高质量发展</w:t>
                  </w:r>
                </w:p>
                <w:p w14:paraId="6174FC6B">
                  <w:pPr>
                    <w:pStyle w:val="56"/>
                    <w:keepNext w:val="0"/>
                    <w:keepLines w:val="0"/>
                    <w:suppressLineNumbers w:val="0"/>
                    <w:bidi w:val="0"/>
                    <w:spacing w:before="0" w:beforeAutospacing="0" w:after="0" w:afterAutospacing="0"/>
                    <w:ind w:left="0" w:right="0"/>
                    <w:rPr>
                      <w:rFonts w:hint="eastAsia"/>
                      <w:b w:val="0"/>
                      <w:bCs w:val="0"/>
                      <w:color w:val="auto"/>
                      <w:highlight w:val="none"/>
                      <w:lang w:val="en-US" w:eastAsia="zh-CN"/>
                    </w:rPr>
                  </w:pPr>
                  <w:r>
                    <w:rPr>
                      <w:rFonts w:hint="eastAsia"/>
                      <w:b w:val="0"/>
                      <w:bCs w:val="0"/>
                      <w:color w:val="auto"/>
                      <w:highlight w:val="none"/>
                      <w:lang w:val="en-US" w:eastAsia="zh-CN"/>
                    </w:rPr>
                    <w:t>根据国家和区域发展战略，结合区域生态环境质量现状、国土空间规划等，严格落实《报告书》生态环境准入要求。严格执行国家产业政策，坚决遏制“两高一低”项目盲目发展，严禁不符合淮河流域生态环境保护要求的项目入区。</w:t>
                  </w:r>
                </w:p>
              </w:tc>
              <w:tc>
                <w:tcPr>
                  <w:tcW w:w="1433" w:type="pct"/>
                  <w:noWrap/>
                  <w:vAlign w:val="center"/>
                </w:tcPr>
                <w:p w14:paraId="3D091D31">
                  <w:pPr>
                    <w:pStyle w:val="56"/>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ind w:left="0" w:right="0"/>
                    <w:textAlignment w:val="baseline"/>
                    <w:rPr>
                      <w:rFonts w:hint="default" w:eastAsia="宋体"/>
                      <w:b w:val="0"/>
                      <w:bCs w:val="0"/>
                      <w:color w:val="auto"/>
                      <w:highlight w:val="none"/>
                      <w:lang w:val="en-US" w:eastAsia="zh-CN"/>
                    </w:rPr>
                  </w:pPr>
                  <w:r>
                    <w:rPr>
                      <w:rFonts w:hint="default"/>
                      <w:color w:val="auto"/>
                      <w:highlight w:val="none"/>
                    </w:rPr>
                    <w:t>对照《安徽省</w:t>
                  </w:r>
                  <w:r>
                    <w:rPr>
                      <w:rFonts w:hint="eastAsia"/>
                      <w:color w:val="auto"/>
                      <w:highlight w:val="none"/>
                      <w:lang w:eastAsia="zh-CN"/>
                    </w:rPr>
                    <w:t>“</w:t>
                  </w:r>
                  <w:r>
                    <w:rPr>
                      <w:rFonts w:hint="default"/>
                      <w:color w:val="auto"/>
                      <w:highlight w:val="none"/>
                    </w:rPr>
                    <w:t>两高</w:t>
                  </w:r>
                  <w:r>
                    <w:rPr>
                      <w:rFonts w:hint="eastAsia"/>
                      <w:color w:val="auto"/>
                      <w:highlight w:val="none"/>
                      <w:lang w:eastAsia="zh-CN"/>
                    </w:rPr>
                    <w:t>”</w:t>
                  </w:r>
                  <w:r>
                    <w:rPr>
                      <w:rFonts w:hint="default"/>
                      <w:color w:val="auto"/>
                      <w:highlight w:val="none"/>
                    </w:rPr>
                    <w:t>项目管理目录（试行）》，本项目不属于两高项目</w:t>
                  </w:r>
                  <w:r>
                    <w:rPr>
                      <w:rFonts w:hint="eastAsia"/>
                      <w:color w:val="auto"/>
                      <w:highlight w:val="none"/>
                      <w:lang w:eastAsia="zh-CN"/>
                    </w:rPr>
                    <w:t>，</w:t>
                  </w:r>
                  <w:r>
                    <w:rPr>
                      <w:rFonts w:hint="eastAsia"/>
                      <w:color w:val="auto"/>
                      <w:highlight w:val="none"/>
                      <w:lang w:val="en-US" w:eastAsia="zh-CN"/>
                    </w:rPr>
                    <w:t>不产生大量生产废水，不设置入河排污口，对照《报告书》中生态环境准入要求，本项目不属于限制类和禁止类。</w:t>
                  </w:r>
                </w:p>
              </w:tc>
            </w:tr>
            <w:tr w14:paraId="433E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05E8F4B9">
                  <w:pPr>
                    <w:pStyle w:val="5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在高新区后期发展中西北角不得入驻高V0Cs污染项目</w:t>
                  </w:r>
                  <w:r>
                    <w:rPr>
                      <w:rFonts w:hint="eastAsia"/>
                      <w:color w:val="auto"/>
                      <w:highlight w:val="none"/>
                      <w:lang w:eastAsia="zh-CN"/>
                    </w:rPr>
                    <w:t>；</w:t>
                  </w:r>
                  <w:r>
                    <w:rPr>
                      <w:rFonts w:hint="eastAsia"/>
                      <w:color w:val="auto"/>
                      <w:highlight w:val="none"/>
                    </w:rPr>
                    <w:t>对工业用地和敏感点中间设置缓冲带，布置科研、服务或低污染项目，不得新建、改建、扩建可能造成土壤污染的建设项目、新建有色金属冶炼、焦化等行业企业</w:t>
                  </w:r>
                  <w:r>
                    <w:rPr>
                      <w:rFonts w:hint="eastAsia"/>
                      <w:color w:val="auto"/>
                      <w:highlight w:val="none"/>
                      <w:lang w:eastAsia="zh-CN"/>
                    </w:rPr>
                    <w:t>；</w:t>
                  </w:r>
                </w:p>
              </w:tc>
              <w:tc>
                <w:tcPr>
                  <w:tcW w:w="1433" w:type="pct"/>
                  <w:noWrap/>
                  <w:vAlign w:val="center"/>
                </w:tcPr>
                <w:p w14:paraId="27C6EC51">
                  <w:pPr>
                    <w:pStyle w:val="56"/>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在理化试验等阶段产生少量酸雾、有机废气等，不属于高</w:t>
                  </w:r>
                  <w:r>
                    <w:rPr>
                      <w:rFonts w:hint="eastAsia"/>
                      <w:color w:val="auto"/>
                      <w:highlight w:val="none"/>
                    </w:rPr>
                    <w:t>V</w:t>
                  </w:r>
                  <w:r>
                    <w:rPr>
                      <w:rFonts w:hint="eastAsia"/>
                      <w:color w:val="auto"/>
                      <w:highlight w:val="none"/>
                      <w:lang w:val="en-US" w:eastAsia="zh-CN"/>
                    </w:rPr>
                    <w:t>O</w:t>
                  </w:r>
                  <w:r>
                    <w:rPr>
                      <w:rFonts w:hint="eastAsia"/>
                      <w:color w:val="auto"/>
                      <w:highlight w:val="none"/>
                    </w:rPr>
                    <w:t>Cs</w:t>
                  </w:r>
                  <w:r>
                    <w:rPr>
                      <w:rFonts w:hint="eastAsia"/>
                      <w:color w:val="auto"/>
                      <w:highlight w:val="none"/>
                      <w:lang w:val="en-US" w:eastAsia="zh-CN"/>
                    </w:rPr>
                    <w:t>污染项目，本项目进行环境与生态监测，本项目不属于有色</w:t>
                  </w:r>
                  <w:r>
                    <w:rPr>
                      <w:rFonts w:hint="eastAsia"/>
                      <w:color w:val="auto"/>
                      <w:highlight w:val="none"/>
                    </w:rPr>
                    <w:t>金属冶炼、焦化等行业</w:t>
                  </w:r>
                </w:p>
              </w:tc>
            </w:tr>
          </w:tbl>
          <w:p w14:paraId="55BB0D17">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综上，本项目符合《淮南高新技术产业开发区总体发展规划（2024-2035年）（主导产业变更）》</w:t>
            </w:r>
            <w:r>
              <w:rPr>
                <w:rFonts w:hint="eastAsia"/>
                <w:color w:val="auto"/>
                <w:kern w:val="0"/>
                <w:highlight w:val="none"/>
                <w:lang w:val="en-US" w:eastAsia="zh-CN"/>
              </w:rPr>
              <w:t>及规划环评审查意见相关要求。</w:t>
            </w:r>
          </w:p>
        </w:tc>
      </w:tr>
      <w:tr w14:paraId="4E850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shd w:val="clear" w:color="auto" w:fill="auto"/>
            <w:noWrap w:val="0"/>
            <w:vAlign w:val="center"/>
          </w:tcPr>
          <w:p w14:paraId="083D78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color w:val="auto"/>
                <w:highlight w:val="none"/>
              </w:rPr>
              <w:t>其他符合性分析</w:t>
            </w:r>
          </w:p>
        </w:tc>
        <w:tc>
          <w:tcPr>
            <w:tcW w:w="7933" w:type="dxa"/>
            <w:gridSpan w:val="3"/>
            <w:shd w:val="clear" w:color="auto" w:fill="auto"/>
            <w:noWrap w:val="0"/>
            <w:vAlign w:val="center"/>
          </w:tcPr>
          <w:p w14:paraId="2A66803C">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1、选址符合性分析</w:t>
            </w:r>
          </w:p>
          <w:p w14:paraId="62AD7825">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（1）</w:t>
            </w:r>
            <w:r>
              <w:rPr>
                <w:rFonts w:hint="default"/>
                <w:b/>
                <w:bCs/>
                <w:color w:val="auto"/>
                <w:highlight w:val="none"/>
              </w:rPr>
              <w:t>选址合理性分析</w:t>
            </w:r>
          </w:p>
          <w:p w14:paraId="3DDA8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color w:val="auto"/>
                <w:highlight w:val="none"/>
              </w:rPr>
            </w:pPr>
            <w:r>
              <w:rPr>
                <w:rFonts w:hint="default"/>
                <w:color w:val="auto"/>
                <w:highlight w:val="none"/>
              </w:rPr>
              <w:t>本项目位于</w:t>
            </w:r>
            <w:r>
              <w:rPr>
                <w:rFonts w:hint="eastAsia"/>
                <w:color w:val="auto"/>
                <w:highlight w:val="none"/>
                <w:lang w:val="en-US" w:eastAsia="zh-CN"/>
              </w:rPr>
              <w:t>淮南高新技术产业开发区</w:t>
            </w:r>
            <w:r>
              <w:rPr>
                <w:rFonts w:hint="default"/>
                <w:color w:val="auto"/>
                <w:highlight w:val="none"/>
              </w:rPr>
              <w:t>，</w:t>
            </w:r>
            <w:r>
              <w:rPr>
                <w:rFonts w:hint="eastAsia"/>
                <w:color w:val="auto"/>
                <w:highlight w:val="none"/>
              </w:rPr>
              <w:t>属于工业用地范围（附图4</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选址</w:t>
            </w:r>
            <w:r>
              <w:rPr>
                <w:rFonts w:hint="default"/>
                <w:color w:val="auto"/>
                <w:highlight w:val="none"/>
              </w:rPr>
              <w:t>交通便利，区域环境质量良好，</w:t>
            </w:r>
            <w:r>
              <w:rPr>
                <w:rFonts w:hint="eastAsia"/>
                <w:color w:val="auto"/>
                <w:highlight w:val="none"/>
              </w:rPr>
              <w:t>样品标定、水样、器皿清洗等部分废水涉重、涉有机溶剂，企业不具备处理能力的作为危废处置，剩余进入污水处理设施处理后进入园区污水管网；喷淋废水周期性排放，进入污水处理设施处理后进入园区污水管网；纯水机反冲洗废水接管园区污水管网进入市政污水管网；生活污水</w:t>
            </w:r>
            <w:r>
              <w:rPr>
                <w:rFonts w:hint="eastAsia"/>
                <w:color w:val="auto"/>
                <w:highlight w:val="none"/>
                <w:lang w:eastAsia="zh-CN"/>
              </w:rPr>
              <w:t>、</w:t>
            </w:r>
            <w:r>
              <w:rPr>
                <w:rFonts w:hint="eastAsia"/>
                <w:color w:val="auto"/>
                <w:highlight w:val="none"/>
              </w:rPr>
              <w:t>保洁废水经现有化粪池收集后接管市政污水管网</w:t>
            </w:r>
            <w:r>
              <w:rPr>
                <w:rFonts w:hint="eastAsia"/>
                <w:color w:val="auto"/>
                <w:highlight w:val="none"/>
                <w:lang w:eastAsia="zh-CN"/>
              </w:rPr>
              <w:t>，</w:t>
            </w:r>
            <w:r>
              <w:rPr>
                <w:rFonts w:hint="eastAsia"/>
                <w:color w:val="auto"/>
                <w:highlight w:val="none"/>
                <w:lang w:val="en-US" w:eastAsia="zh-CN"/>
              </w:rPr>
              <w:t>污水经市政污水管网排入山南新区污水处理厂</w:t>
            </w:r>
            <w:r>
              <w:rPr>
                <w:rFonts w:hint="eastAsia"/>
                <w:color w:val="auto"/>
                <w:highlight w:val="none"/>
              </w:rPr>
              <w:t>中处理；</w:t>
            </w:r>
            <w:r>
              <w:rPr>
                <w:rFonts w:hint="eastAsia"/>
                <w:color w:val="auto"/>
                <w:highlight w:val="none"/>
                <w:lang w:val="en-US" w:eastAsia="zh-CN"/>
              </w:rPr>
              <w:t>区域</w:t>
            </w:r>
            <w:r>
              <w:rPr>
                <w:rFonts w:hint="eastAsia"/>
                <w:color w:val="auto"/>
                <w:highlight w:val="none"/>
              </w:rPr>
              <w:t>大气环</w:t>
            </w:r>
            <w:r>
              <w:rPr>
                <w:rFonts w:hint="default"/>
                <w:color w:val="auto"/>
                <w:highlight w:val="none"/>
              </w:rPr>
              <w:t>境</w:t>
            </w:r>
            <w:r>
              <w:rPr>
                <w:rFonts w:hint="eastAsia"/>
                <w:color w:val="auto"/>
                <w:highlight w:val="none"/>
                <w:lang w:eastAsia="zh-CN"/>
              </w:rPr>
              <w:t>（</w:t>
            </w:r>
            <w:r>
              <w:rPr>
                <w:rFonts w:hint="eastAsia"/>
                <w:color w:val="auto"/>
                <w:highlight w:val="none"/>
                <w:lang w:val="en-US" w:eastAsia="zh-CN"/>
              </w:rPr>
              <w:t>除PM</w:t>
            </w:r>
            <w:r>
              <w:rPr>
                <w:rFonts w:hint="eastAsia"/>
                <w:color w:val="auto"/>
                <w:highlight w:val="none"/>
                <w:vertAlign w:val="subscript"/>
                <w:lang w:val="en-US" w:eastAsia="zh-CN"/>
              </w:rPr>
              <w:t>2.5</w:t>
            </w:r>
            <w:r>
              <w:rPr>
                <w:rFonts w:hint="eastAsia"/>
                <w:color w:val="auto"/>
                <w:highlight w:val="none"/>
                <w:vertAlign w:val="baseline"/>
                <w:lang w:val="en-US" w:eastAsia="zh-CN"/>
              </w:rPr>
              <w:t>稍许超标外</w:t>
            </w:r>
            <w:r>
              <w:rPr>
                <w:rFonts w:hint="eastAsia"/>
                <w:color w:val="auto"/>
                <w:highlight w:val="none"/>
                <w:lang w:eastAsia="zh-CN"/>
              </w:rPr>
              <w:t>）</w:t>
            </w:r>
            <w:r>
              <w:rPr>
                <w:rFonts w:hint="eastAsia"/>
                <w:color w:val="auto"/>
                <w:highlight w:val="none"/>
                <w:lang w:val="en-US" w:eastAsia="zh-CN"/>
              </w:rPr>
              <w:t>基本</w:t>
            </w:r>
            <w:r>
              <w:rPr>
                <w:rFonts w:hint="default"/>
                <w:color w:val="auto"/>
                <w:highlight w:val="none"/>
              </w:rPr>
              <w:t>满足《环境空气质量标准》</w:t>
            </w:r>
            <w:r>
              <w:rPr>
                <w:rFonts w:hint="eastAsia"/>
                <w:color w:val="auto"/>
                <w:highlight w:val="none"/>
                <w:lang w:eastAsia="zh-CN"/>
              </w:rPr>
              <w:t>（</w:t>
            </w:r>
            <w:r>
              <w:rPr>
                <w:rFonts w:hint="default"/>
                <w:color w:val="auto"/>
                <w:highlight w:val="none"/>
              </w:rPr>
              <w:t>GB3095-2012</w:t>
            </w:r>
            <w:r>
              <w:rPr>
                <w:rFonts w:hint="eastAsia"/>
                <w:color w:val="auto"/>
                <w:highlight w:val="none"/>
                <w:lang w:eastAsia="zh-CN"/>
              </w:rPr>
              <w:t>）</w:t>
            </w:r>
            <w:r>
              <w:rPr>
                <w:rFonts w:hint="default"/>
                <w:color w:val="auto"/>
                <w:highlight w:val="none"/>
              </w:rPr>
              <w:t>中的二级标准要求</w:t>
            </w:r>
            <w:r>
              <w:rPr>
                <w:rFonts w:hint="eastAsia"/>
                <w:color w:val="auto"/>
                <w:highlight w:val="none"/>
              </w:rPr>
              <w:t>；</w:t>
            </w:r>
            <w:r>
              <w:rPr>
                <w:rFonts w:hint="default"/>
                <w:color w:val="auto"/>
                <w:highlight w:val="none"/>
              </w:rPr>
              <w:t>项目区域声环境质量满足《声环境质量标准》</w:t>
            </w:r>
            <w:r>
              <w:rPr>
                <w:rFonts w:hint="eastAsia"/>
                <w:color w:val="auto"/>
                <w:highlight w:val="none"/>
                <w:lang w:eastAsia="zh-CN"/>
              </w:rPr>
              <w:t>（</w:t>
            </w:r>
            <w:r>
              <w:rPr>
                <w:rFonts w:hint="default"/>
                <w:color w:val="auto"/>
                <w:highlight w:val="none"/>
              </w:rPr>
              <w:t>GB3096-2008</w:t>
            </w:r>
            <w:r>
              <w:rPr>
                <w:rFonts w:hint="eastAsia"/>
                <w:color w:val="auto"/>
                <w:highlight w:val="none"/>
                <w:lang w:eastAsia="zh-CN"/>
              </w:rPr>
              <w:t>）</w:t>
            </w:r>
            <w:r>
              <w:rPr>
                <w:rFonts w:hint="default"/>
                <w:color w:val="auto"/>
                <w:highlight w:val="none"/>
              </w:rPr>
              <w:t>中3类区标准，环境容量较大，项目区域对项目无制约因素，因此项目选址较为合理。</w:t>
            </w:r>
          </w:p>
          <w:p w14:paraId="1B33AE07">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用地</w:t>
            </w:r>
            <w:r>
              <w:rPr>
                <w:rFonts w:hint="default"/>
                <w:b/>
                <w:bCs/>
                <w:color w:val="auto"/>
                <w:highlight w:val="none"/>
              </w:rPr>
              <w:t>符合性分析</w:t>
            </w:r>
          </w:p>
          <w:p w14:paraId="331DC9EC">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本项目</w:t>
            </w:r>
            <w:r>
              <w:rPr>
                <w:rFonts w:hint="eastAsia"/>
                <w:color w:val="auto"/>
                <w:highlight w:val="none"/>
              </w:rPr>
              <w:t>位于</w:t>
            </w:r>
            <w:r>
              <w:rPr>
                <w:rFonts w:hint="eastAsia"/>
                <w:color w:val="auto"/>
                <w:highlight w:val="none"/>
                <w:lang w:val="en-US" w:eastAsia="zh-CN"/>
              </w:rPr>
              <w:t>淮南高新技术产业开发区</w:t>
            </w:r>
            <w:r>
              <w:rPr>
                <w:rFonts w:hint="default"/>
                <w:color w:val="auto"/>
                <w:highlight w:val="none"/>
              </w:rPr>
              <w:t>，项目</w:t>
            </w:r>
            <w:r>
              <w:rPr>
                <w:rFonts w:hint="eastAsia"/>
                <w:color w:val="auto"/>
                <w:highlight w:val="none"/>
              </w:rPr>
              <w:t>所在地</w:t>
            </w:r>
            <w:r>
              <w:rPr>
                <w:rFonts w:hint="default"/>
                <w:color w:val="auto"/>
                <w:highlight w:val="none"/>
              </w:rPr>
              <w:t>为工业</w:t>
            </w:r>
            <w:r>
              <w:rPr>
                <w:rFonts w:hint="eastAsia"/>
                <w:color w:val="auto"/>
                <w:highlight w:val="none"/>
              </w:rPr>
              <w:t>用</w:t>
            </w:r>
            <w:r>
              <w:rPr>
                <w:rFonts w:hint="default"/>
                <w:color w:val="auto"/>
                <w:highlight w:val="none"/>
              </w:rPr>
              <w:t>地，建设内容与用地性质相符。</w:t>
            </w:r>
          </w:p>
          <w:p w14:paraId="5C73C4C7">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（3）环境相容性分析</w:t>
            </w:r>
          </w:p>
          <w:p w14:paraId="487D975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本项目位于</w:t>
            </w:r>
            <w:r>
              <w:rPr>
                <w:rFonts w:hint="eastAsia"/>
                <w:color w:val="auto"/>
                <w:highlight w:val="none"/>
                <w:lang w:val="en-US" w:eastAsia="zh-CN"/>
              </w:rPr>
              <w:t>淮南高新技术产业开发区</w:t>
            </w:r>
            <w:r>
              <w:rPr>
                <w:rFonts w:hint="eastAsia"/>
                <w:color w:val="auto"/>
                <w:highlight w:val="none"/>
              </w:rPr>
              <w:t>，</w:t>
            </w:r>
            <w:r>
              <w:rPr>
                <w:rFonts w:hint="default"/>
                <w:color w:val="auto"/>
                <w:highlight w:val="none"/>
              </w:rPr>
              <w:t>项目周边无特殊保护文物古迹、自然保护区和特殊环境制约因素。本项目自身产污环节较少，废气主要为</w:t>
            </w:r>
            <w:r>
              <w:rPr>
                <w:rFonts w:hint="eastAsia"/>
                <w:color w:val="auto"/>
                <w:highlight w:val="none"/>
                <w:lang w:val="en-US" w:eastAsia="zh-CN"/>
              </w:rPr>
              <w:t>实验过程产生的酸雾、有机废气，均配套相应的污染防治措施，</w:t>
            </w:r>
            <w:r>
              <w:rPr>
                <w:rFonts w:hint="default"/>
                <w:color w:val="0000FF"/>
                <w:highlight w:val="none"/>
              </w:rPr>
              <w:t>废水主要为生活污水</w:t>
            </w:r>
            <w:r>
              <w:rPr>
                <w:rFonts w:hint="eastAsia"/>
                <w:color w:val="0000FF"/>
                <w:highlight w:val="none"/>
                <w:lang w:eastAsia="zh-CN"/>
              </w:rPr>
              <w:t>、</w:t>
            </w:r>
            <w:r>
              <w:rPr>
                <w:rFonts w:hint="eastAsia"/>
                <w:color w:val="0000FF"/>
                <w:highlight w:val="none"/>
                <w:lang w:val="en-US" w:eastAsia="zh-CN"/>
              </w:rPr>
              <w:t>保洁废水喷淋废水及实验过程产生的废水（清洗废水、不涉重的水样），润洗废液、涉重水样作为危废收集，喷淋废水及实验废水采用污水处理设施处理后接管市政污水管网，生活污水和保洁废水</w:t>
            </w:r>
            <w:r>
              <w:rPr>
                <w:rFonts w:hint="default"/>
                <w:color w:val="0000FF"/>
                <w:highlight w:val="none"/>
              </w:rPr>
              <w:t>污染物相对简单</w:t>
            </w:r>
            <w:r>
              <w:rPr>
                <w:rFonts w:hint="eastAsia"/>
                <w:color w:val="0000FF"/>
                <w:highlight w:val="none"/>
                <w:lang w:eastAsia="zh-CN"/>
              </w:rPr>
              <w:t>，</w:t>
            </w:r>
            <w:r>
              <w:rPr>
                <w:rFonts w:hint="eastAsia"/>
                <w:color w:val="0000FF"/>
                <w:highlight w:val="none"/>
                <w:lang w:val="en-US" w:eastAsia="zh-CN"/>
              </w:rPr>
              <w:t>经化粪池收集预处理接管市政污水管网</w:t>
            </w:r>
            <w:r>
              <w:rPr>
                <w:rFonts w:hint="default"/>
                <w:color w:val="0000FF"/>
                <w:highlight w:val="none"/>
              </w:rPr>
              <w:t>。</w:t>
            </w:r>
            <w:r>
              <w:rPr>
                <w:rFonts w:hint="eastAsia"/>
                <w:color w:val="auto"/>
                <w:highlight w:val="none"/>
                <w:lang w:val="en-US" w:eastAsia="zh-CN"/>
              </w:rPr>
              <w:t>项目检测设备仪器均位于独立实验间内，运行期间门窗关闭，</w:t>
            </w:r>
            <w:r>
              <w:rPr>
                <w:rFonts w:hint="eastAsia"/>
                <w:color w:val="auto"/>
                <w:highlight w:val="none"/>
              </w:rPr>
              <w:t>可有效减少生产噪声对周边环境的影响。同时</w:t>
            </w:r>
            <w:r>
              <w:rPr>
                <w:rFonts w:hint="eastAsia"/>
                <w:color w:val="auto"/>
                <w:highlight w:val="none"/>
                <w:lang w:val="en-US" w:eastAsia="zh-CN"/>
              </w:rPr>
              <w:t>南侧</w:t>
            </w:r>
            <w:r>
              <w:rPr>
                <w:rFonts w:hint="eastAsia"/>
                <w:color w:val="auto"/>
                <w:highlight w:val="none"/>
              </w:rPr>
              <w:t>居民点位于项目区常年主导风侧风向，</w:t>
            </w:r>
            <w:r>
              <w:rPr>
                <w:rFonts w:hint="default"/>
                <w:color w:val="auto"/>
                <w:highlight w:val="none"/>
              </w:rPr>
              <w:t>在落实本次环评提出的相关污染防治措施，并认真履行</w:t>
            </w:r>
            <w:r>
              <w:rPr>
                <w:rFonts w:hint="eastAsia"/>
                <w:color w:val="auto"/>
                <w:highlight w:val="none"/>
                <w:lang w:eastAsia="zh-CN"/>
              </w:rPr>
              <w:t>“</w:t>
            </w:r>
            <w:r>
              <w:rPr>
                <w:rFonts w:hint="default"/>
                <w:color w:val="auto"/>
                <w:highlight w:val="none"/>
              </w:rPr>
              <w:t>三同时</w:t>
            </w:r>
            <w:r>
              <w:rPr>
                <w:rFonts w:hint="eastAsia"/>
                <w:color w:val="auto"/>
                <w:highlight w:val="none"/>
                <w:lang w:eastAsia="zh-CN"/>
              </w:rPr>
              <w:t>”</w:t>
            </w:r>
            <w:r>
              <w:rPr>
                <w:rFonts w:hint="default"/>
                <w:color w:val="auto"/>
                <w:highlight w:val="none"/>
              </w:rPr>
              <w:t>制度后，各污染物均可实现达标排放</w:t>
            </w:r>
            <w:r>
              <w:rPr>
                <w:rFonts w:hint="eastAsia"/>
                <w:color w:val="auto"/>
                <w:highlight w:val="none"/>
              </w:rPr>
              <w:t>，对其影响较小，</w:t>
            </w:r>
            <w:r>
              <w:rPr>
                <w:rFonts w:hint="default"/>
                <w:color w:val="auto"/>
                <w:highlight w:val="none"/>
              </w:rPr>
              <w:t>且不会降低评价区域原有功能级别，对区域环境影响较小。</w:t>
            </w:r>
          </w:p>
          <w:p w14:paraId="2A6E63D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综上所述，从</w:t>
            </w:r>
            <w:r>
              <w:rPr>
                <w:rFonts w:hint="eastAsia"/>
                <w:color w:val="auto"/>
                <w:highlight w:val="none"/>
              </w:rPr>
              <w:t>选址合理性</w:t>
            </w:r>
            <w:r>
              <w:rPr>
                <w:rFonts w:hint="default"/>
                <w:color w:val="auto"/>
                <w:highlight w:val="none"/>
              </w:rPr>
              <w:t>、</w:t>
            </w:r>
            <w:r>
              <w:rPr>
                <w:rFonts w:hint="eastAsia"/>
                <w:color w:val="auto"/>
                <w:highlight w:val="none"/>
              </w:rPr>
              <w:t>用地符合性和</w:t>
            </w:r>
            <w:r>
              <w:rPr>
                <w:rFonts w:hint="default"/>
                <w:color w:val="auto"/>
                <w:highlight w:val="none"/>
              </w:rPr>
              <w:t>环境相容性等方面考虑，本项目建设选址是可行的。</w:t>
            </w:r>
          </w:p>
          <w:p w14:paraId="4D461FA6">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2、产业政策符合性分析</w:t>
            </w:r>
          </w:p>
          <w:p w14:paraId="16593FEC">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对照《产业结构调整指导目录（</w:t>
            </w:r>
            <w:r>
              <w:rPr>
                <w:rFonts w:hint="eastAsia"/>
                <w:color w:val="auto"/>
                <w:highlight w:val="none"/>
              </w:rPr>
              <w:t>2024</w:t>
            </w:r>
            <w:r>
              <w:rPr>
                <w:rFonts w:hint="default"/>
                <w:color w:val="auto"/>
                <w:highlight w:val="none"/>
              </w:rPr>
              <w:t>年本）》，</w:t>
            </w:r>
            <w:r>
              <w:rPr>
                <w:rFonts w:hint="eastAsia"/>
                <w:color w:val="auto"/>
                <w:highlight w:val="none"/>
              </w:rPr>
              <w:t>本项目</w:t>
            </w:r>
            <w:r>
              <w:rPr>
                <w:rFonts w:hint="eastAsia"/>
                <w:color w:val="auto"/>
                <w:highlight w:val="none"/>
                <w:lang w:val="en-US" w:eastAsia="zh-CN"/>
              </w:rPr>
              <w:t>属于鼓励类“三十一：科技服务业-5．检验检测认证服务：分析、试验、测试以及相关技术咨询与研发服务，智能产品整体方案、人机工程设计、系统仿真等设计服务”，</w:t>
            </w:r>
            <w:r>
              <w:rPr>
                <w:rFonts w:hint="eastAsia"/>
                <w:color w:val="auto"/>
                <w:highlight w:val="none"/>
              </w:rPr>
              <w:t>属于</w:t>
            </w:r>
            <w:r>
              <w:rPr>
                <w:rFonts w:hint="eastAsia"/>
                <w:color w:val="auto"/>
                <w:highlight w:val="none"/>
                <w:lang w:val="en-US" w:eastAsia="zh-CN"/>
              </w:rPr>
              <w:t>鼓励类</w:t>
            </w:r>
            <w:r>
              <w:rPr>
                <w:rFonts w:hint="eastAsia"/>
                <w:color w:val="auto"/>
                <w:highlight w:val="none"/>
              </w:rPr>
              <w:t>项目。</w:t>
            </w:r>
          </w:p>
          <w:p w14:paraId="67AFB7BD">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sz w:val="24"/>
                <w:highlight w:val="none"/>
                <w:lang w:val="en-US" w:eastAsia="zh-CN"/>
              </w:rPr>
              <w:t>淮南高新区经济发展局</w:t>
            </w:r>
            <w:r>
              <w:rPr>
                <w:rFonts w:hint="default"/>
                <w:color w:val="auto"/>
                <w:highlight w:val="none"/>
              </w:rPr>
              <w:t>于</w:t>
            </w: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8</w:t>
            </w:r>
            <w:r>
              <w:rPr>
                <w:rFonts w:hint="eastAsia"/>
                <w:color w:val="auto"/>
                <w:highlight w:val="none"/>
              </w:rPr>
              <w:t>日出具了本项目的备案表，项目代码</w:t>
            </w:r>
            <w:r>
              <w:rPr>
                <w:rFonts w:hint="default"/>
                <w:color w:val="auto"/>
                <w:sz w:val="24"/>
                <w:szCs w:val="32"/>
                <w:highlight w:val="none"/>
              </w:rPr>
              <w:t>2509-340463-04-01-818058</w:t>
            </w:r>
            <w:r>
              <w:rPr>
                <w:rFonts w:hint="default"/>
                <w:color w:val="auto"/>
                <w:highlight w:val="none"/>
              </w:rPr>
              <w:t>，因此项目符合国家和当地的相关产业政策。</w:t>
            </w:r>
          </w:p>
          <w:p w14:paraId="3055DEAE">
            <w:pPr>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rPr>
              <w:t>3、</w:t>
            </w:r>
            <w:r>
              <w:rPr>
                <w:rFonts w:hint="default"/>
                <w:b/>
                <w:bCs/>
                <w:color w:val="auto"/>
                <w:highlight w:val="none"/>
                <w:lang w:val="en-US" w:eastAsia="zh-CN"/>
              </w:rPr>
              <w:t>与《淮河流域水污染防治暂行条例》相符性分析</w:t>
            </w:r>
          </w:p>
          <w:p w14:paraId="02BF793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《淮河流域水污染防治暂行条例》提出，禁止在淮河流域新建制革、化工、印染、电镀、酿造等污染严重的</w:t>
            </w:r>
            <w:r>
              <w:rPr>
                <w:rFonts w:hint="eastAsia"/>
                <w:color w:val="auto"/>
                <w:highlight w:val="none"/>
                <w:lang w:eastAsia="zh-CN"/>
              </w:rPr>
              <w:t>企业</w:t>
            </w:r>
            <w:r>
              <w:rPr>
                <w:rFonts w:hint="default"/>
                <w:color w:val="auto"/>
                <w:highlight w:val="none"/>
              </w:rPr>
              <w:t>，严格限制在淮河流域新建前款所列大中型项目或者其他污染严重的项目。本项目</w:t>
            </w:r>
            <w:r>
              <w:rPr>
                <w:rFonts w:hint="eastAsia"/>
                <w:color w:val="auto"/>
                <w:highlight w:val="none"/>
                <w:lang w:val="en-US" w:eastAsia="zh-CN"/>
              </w:rPr>
              <w:t>不属于生产企业，采用实验试剂及仪器设备进行环境检测，</w:t>
            </w:r>
            <w:r>
              <w:rPr>
                <w:rFonts w:hint="default"/>
                <w:color w:val="auto"/>
                <w:highlight w:val="none"/>
              </w:rPr>
              <w:t>不属于条例中禁止建设的项目；因此本项目符合条例的要求。</w:t>
            </w:r>
          </w:p>
          <w:p w14:paraId="2FEB2D73">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《安徽省淮河流域水污染防治条例》中要求：①淮河流域应严格限制发展污水排放量大的制革、化工、印染、造纸、酒精等建设项目；②新建、扩建、改建项目，除执行</w:t>
            </w:r>
            <w:r>
              <w:rPr>
                <w:rFonts w:hint="eastAsia"/>
                <w:color w:val="auto"/>
                <w:highlight w:val="none"/>
                <w:lang w:eastAsia="zh-CN"/>
              </w:rPr>
              <w:t>“</w:t>
            </w:r>
            <w:r>
              <w:rPr>
                <w:rFonts w:hint="default"/>
                <w:color w:val="auto"/>
                <w:highlight w:val="none"/>
              </w:rPr>
              <w:t>环境影响报告书（表）</w:t>
            </w:r>
            <w:r>
              <w:rPr>
                <w:rFonts w:hint="eastAsia"/>
                <w:color w:val="auto"/>
                <w:highlight w:val="none"/>
                <w:lang w:eastAsia="zh-CN"/>
              </w:rPr>
              <w:t>”</w:t>
            </w:r>
            <w:r>
              <w:rPr>
                <w:rFonts w:hint="default"/>
                <w:color w:val="auto"/>
                <w:highlight w:val="none"/>
              </w:rPr>
              <w:t>和环境保护设施必须与主体工程同时设计、同时施工、同时投产使用外，还必须遵守以下规定：新建项目的选址应符合城市总体规划，避开饮用水源地和对环境有特殊要求的功能区；采取资源利用率高、污染排放量少的先进设备和先进工艺。本项目选址位于</w:t>
            </w:r>
            <w:r>
              <w:rPr>
                <w:rFonts w:hint="eastAsia"/>
                <w:color w:val="auto"/>
                <w:highlight w:val="none"/>
                <w:lang w:val="en-US" w:eastAsia="zh-CN"/>
              </w:rPr>
              <w:t>淮南高新技术产业开发区，</w:t>
            </w:r>
            <w:r>
              <w:rPr>
                <w:rFonts w:hint="eastAsia"/>
                <w:color w:val="auto"/>
                <w:highlight w:val="none"/>
              </w:rPr>
              <w:t>符合园区规划用地要求</w:t>
            </w:r>
            <w:r>
              <w:rPr>
                <w:rFonts w:hint="default"/>
                <w:color w:val="auto"/>
                <w:highlight w:val="none"/>
              </w:rPr>
              <w:t>；项目</w:t>
            </w:r>
            <w:r>
              <w:rPr>
                <w:rFonts w:hint="eastAsia"/>
                <w:color w:val="auto"/>
                <w:highlight w:val="none"/>
                <w:lang w:val="en-US" w:eastAsia="zh-CN"/>
              </w:rPr>
              <w:t>用水主要为员工生活、保洁用水及实验用水，废水</w:t>
            </w:r>
            <w:r>
              <w:rPr>
                <w:rFonts w:hint="default"/>
                <w:color w:val="auto"/>
                <w:highlight w:val="none"/>
              </w:rPr>
              <w:t>主要为生活污水</w:t>
            </w:r>
            <w:r>
              <w:rPr>
                <w:rFonts w:hint="default"/>
                <w:color w:val="auto"/>
                <w:highlight w:val="none"/>
                <w:lang w:eastAsia="zh-CN"/>
              </w:rPr>
              <w:t>、</w:t>
            </w:r>
            <w:r>
              <w:rPr>
                <w:rFonts w:hint="default"/>
                <w:color w:val="auto"/>
                <w:highlight w:val="none"/>
                <w:lang w:val="en-US" w:eastAsia="zh-CN"/>
              </w:rPr>
              <w:t>保洁废水、喷淋废水及实验过程产生的废水</w:t>
            </w:r>
            <w:r>
              <w:rPr>
                <w:rFonts w:hint="eastAsia"/>
                <w:color w:val="0000FF"/>
                <w:highlight w:val="none"/>
                <w:lang w:val="en-US" w:eastAsia="zh-CN"/>
              </w:rPr>
              <w:t>（清洗废水、不涉重的水样），润洗废液、涉重水样作为危废收集，</w:t>
            </w:r>
            <w:r>
              <w:rPr>
                <w:rFonts w:hint="default"/>
                <w:color w:val="auto"/>
                <w:highlight w:val="none"/>
                <w:lang w:val="en-US" w:eastAsia="zh-CN"/>
              </w:rPr>
              <w:t>喷淋废水及实验废水采用污水处理设施处理后接管市政污水管网，生活污水和保洁废水</w:t>
            </w:r>
            <w:r>
              <w:rPr>
                <w:rFonts w:hint="default"/>
                <w:color w:val="auto"/>
                <w:highlight w:val="none"/>
              </w:rPr>
              <w:t>污染物相对简单</w:t>
            </w:r>
            <w:r>
              <w:rPr>
                <w:rFonts w:hint="eastAsia"/>
                <w:color w:val="auto"/>
                <w:highlight w:val="none"/>
              </w:rPr>
              <w:t>，</w:t>
            </w:r>
            <w:r>
              <w:rPr>
                <w:rFonts w:hint="eastAsia"/>
                <w:color w:val="0000FF"/>
                <w:highlight w:val="none"/>
                <w:lang w:val="en-US" w:eastAsia="zh-CN"/>
              </w:rPr>
              <w:t>经化粪池收集预处理接管市政污水管网。</w:t>
            </w:r>
            <w:r>
              <w:rPr>
                <w:rFonts w:hint="eastAsia"/>
                <w:color w:val="auto"/>
                <w:highlight w:val="none"/>
                <w:lang w:val="en-US" w:eastAsia="zh-CN"/>
              </w:rPr>
              <w:t>本项目不属于前述污染严重项目类型，</w:t>
            </w:r>
            <w:r>
              <w:rPr>
                <w:rFonts w:hint="eastAsia"/>
                <w:color w:val="auto"/>
                <w:highlight w:val="none"/>
              </w:rPr>
              <w:t>不属于</w:t>
            </w:r>
            <w:r>
              <w:rPr>
                <w:rFonts w:hint="eastAsia"/>
                <w:color w:val="auto"/>
                <w:highlight w:val="none"/>
                <w:lang w:val="en-US" w:eastAsia="zh-CN"/>
              </w:rPr>
              <w:t>上述</w:t>
            </w:r>
            <w:r>
              <w:rPr>
                <w:rFonts w:hint="eastAsia"/>
                <w:color w:val="auto"/>
                <w:highlight w:val="none"/>
              </w:rPr>
              <w:t>限制类项目。</w:t>
            </w:r>
            <w:r>
              <w:rPr>
                <w:rFonts w:hint="default"/>
                <w:color w:val="auto"/>
                <w:highlight w:val="none"/>
              </w:rPr>
              <w:t>项目</w:t>
            </w:r>
            <w:r>
              <w:rPr>
                <w:rFonts w:hint="eastAsia"/>
                <w:color w:val="auto"/>
                <w:highlight w:val="none"/>
                <w:lang w:val="en-US" w:eastAsia="zh-CN"/>
              </w:rPr>
              <w:t>检验过程配套合规的仪器设备，产污环节配套相应污染防治措施，确保污染物排放达标</w:t>
            </w:r>
            <w:r>
              <w:rPr>
                <w:rFonts w:hint="default"/>
                <w:color w:val="auto"/>
                <w:highlight w:val="none"/>
              </w:rPr>
              <w:t>，因此，本项目符合条例中的要求。</w:t>
            </w:r>
          </w:p>
          <w:p w14:paraId="5D4F81D6">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4、与《重点行业挥发性有机物综合治理方案》相符性</w:t>
            </w:r>
          </w:p>
          <w:p w14:paraId="198B4881">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根据</w:t>
            </w:r>
            <w:r>
              <w:rPr>
                <w:rFonts w:hint="eastAsia"/>
                <w:color w:val="auto"/>
                <w:highlight w:val="none"/>
                <w:lang w:eastAsia="zh-CN"/>
              </w:rPr>
              <w:t>生态环境部</w:t>
            </w:r>
            <w:r>
              <w:rPr>
                <w:rFonts w:hint="eastAsia"/>
                <w:color w:val="auto"/>
                <w:highlight w:val="none"/>
              </w:rPr>
              <w:t>2019年6月26日发布的关于印发《重点行业挥发性有机物综合治理方案》的通知（环大气</w:t>
            </w:r>
            <w:r>
              <w:rPr>
                <w:rFonts w:hint="eastAsia"/>
                <w:color w:val="auto"/>
                <w:highlight w:val="none"/>
                <w:lang w:eastAsia="zh-CN"/>
              </w:rPr>
              <w:t>〔2019〕53号</w:t>
            </w:r>
            <w:r>
              <w:rPr>
                <w:rFonts w:hint="eastAsia"/>
                <w:color w:val="auto"/>
                <w:highlight w:val="none"/>
              </w:rPr>
              <w:t>）：安徽省属于重点区域，以下是本项目与综合治理方案符合性分析内容：</w:t>
            </w:r>
          </w:p>
          <w:p w14:paraId="19E68320">
            <w:pPr>
              <w:pStyle w:val="26"/>
              <w:keepNext w:val="0"/>
              <w:keepLines w:val="0"/>
              <w:suppressLineNumbers w:val="0"/>
              <w:bidi w:val="0"/>
              <w:spacing w:before="0" w:beforeAutospacing="0" w:after="0" w:afterAutospacing="0"/>
              <w:ind w:left="0" w:right="0"/>
              <w:rPr>
                <w:rFonts w:hint="default"/>
                <w:color w:val="auto"/>
                <w:highlight w:val="none"/>
              </w:rPr>
            </w:pPr>
          </w:p>
          <w:p w14:paraId="35CB4AD2">
            <w:pPr>
              <w:pStyle w:val="26"/>
              <w:keepNext w:val="0"/>
              <w:keepLines w:val="0"/>
              <w:suppressLineNumbers w:val="0"/>
              <w:bidi w:val="0"/>
              <w:spacing w:before="0" w:beforeAutospacing="0" w:after="0" w:afterAutospacing="0"/>
              <w:ind w:left="0" w:right="0"/>
              <w:rPr>
                <w:rFonts w:hint="default"/>
                <w:b/>
                <w:bCs/>
                <w:color w:val="auto"/>
                <w:highlight w:val="none"/>
              </w:rPr>
            </w:pPr>
            <w:r>
              <w:rPr>
                <w:rFonts w:hint="default"/>
                <w:color w:val="auto"/>
                <w:highlight w:val="none"/>
              </w:rPr>
              <w:t>表</w:t>
            </w:r>
            <w:r>
              <w:rPr>
                <w:rFonts w:hint="eastAsia"/>
                <w:color w:val="auto"/>
                <w:highlight w:val="none"/>
              </w:rPr>
              <w:t>1-</w:t>
            </w:r>
            <w:r>
              <w:rPr>
                <w:rFonts w:hint="eastAsia"/>
                <w:color w:val="auto"/>
                <w:highlight w:val="none"/>
                <w:lang w:val="en-US" w:eastAsia="zh-CN"/>
              </w:rPr>
              <w:t>3</w:t>
            </w:r>
            <w:r>
              <w:rPr>
                <w:rFonts w:hint="default"/>
                <w:color w:val="auto"/>
                <w:highlight w:val="none"/>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重点行业挥发性有机物综合治理方案</w:t>
            </w:r>
            <w:r>
              <w:rPr>
                <w:rFonts w:hint="eastAsia"/>
                <w:color w:val="auto"/>
                <w:highlight w:val="none"/>
                <w:lang w:eastAsia="zh-CN"/>
              </w:rPr>
              <w:t>”</w:t>
            </w:r>
            <w:r>
              <w:rPr>
                <w:rFonts w:hint="default"/>
                <w:color w:val="auto"/>
                <w:highlight w:val="none"/>
              </w:rPr>
              <w:t>符合性分析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6"/>
              <w:gridCol w:w="2310"/>
              <w:gridCol w:w="868"/>
            </w:tblGrid>
            <w:tr w14:paraId="42F9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pct"/>
                  <w:shd w:val="clear" w:color="auto" w:fill="auto"/>
                  <w:noWrap w:val="0"/>
                  <w:vAlign w:val="center"/>
                </w:tcPr>
                <w:p w14:paraId="1FFB09A8">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重点行业挥发性有机物综合治理方案要求</w:t>
                  </w:r>
                </w:p>
              </w:tc>
              <w:tc>
                <w:tcPr>
                  <w:tcW w:w="1499" w:type="pct"/>
                  <w:shd w:val="clear" w:color="auto" w:fill="auto"/>
                  <w:noWrap w:val="0"/>
                  <w:vAlign w:val="center"/>
                </w:tcPr>
                <w:p w14:paraId="5542F949">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b/>
                      <w:bCs/>
                      <w:color w:val="auto"/>
                      <w:sz w:val="21"/>
                      <w:szCs w:val="21"/>
                      <w:highlight w:val="none"/>
                    </w:rPr>
                    <w:t>本项目建设</w:t>
                  </w:r>
                  <w:r>
                    <w:rPr>
                      <w:rFonts w:hint="eastAsia"/>
                      <w:b/>
                      <w:bCs/>
                      <w:color w:val="auto"/>
                      <w:sz w:val="21"/>
                      <w:szCs w:val="21"/>
                      <w:highlight w:val="none"/>
                    </w:rPr>
                    <w:t>情况</w:t>
                  </w:r>
                </w:p>
              </w:tc>
              <w:tc>
                <w:tcPr>
                  <w:tcW w:w="563" w:type="pct"/>
                  <w:noWrap w:val="0"/>
                  <w:vAlign w:val="center"/>
                </w:tcPr>
                <w:p w14:paraId="0E3A24D2">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rFonts w:hint="eastAsia"/>
                      <w:b/>
                      <w:bCs/>
                      <w:color w:val="auto"/>
                      <w:sz w:val="21"/>
                      <w:szCs w:val="21"/>
                      <w:highlight w:val="none"/>
                    </w:rPr>
                    <w:t>相符性</w:t>
                  </w:r>
                </w:p>
              </w:tc>
            </w:tr>
            <w:tr w14:paraId="7B14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pct"/>
                  <w:shd w:val="clear" w:color="auto" w:fill="auto"/>
                  <w:noWrap w:val="0"/>
                  <w:vAlign w:val="center"/>
                </w:tcPr>
                <w:p w14:paraId="557428BC">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大力推进源头替代。通过使用水性、粉末、高固体分、无溶剂、辐射固化等低VOCs含量的涂料，从源头减少VOCs产生。</w:t>
                  </w:r>
                </w:p>
              </w:tc>
              <w:tc>
                <w:tcPr>
                  <w:tcW w:w="1499" w:type="pct"/>
                  <w:shd w:val="clear" w:color="auto" w:fill="auto"/>
                  <w:noWrap w:val="0"/>
                  <w:vAlign w:val="center"/>
                </w:tcPr>
                <w:p w14:paraId="56DAAABA">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color w:val="auto"/>
                      <w:sz w:val="21"/>
                      <w:szCs w:val="21"/>
                      <w:highlight w:val="none"/>
                    </w:rPr>
                    <w:t>本项目</w:t>
                  </w:r>
                  <w:r>
                    <w:rPr>
                      <w:rFonts w:hint="eastAsia"/>
                      <w:color w:val="auto"/>
                      <w:sz w:val="21"/>
                      <w:szCs w:val="21"/>
                      <w:highlight w:val="none"/>
                      <w:lang w:val="en-US" w:eastAsia="zh-CN"/>
                    </w:rPr>
                    <w:t>不涉及涂料使用。</w:t>
                  </w:r>
                </w:p>
              </w:tc>
              <w:tc>
                <w:tcPr>
                  <w:tcW w:w="563" w:type="pct"/>
                  <w:noWrap w:val="0"/>
                  <w:vAlign w:val="center"/>
                </w:tcPr>
                <w:p w14:paraId="6D196240">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符合</w:t>
                  </w:r>
                </w:p>
              </w:tc>
            </w:tr>
            <w:tr w14:paraId="1ECC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pct"/>
                  <w:shd w:val="clear" w:color="auto" w:fill="auto"/>
                  <w:noWrap w:val="0"/>
                  <w:vAlign w:val="center"/>
                </w:tcPr>
                <w:p w14:paraId="74D52C1F">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全面加强无组织排放控制。通过采取设备与场所密闭、工艺改进、废气有效收集等措施，削减VOCs无组织排放。</w:t>
                  </w:r>
                </w:p>
              </w:tc>
              <w:tc>
                <w:tcPr>
                  <w:tcW w:w="1499" w:type="pct"/>
                  <w:shd w:val="clear" w:color="auto" w:fill="auto"/>
                  <w:noWrap w:val="0"/>
                  <w:vAlign w:val="center"/>
                </w:tcPr>
                <w:p w14:paraId="175A8D85">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项目</w:t>
                  </w:r>
                  <w:r>
                    <w:rPr>
                      <w:rFonts w:hint="eastAsia"/>
                      <w:color w:val="auto"/>
                      <w:sz w:val="21"/>
                      <w:szCs w:val="21"/>
                      <w:highlight w:val="none"/>
                      <w:lang w:val="en-US" w:eastAsia="zh-CN"/>
                    </w:rPr>
                    <w:t>检验过程试剂使用环节产生有机废气，实验过程位于通风橱内进行，确保产生有机废气被有效收集，收集有机废气采用二级活性炭装置处理后经排气筒排放。</w:t>
                  </w:r>
                </w:p>
              </w:tc>
              <w:tc>
                <w:tcPr>
                  <w:tcW w:w="563" w:type="pct"/>
                  <w:noWrap w:val="0"/>
                  <w:vAlign w:val="center"/>
                </w:tcPr>
                <w:p w14:paraId="0D70BA7D">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符合</w:t>
                  </w:r>
                </w:p>
              </w:tc>
            </w:tr>
            <w:tr w14:paraId="43A6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pct"/>
                  <w:shd w:val="clear" w:color="auto" w:fill="auto"/>
                  <w:noWrap w:val="0"/>
                  <w:vAlign w:val="center"/>
                </w:tcPr>
                <w:p w14:paraId="61CCC90F">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提高废气收集率。遵循</w:t>
                  </w:r>
                  <w:r>
                    <w:rPr>
                      <w:rFonts w:hint="eastAsia"/>
                      <w:color w:val="auto"/>
                      <w:sz w:val="21"/>
                      <w:szCs w:val="21"/>
                      <w:highlight w:val="none"/>
                      <w:lang w:eastAsia="zh-CN"/>
                    </w:rPr>
                    <w:t>“</w:t>
                  </w:r>
                  <w:r>
                    <w:rPr>
                      <w:rFonts w:hint="eastAsia"/>
                      <w:color w:val="auto"/>
                      <w:sz w:val="21"/>
                      <w:szCs w:val="21"/>
                      <w:highlight w:val="none"/>
                    </w:rPr>
                    <w:t>应收尽收、分质收集</w:t>
                  </w:r>
                  <w:r>
                    <w:rPr>
                      <w:rFonts w:hint="eastAsia"/>
                      <w:color w:val="auto"/>
                      <w:sz w:val="21"/>
                      <w:szCs w:val="21"/>
                      <w:highlight w:val="none"/>
                      <w:lang w:eastAsia="zh-CN"/>
                    </w:rPr>
                    <w:t>”</w:t>
                  </w:r>
                  <w:r>
                    <w:rPr>
                      <w:rFonts w:hint="eastAsia"/>
                      <w:color w:val="auto"/>
                      <w:sz w:val="21"/>
                      <w:szCs w:val="21"/>
                      <w:highlight w:val="none"/>
                    </w:rPr>
                    <w:t>的原则，科学设计废气收集系统，将无组织排放转变为有组织排放进行控制。采用全密闭集气罩或密闭空间的，除行业有特殊要求外，应保持微负压状态，并根据相关规范合理设置通风量。</w:t>
                  </w:r>
                </w:p>
              </w:tc>
              <w:tc>
                <w:tcPr>
                  <w:tcW w:w="1499" w:type="pct"/>
                  <w:shd w:val="clear" w:color="auto" w:fill="auto"/>
                  <w:noWrap w:val="0"/>
                  <w:vAlign w:val="center"/>
                </w:tcPr>
                <w:p w14:paraId="00F38959">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本项目</w:t>
                  </w:r>
                  <w:r>
                    <w:rPr>
                      <w:rFonts w:hint="eastAsia"/>
                      <w:color w:val="auto"/>
                      <w:sz w:val="21"/>
                      <w:szCs w:val="21"/>
                      <w:highlight w:val="none"/>
                      <w:lang w:val="en-US" w:eastAsia="zh-CN"/>
                    </w:rPr>
                    <w:t>有机废气、酸雾均按照“应收尽收”原则采取收集处理措施。</w:t>
                  </w:r>
                </w:p>
              </w:tc>
              <w:tc>
                <w:tcPr>
                  <w:tcW w:w="563" w:type="pct"/>
                  <w:noWrap w:val="0"/>
                  <w:vAlign w:val="center"/>
                </w:tcPr>
                <w:p w14:paraId="067D09C4">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符合</w:t>
                  </w:r>
                </w:p>
              </w:tc>
            </w:tr>
            <w:tr w14:paraId="10CF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37" w:type="pct"/>
                  <w:shd w:val="clear" w:color="auto" w:fill="auto"/>
                  <w:noWrap w:val="0"/>
                  <w:vAlign w:val="center"/>
                </w:tcPr>
                <w:p w14:paraId="136A1924">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推进建设适宜高效的治污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w:t>
                  </w:r>
                </w:p>
              </w:tc>
              <w:tc>
                <w:tcPr>
                  <w:tcW w:w="1499" w:type="pct"/>
                  <w:shd w:val="clear" w:color="auto" w:fill="auto"/>
                  <w:noWrap w:val="0"/>
                  <w:vAlign w:val="center"/>
                </w:tcPr>
                <w:p w14:paraId="69F00675">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项目有机废气初始产生浓度较低废气浓度低，采用</w:t>
                  </w:r>
                  <w:r>
                    <w:rPr>
                      <w:rFonts w:hint="eastAsia"/>
                      <w:color w:val="auto"/>
                      <w:sz w:val="21"/>
                      <w:szCs w:val="21"/>
                      <w:highlight w:val="none"/>
                      <w:lang w:val="en"/>
                    </w:rPr>
                    <w:t>二级活性炭吸附</w:t>
                  </w:r>
                  <w:r>
                    <w:rPr>
                      <w:rFonts w:hint="eastAsia"/>
                      <w:color w:val="auto"/>
                      <w:sz w:val="21"/>
                      <w:szCs w:val="21"/>
                      <w:highlight w:val="none"/>
                    </w:rPr>
                    <w:t>处理，定期更换活性炭，确保废气处理效率，更换的废活性炭委托资质单位处理。</w:t>
                  </w:r>
                </w:p>
              </w:tc>
              <w:tc>
                <w:tcPr>
                  <w:tcW w:w="563" w:type="pct"/>
                  <w:noWrap w:val="0"/>
                  <w:vAlign w:val="center"/>
                </w:tcPr>
                <w:p w14:paraId="19431DD3">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rPr>
                    <w:t>符合</w:t>
                  </w:r>
                </w:p>
              </w:tc>
            </w:tr>
          </w:tbl>
          <w:p w14:paraId="0746F33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综上所述，项目建设符合国家关于重点行业挥发性有机物综合治理方案的要求。</w:t>
            </w:r>
          </w:p>
          <w:p w14:paraId="7A788581">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5、与《淮南市</w:t>
            </w:r>
            <w:r>
              <w:rPr>
                <w:rFonts w:hint="eastAsia"/>
                <w:b/>
                <w:bCs/>
                <w:color w:val="auto"/>
                <w:highlight w:val="none"/>
                <w:lang w:eastAsia="zh-CN"/>
              </w:rPr>
              <w:t>“</w:t>
            </w:r>
            <w:r>
              <w:rPr>
                <w:rFonts w:hint="eastAsia"/>
                <w:b/>
                <w:bCs/>
                <w:color w:val="auto"/>
                <w:highlight w:val="none"/>
              </w:rPr>
              <w:t>十四五</w:t>
            </w:r>
            <w:r>
              <w:rPr>
                <w:rFonts w:hint="eastAsia"/>
                <w:b/>
                <w:bCs/>
                <w:color w:val="auto"/>
                <w:highlight w:val="none"/>
                <w:lang w:eastAsia="zh-CN"/>
              </w:rPr>
              <w:t>”</w:t>
            </w:r>
            <w:r>
              <w:rPr>
                <w:rFonts w:hint="eastAsia"/>
                <w:b/>
                <w:bCs/>
                <w:color w:val="auto"/>
                <w:highlight w:val="none"/>
              </w:rPr>
              <w:t>大气污染防治规划（2021</w:t>
            </w:r>
            <w:r>
              <w:rPr>
                <w:rFonts w:hint="eastAsia"/>
                <w:b/>
                <w:bCs/>
                <w:color w:val="auto"/>
                <w:highlight w:val="none"/>
                <w:lang w:eastAsia="zh-CN"/>
              </w:rPr>
              <w:t>—</w:t>
            </w:r>
            <w:r>
              <w:rPr>
                <w:rFonts w:hint="eastAsia"/>
                <w:b/>
                <w:bCs/>
                <w:color w:val="auto"/>
                <w:highlight w:val="none"/>
              </w:rPr>
              <w:t>2025年）》（淮环委办</w:t>
            </w:r>
            <w:r>
              <w:rPr>
                <w:rFonts w:hint="eastAsia"/>
                <w:b/>
                <w:bCs/>
                <w:color w:val="auto"/>
                <w:highlight w:val="none"/>
                <w:lang w:eastAsia="zh-CN"/>
              </w:rPr>
              <w:t>〔</w:t>
            </w:r>
            <w:r>
              <w:rPr>
                <w:rFonts w:hint="eastAsia"/>
                <w:b/>
                <w:bCs/>
                <w:color w:val="auto"/>
                <w:highlight w:val="none"/>
              </w:rPr>
              <w:t>2022</w:t>
            </w:r>
            <w:r>
              <w:rPr>
                <w:rFonts w:hint="eastAsia"/>
                <w:b/>
                <w:bCs/>
                <w:color w:val="auto"/>
                <w:highlight w:val="none"/>
                <w:lang w:eastAsia="zh-CN"/>
              </w:rPr>
              <w:t>〕</w:t>
            </w:r>
            <w:r>
              <w:rPr>
                <w:rFonts w:hint="eastAsia"/>
                <w:b/>
                <w:bCs/>
                <w:color w:val="auto"/>
                <w:highlight w:val="none"/>
              </w:rPr>
              <w:t>49号）相符性</w:t>
            </w:r>
          </w:p>
          <w:p w14:paraId="04CFEA50">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1-</w:t>
            </w:r>
            <w:r>
              <w:rPr>
                <w:rFonts w:hint="eastAsia"/>
                <w:color w:val="auto"/>
                <w:highlight w:val="none"/>
                <w:lang w:val="en-US" w:eastAsia="zh-CN"/>
              </w:rPr>
              <w:t>4</w:t>
            </w:r>
            <w:r>
              <w:rPr>
                <w:rFonts w:hint="default"/>
                <w:color w:val="auto"/>
                <w:highlight w:val="none"/>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（淮环委办</w:t>
            </w:r>
            <w:r>
              <w:rPr>
                <w:rFonts w:hint="eastAsia"/>
                <w:color w:val="auto"/>
                <w:highlight w:val="none"/>
                <w:lang w:eastAsia="zh-CN"/>
              </w:rPr>
              <w:t>〔</w:t>
            </w:r>
            <w:r>
              <w:rPr>
                <w:rFonts w:hint="eastAsia"/>
                <w:color w:val="auto"/>
                <w:highlight w:val="none"/>
              </w:rPr>
              <w:t>2022</w:t>
            </w:r>
            <w:r>
              <w:rPr>
                <w:rFonts w:hint="eastAsia"/>
                <w:color w:val="auto"/>
                <w:highlight w:val="none"/>
                <w:lang w:eastAsia="zh-CN"/>
              </w:rPr>
              <w:t>〕</w:t>
            </w:r>
            <w:r>
              <w:rPr>
                <w:rFonts w:hint="eastAsia"/>
                <w:color w:val="auto"/>
                <w:highlight w:val="none"/>
              </w:rPr>
              <w:t>49号）</w:t>
            </w:r>
            <w:r>
              <w:rPr>
                <w:rFonts w:hint="eastAsia"/>
                <w:color w:val="auto"/>
                <w:highlight w:val="none"/>
                <w:lang w:eastAsia="zh-CN"/>
              </w:rPr>
              <w:t>”</w:t>
            </w:r>
            <w:r>
              <w:rPr>
                <w:rFonts w:hint="default"/>
                <w:color w:val="auto"/>
                <w:highlight w:val="none"/>
              </w:rPr>
              <w:t>符合性分析</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8"/>
              <w:gridCol w:w="2064"/>
              <w:gridCol w:w="743"/>
            </w:tblGrid>
            <w:tr w14:paraId="3281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8" w:type="pct"/>
                  <w:shd w:val="clear" w:color="auto" w:fill="auto"/>
                  <w:noWrap w:val="0"/>
                  <w:vAlign w:val="center"/>
                </w:tcPr>
                <w:p w14:paraId="7634F2F9">
                  <w:pPr>
                    <w:pStyle w:val="27"/>
                    <w:keepNext w:val="0"/>
                    <w:keepLines w:val="0"/>
                    <w:suppressLineNumbers w:val="0"/>
                    <w:bidi w:val="0"/>
                    <w:spacing w:before="0" w:beforeAutospacing="0" w:after="0" w:afterAutospacing="0"/>
                    <w:ind w:left="0" w:right="0"/>
                    <w:rPr>
                      <w:b/>
                      <w:bCs/>
                      <w:color w:val="auto"/>
                      <w:sz w:val="21"/>
                      <w:szCs w:val="21"/>
                      <w:highlight w:val="none"/>
                    </w:rPr>
                  </w:pPr>
                  <w:r>
                    <w:rPr>
                      <w:rFonts w:hint="eastAsia"/>
                      <w:b/>
                      <w:bCs/>
                      <w:color w:val="auto"/>
                      <w:sz w:val="21"/>
                      <w:szCs w:val="21"/>
                      <w:highlight w:val="none"/>
                    </w:rPr>
                    <w:t>（淮环委办</w:t>
                  </w:r>
                  <w:r>
                    <w:rPr>
                      <w:rFonts w:hint="eastAsia"/>
                      <w:b/>
                      <w:bCs/>
                      <w:color w:val="auto"/>
                      <w:sz w:val="21"/>
                      <w:szCs w:val="21"/>
                      <w:highlight w:val="none"/>
                      <w:lang w:eastAsia="zh-CN"/>
                    </w:rPr>
                    <w:t>〔</w:t>
                  </w:r>
                  <w:r>
                    <w:rPr>
                      <w:rFonts w:hint="eastAsia"/>
                      <w:b/>
                      <w:bCs/>
                      <w:color w:val="auto"/>
                      <w:sz w:val="21"/>
                      <w:szCs w:val="21"/>
                      <w:highlight w:val="none"/>
                    </w:rPr>
                    <w:t>2022</w:t>
                  </w:r>
                  <w:r>
                    <w:rPr>
                      <w:rFonts w:hint="eastAsia"/>
                      <w:b/>
                      <w:bCs/>
                      <w:color w:val="auto"/>
                      <w:sz w:val="21"/>
                      <w:szCs w:val="21"/>
                      <w:highlight w:val="none"/>
                      <w:lang w:eastAsia="zh-CN"/>
                    </w:rPr>
                    <w:t>〕</w:t>
                  </w:r>
                  <w:r>
                    <w:rPr>
                      <w:rFonts w:hint="eastAsia"/>
                      <w:b/>
                      <w:bCs/>
                      <w:color w:val="auto"/>
                      <w:sz w:val="21"/>
                      <w:szCs w:val="21"/>
                      <w:highlight w:val="none"/>
                    </w:rPr>
                    <w:t>49号）</w:t>
                  </w:r>
                </w:p>
              </w:tc>
              <w:tc>
                <w:tcPr>
                  <w:tcW w:w="1339" w:type="pct"/>
                  <w:shd w:val="clear" w:color="auto" w:fill="auto"/>
                  <w:noWrap w:val="0"/>
                  <w:vAlign w:val="center"/>
                </w:tcPr>
                <w:p w14:paraId="2A3044BA">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本项目建设</w:t>
                  </w:r>
                  <w:r>
                    <w:rPr>
                      <w:rFonts w:hint="eastAsia"/>
                      <w:b/>
                      <w:bCs/>
                      <w:color w:val="auto"/>
                      <w:sz w:val="21"/>
                      <w:szCs w:val="21"/>
                      <w:highlight w:val="none"/>
                    </w:rPr>
                    <w:t>情况</w:t>
                  </w:r>
                </w:p>
              </w:tc>
              <w:tc>
                <w:tcPr>
                  <w:tcW w:w="482" w:type="pct"/>
                  <w:noWrap w:val="0"/>
                  <w:vAlign w:val="center"/>
                </w:tcPr>
                <w:p w14:paraId="300052C0">
                  <w:pPr>
                    <w:pStyle w:val="27"/>
                    <w:keepNext w:val="0"/>
                    <w:keepLines w:val="0"/>
                    <w:suppressLineNumbers w:val="0"/>
                    <w:bidi w:val="0"/>
                    <w:spacing w:before="0" w:beforeAutospacing="0" w:after="0" w:afterAutospacing="0"/>
                    <w:ind w:left="0" w:right="0"/>
                    <w:rPr>
                      <w:b/>
                      <w:bCs/>
                      <w:color w:val="auto"/>
                      <w:sz w:val="21"/>
                      <w:szCs w:val="21"/>
                      <w:highlight w:val="none"/>
                    </w:rPr>
                  </w:pPr>
                  <w:r>
                    <w:rPr>
                      <w:rFonts w:hint="eastAsia"/>
                      <w:b/>
                      <w:bCs/>
                      <w:color w:val="auto"/>
                      <w:sz w:val="21"/>
                      <w:szCs w:val="21"/>
                      <w:highlight w:val="none"/>
                    </w:rPr>
                    <w:t>相符性</w:t>
                  </w:r>
                </w:p>
              </w:tc>
            </w:tr>
            <w:tr w14:paraId="27DA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8" w:type="pct"/>
                  <w:shd w:val="clear" w:color="auto" w:fill="auto"/>
                  <w:noWrap w:val="0"/>
                  <w:vAlign w:val="center"/>
                </w:tcPr>
                <w:p w14:paraId="1D4FF9EE">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严格执行国家和省高耗能、高污染和资源型行业准入条件</w:t>
                  </w:r>
                  <w:r>
                    <w:rPr>
                      <w:rFonts w:hint="eastAsia"/>
                      <w:color w:val="auto"/>
                      <w:sz w:val="21"/>
                      <w:szCs w:val="21"/>
                      <w:highlight w:val="none"/>
                    </w:rPr>
                    <w:t>。</w:t>
                  </w:r>
                  <w:r>
                    <w:rPr>
                      <w:color w:val="auto"/>
                      <w:sz w:val="21"/>
                      <w:szCs w:val="21"/>
                      <w:highlight w:val="none"/>
                    </w:rPr>
                    <w:t>严控</w:t>
                  </w:r>
                  <w:r>
                    <w:rPr>
                      <w:rFonts w:hint="eastAsia"/>
                      <w:color w:val="auto"/>
                      <w:sz w:val="21"/>
                      <w:szCs w:val="21"/>
                      <w:highlight w:val="none"/>
                      <w:lang w:eastAsia="zh-CN"/>
                    </w:rPr>
                    <w:t>“</w:t>
                  </w:r>
                  <w:r>
                    <w:rPr>
                      <w:color w:val="auto"/>
                      <w:sz w:val="21"/>
                      <w:szCs w:val="21"/>
                      <w:highlight w:val="none"/>
                    </w:rPr>
                    <w:t>两高</w:t>
                  </w:r>
                  <w:r>
                    <w:rPr>
                      <w:rFonts w:hint="eastAsia"/>
                      <w:color w:val="auto"/>
                      <w:sz w:val="21"/>
                      <w:szCs w:val="21"/>
                      <w:highlight w:val="none"/>
                      <w:lang w:eastAsia="zh-CN"/>
                    </w:rPr>
                    <w:t>”</w:t>
                  </w:r>
                  <w:r>
                    <w:rPr>
                      <w:color w:val="auto"/>
                      <w:sz w:val="21"/>
                      <w:szCs w:val="21"/>
                      <w:highlight w:val="none"/>
                    </w:rPr>
                    <w:t>行业产能，</w:t>
                  </w:r>
                  <w:r>
                    <w:rPr>
                      <w:rFonts w:hint="eastAsia"/>
                      <w:color w:val="auto"/>
                      <w:sz w:val="21"/>
                      <w:szCs w:val="21"/>
                      <w:highlight w:val="none"/>
                    </w:rPr>
                    <w:t>原则上禁止新建、扩建单纯新增产能的钢铁、水泥、平板玻璃、铸造等产能过剩的传统产业项目，严格执行钢铁、水泥、平板玻璃等行业产能置换实施办法。原则上不得新建热电联产、天然气化工和未纳入国家规划的煤化工等项目。严格控制涉工业炉窑建设项目，原则上禁止新建燃料类煤气发生炉（园区现有企业统一建设的清洁煤制气项目除外）。</w:t>
                  </w:r>
                </w:p>
              </w:tc>
              <w:tc>
                <w:tcPr>
                  <w:tcW w:w="1339" w:type="pct"/>
                  <w:shd w:val="clear" w:color="auto" w:fill="auto"/>
                  <w:noWrap w:val="0"/>
                  <w:vAlign w:val="center"/>
                </w:tcPr>
                <w:p w14:paraId="509EA3C7">
                  <w:pPr>
                    <w:pStyle w:val="27"/>
                    <w:keepNext w:val="0"/>
                    <w:keepLines w:val="0"/>
                    <w:suppressLineNumbers w:val="0"/>
                    <w:bidi w:val="0"/>
                    <w:spacing w:before="0" w:beforeAutospacing="0" w:after="0" w:afterAutospacing="0"/>
                    <w:ind w:left="0" w:right="0"/>
                    <w:rPr>
                      <w:color w:val="auto"/>
                      <w:sz w:val="21"/>
                      <w:szCs w:val="21"/>
                      <w:highlight w:val="none"/>
                    </w:rPr>
                  </w:pPr>
                  <w:r>
                    <w:rPr>
                      <w:rFonts w:hint="eastAsia"/>
                      <w:color w:val="auto"/>
                      <w:sz w:val="21"/>
                      <w:szCs w:val="21"/>
                      <w:highlight w:val="none"/>
                      <w:lang w:val="en-US" w:eastAsia="zh-CN"/>
                    </w:rPr>
                    <w:t>对照《产业结构调整指导目录（2024年）》，</w:t>
                  </w:r>
                  <w:r>
                    <w:rPr>
                      <w:rFonts w:hint="eastAsia"/>
                      <w:color w:val="auto"/>
                      <w:sz w:val="21"/>
                      <w:szCs w:val="21"/>
                      <w:highlight w:val="none"/>
                    </w:rPr>
                    <w:t>本项目</w:t>
                  </w:r>
                  <w:r>
                    <w:rPr>
                      <w:rFonts w:hint="eastAsia"/>
                      <w:color w:val="auto"/>
                      <w:sz w:val="21"/>
                      <w:szCs w:val="21"/>
                      <w:highlight w:val="none"/>
                      <w:lang w:val="en-US" w:eastAsia="zh-CN"/>
                    </w:rPr>
                    <w:t>属于鼓励类项目，不属于所述产能过剩行业。</w:t>
                  </w:r>
                </w:p>
              </w:tc>
              <w:tc>
                <w:tcPr>
                  <w:tcW w:w="482" w:type="pct"/>
                  <w:noWrap w:val="0"/>
                  <w:vAlign w:val="center"/>
                </w:tcPr>
                <w:p w14:paraId="492A3D8B">
                  <w:pPr>
                    <w:pStyle w:val="27"/>
                    <w:keepNext w:val="0"/>
                    <w:keepLines w:val="0"/>
                    <w:suppressLineNumbers w:val="0"/>
                    <w:bidi w:val="0"/>
                    <w:spacing w:before="0" w:beforeAutospacing="0" w:after="0" w:afterAutospacing="0"/>
                    <w:ind w:left="0" w:right="0"/>
                    <w:rPr>
                      <w:color w:val="auto"/>
                      <w:sz w:val="21"/>
                      <w:szCs w:val="21"/>
                      <w:highlight w:val="none"/>
                    </w:rPr>
                  </w:pPr>
                  <w:r>
                    <w:rPr>
                      <w:rFonts w:hint="eastAsia"/>
                      <w:color w:val="auto"/>
                      <w:sz w:val="21"/>
                      <w:szCs w:val="21"/>
                      <w:highlight w:val="none"/>
                    </w:rPr>
                    <w:t>符合</w:t>
                  </w:r>
                </w:p>
              </w:tc>
            </w:tr>
            <w:tr w14:paraId="30B6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8" w:type="pct"/>
                  <w:shd w:val="clear" w:color="auto" w:fill="auto"/>
                  <w:noWrap w:val="0"/>
                  <w:vAlign w:val="center"/>
                </w:tcPr>
                <w:p w14:paraId="15405369">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严格控制燃煤项目，</w:t>
                  </w:r>
                  <w:r>
                    <w:rPr>
                      <w:rFonts w:hint="eastAsia"/>
                      <w:color w:val="auto"/>
                      <w:sz w:val="21"/>
                      <w:szCs w:val="21"/>
                      <w:highlight w:val="none"/>
                    </w:rPr>
                    <w:t>强化新建燃煤项目审批管理，限制高污染高耗能项目落地，新改扩建耗煤项目严格执行安徽省煤炭消费减量替代制度，</w:t>
                  </w:r>
                  <w:r>
                    <w:rPr>
                      <w:color w:val="auto"/>
                      <w:sz w:val="21"/>
                      <w:szCs w:val="21"/>
                      <w:highlight w:val="none"/>
                    </w:rPr>
                    <w:t>并且排污强度、能效和碳排放水平达到国内先进水平。加严涉VOCs项目建设。</w:t>
                  </w:r>
                  <w:r>
                    <w:rPr>
                      <w:rFonts w:hint="eastAsia"/>
                      <w:color w:val="auto"/>
                      <w:sz w:val="21"/>
                      <w:szCs w:val="21"/>
                      <w:highlight w:val="none"/>
                    </w:rPr>
                    <w:t>严格限制高VOCs排放化工类建设项目</w:t>
                  </w:r>
                  <w:r>
                    <w:rPr>
                      <w:color w:val="auto"/>
                      <w:sz w:val="21"/>
                      <w:szCs w:val="21"/>
                      <w:highlight w:val="none"/>
                    </w:rPr>
                    <w:t>。禁止建设生产和使用VOCs含量</w:t>
                  </w:r>
                  <w:r>
                    <w:rPr>
                      <w:rFonts w:hint="eastAsia"/>
                      <w:color w:val="auto"/>
                      <w:sz w:val="21"/>
                      <w:szCs w:val="21"/>
                      <w:highlight w:val="none"/>
                    </w:rPr>
                    <w:t>限值不符合国家标准</w:t>
                  </w:r>
                  <w:r>
                    <w:rPr>
                      <w:color w:val="auto"/>
                      <w:sz w:val="21"/>
                      <w:szCs w:val="21"/>
                      <w:highlight w:val="none"/>
                    </w:rPr>
                    <w:t>的涂料、油墨、胶黏剂</w:t>
                  </w:r>
                  <w:r>
                    <w:rPr>
                      <w:rFonts w:hint="eastAsia"/>
                      <w:color w:val="auto"/>
                      <w:sz w:val="21"/>
                      <w:szCs w:val="21"/>
                      <w:highlight w:val="none"/>
                    </w:rPr>
                    <w:t>、清洗剂等</w:t>
                  </w:r>
                  <w:r>
                    <w:rPr>
                      <w:color w:val="auto"/>
                      <w:sz w:val="21"/>
                      <w:szCs w:val="21"/>
                      <w:highlight w:val="none"/>
                    </w:rPr>
                    <w:t>项目。其他新、改、扩建排放VOCs的项目，应从源头加强控制，配套安装高效收集、治理设施。新建涉VOCs排放的工业企业要入园区</w:t>
                  </w:r>
                  <w:r>
                    <w:rPr>
                      <w:rFonts w:hint="eastAsia"/>
                      <w:color w:val="auto"/>
                      <w:sz w:val="21"/>
                      <w:szCs w:val="21"/>
                      <w:highlight w:val="none"/>
                    </w:rPr>
                    <w:t>。实行区域内</w:t>
                  </w:r>
                  <w:r>
                    <w:rPr>
                      <w:color w:val="auto"/>
                      <w:sz w:val="21"/>
                      <w:szCs w:val="21"/>
                      <w:highlight w:val="none"/>
                    </w:rPr>
                    <w:t>VOCs</w:t>
                  </w:r>
                  <w:r>
                    <w:rPr>
                      <w:rFonts w:hint="eastAsia"/>
                      <w:color w:val="auto"/>
                      <w:sz w:val="21"/>
                      <w:szCs w:val="21"/>
                      <w:highlight w:val="none"/>
                    </w:rPr>
                    <w:t>排放等量、倍量削减替代，将替代方案落实到企业排污许可证中，纳入环境执法管理。</w:t>
                  </w:r>
                </w:p>
              </w:tc>
              <w:tc>
                <w:tcPr>
                  <w:tcW w:w="1339" w:type="pct"/>
                  <w:shd w:val="clear" w:color="auto" w:fill="auto"/>
                  <w:noWrap w:val="0"/>
                  <w:vAlign w:val="center"/>
                </w:tcPr>
                <w:p w14:paraId="25F596CA">
                  <w:pPr>
                    <w:pStyle w:val="27"/>
                    <w:keepNext w:val="0"/>
                    <w:keepLines w:val="0"/>
                    <w:suppressLineNumbers w:val="0"/>
                    <w:bidi w:val="0"/>
                    <w:spacing w:before="0" w:beforeAutospacing="0" w:after="0" w:afterAutospacing="0"/>
                    <w:ind w:left="0" w:right="0"/>
                    <w:rPr>
                      <w:rFonts w:hint="default" w:eastAsia="宋体"/>
                      <w:color w:val="auto"/>
                      <w:sz w:val="21"/>
                      <w:szCs w:val="21"/>
                      <w:highlight w:val="none"/>
                      <w:lang w:val="en-US" w:eastAsia="zh-CN"/>
                    </w:rPr>
                  </w:pPr>
                  <w:r>
                    <w:rPr>
                      <w:rFonts w:hint="eastAsia"/>
                      <w:color w:val="auto"/>
                      <w:sz w:val="21"/>
                      <w:szCs w:val="21"/>
                      <w:highlight w:val="none"/>
                    </w:rPr>
                    <w:t>项目生产原料、能源均不涉及煤。</w:t>
                  </w:r>
                  <w:r>
                    <w:rPr>
                      <w:rFonts w:hint="eastAsia"/>
                      <w:color w:val="auto"/>
                      <w:sz w:val="21"/>
                      <w:szCs w:val="21"/>
                      <w:highlight w:val="none"/>
                      <w:lang w:val="en-US" w:eastAsia="zh-CN"/>
                    </w:rPr>
                    <w:t>实验过程</w:t>
                  </w:r>
                  <w:r>
                    <w:rPr>
                      <w:rFonts w:hint="eastAsia"/>
                      <w:color w:val="auto"/>
                      <w:sz w:val="21"/>
                      <w:szCs w:val="21"/>
                      <w:highlight w:val="none"/>
                    </w:rPr>
                    <w:t>产生有机废气，</w:t>
                  </w:r>
                  <w:r>
                    <w:rPr>
                      <w:rFonts w:hint="eastAsia"/>
                      <w:color w:val="auto"/>
                      <w:sz w:val="21"/>
                      <w:szCs w:val="21"/>
                      <w:highlight w:val="none"/>
                      <w:lang w:val="en-US" w:eastAsia="zh-CN"/>
                    </w:rPr>
                    <w:t>配套二级活性炭吸附装置处理后达标排放。</w:t>
                  </w:r>
                  <w:r>
                    <w:rPr>
                      <w:rFonts w:hint="eastAsia"/>
                      <w:color w:val="auto"/>
                      <w:sz w:val="21"/>
                      <w:szCs w:val="21"/>
                      <w:highlight w:val="none"/>
                    </w:rPr>
                    <w:t>营运期建立管理台账，记录VOCs原辅材料的产品名称、VOCs含量和使用量等。</w:t>
                  </w:r>
                </w:p>
              </w:tc>
              <w:tc>
                <w:tcPr>
                  <w:tcW w:w="482" w:type="pct"/>
                  <w:noWrap w:val="0"/>
                  <w:vAlign w:val="center"/>
                </w:tcPr>
                <w:p w14:paraId="207B3B65">
                  <w:pPr>
                    <w:pStyle w:val="27"/>
                    <w:keepNext w:val="0"/>
                    <w:keepLines w:val="0"/>
                    <w:suppressLineNumbers w:val="0"/>
                    <w:bidi w:val="0"/>
                    <w:spacing w:before="0" w:beforeAutospacing="0" w:after="0" w:afterAutospacing="0"/>
                    <w:ind w:left="0" w:right="0"/>
                    <w:rPr>
                      <w:color w:val="auto"/>
                      <w:sz w:val="21"/>
                      <w:szCs w:val="21"/>
                      <w:highlight w:val="none"/>
                    </w:rPr>
                  </w:pPr>
                  <w:r>
                    <w:rPr>
                      <w:rFonts w:hint="eastAsia"/>
                      <w:color w:val="auto"/>
                      <w:sz w:val="21"/>
                      <w:szCs w:val="21"/>
                      <w:highlight w:val="none"/>
                    </w:rPr>
                    <w:t>符合</w:t>
                  </w:r>
                </w:p>
              </w:tc>
            </w:tr>
            <w:tr w14:paraId="403E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8" w:type="pct"/>
                  <w:shd w:val="clear" w:color="auto" w:fill="auto"/>
                  <w:noWrap w:val="0"/>
                  <w:vAlign w:val="center"/>
                </w:tcPr>
                <w:p w14:paraId="2FDCA6C1">
                  <w:pPr>
                    <w:pStyle w:val="27"/>
                    <w:keepNext w:val="0"/>
                    <w:keepLines w:val="0"/>
                    <w:suppressLineNumbers w:val="0"/>
                    <w:bidi w:val="0"/>
                    <w:spacing w:before="0" w:beforeAutospacing="0" w:after="0" w:afterAutospacing="0"/>
                    <w:ind w:left="0" w:right="0"/>
                    <w:jc w:val="left"/>
                    <w:rPr>
                      <w:color w:val="auto"/>
                      <w:sz w:val="21"/>
                      <w:szCs w:val="21"/>
                      <w:highlight w:val="none"/>
                    </w:rPr>
                  </w:pPr>
                  <w:r>
                    <w:rPr>
                      <w:rFonts w:hint="eastAsia"/>
                      <w:color w:val="auto"/>
                      <w:sz w:val="21"/>
                      <w:szCs w:val="21"/>
                      <w:highlight w:val="none"/>
                    </w:rPr>
                    <w:t>开展工业炉窑整治专项行动。按照</w:t>
                  </w:r>
                  <w:r>
                    <w:rPr>
                      <w:rFonts w:hint="eastAsia"/>
                      <w:color w:val="auto"/>
                      <w:sz w:val="21"/>
                      <w:szCs w:val="21"/>
                      <w:highlight w:val="none"/>
                      <w:lang w:eastAsia="zh-CN"/>
                    </w:rPr>
                    <w:t>“</w:t>
                  </w:r>
                  <w:r>
                    <w:rPr>
                      <w:rFonts w:hint="eastAsia"/>
                      <w:color w:val="auto"/>
                      <w:sz w:val="21"/>
                      <w:szCs w:val="21"/>
                      <w:highlight w:val="none"/>
                    </w:rPr>
                    <w:t>提标改造一批、淘汰取缔一批、清洁能源替代一批、搬迁入园一批</w:t>
                  </w:r>
                  <w:r>
                    <w:rPr>
                      <w:rFonts w:hint="eastAsia"/>
                      <w:color w:val="auto"/>
                      <w:sz w:val="21"/>
                      <w:szCs w:val="21"/>
                      <w:highlight w:val="none"/>
                      <w:lang w:eastAsia="zh-CN"/>
                    </w:rPr>
                    <w:t>”</w:t>
                  </w:r>
                  <w:r>
                    <w:rPr>
                      <w:rFonts w:hint="eastAsia"/>
                      <w:color w:val="auto"/>
                      <w:sz w:val="21"/>
                      <w:szCs w:val="21"/>
                      <w:highlight w:val="none"/>
                    </w:rPr>
                    <w:t>的原则，推进工业炉窑结构升级和污染减排。对以煤、渣油、重油等为燃料的加热炉、热处理炉、干燥炉（窑）等，加快使用清洁能源以及利用工厂余热、热电厂供热等进行替代，到2025年基本完成以煤为燃料的工业炉窑清洁燃料替代改造。深入推进工业炉窑污染深度治理，严格执行大气污染物特别排放限值，清理整治无法稳定达标排放的工业炉窑锅炉。</w:t>
                  </w:r>
                </w:p>
              </w:tc>
              <w:tc>
                <w:tcPr>
                  <w:tcW w:w="1339" w:type="pct"/>
                  <w:shd w:val="clear" w:color="auto" w:fill="auto"/>
                  <w:noWrap w:val="0"/>
                  <w:vAlign w:val="center"/>
                </w:tcPr>
                <w:p w14:paraId="7A1E147A">
                  <w:pPr>
                    <w:pStyle w:val="27"/>
                    <w:keepNext w:val="0"/>
                    <w:keepLines w:val="0"/>
                    <w:suppressLineNumbers w:val="0"/>
                    <w:bidi w:val="0"/>
                    <w:spacing w:before="0" w:beforeAutospacing="0" w:after="0" w:afterAutospacing="0"/>
                    <w:ind w:left="0" w:right="0"/>
                    <w:rPr>
                      <w:rFonts w:hint="default" w:eastAsia="宋体"/>
                      <w:color w:val="auto"/>
                      <w:sz w:val="21"/>
                      <w:szCs w:val="21"/>
                      <w:highlight w:val="none"/>
                      <w:lang w:val="en-US" w:eastAsia="zh-CN"/>
                    </w:rPr>
                  </w:pPr>
                  <w:r>
                    <w:rPr>
                      <w:rFonts w:hint="eastAsia"/>
                      <w:color w:val="auto"/>
                      <w:sz w:val="21"/>
                      <w:szCs w:val="21"/>
                      <w:highlight w:val="none"/>
                    </w:rPr>
                    <w:t>本项目</w:t>
                  </w:r>
                  <w:r>
                    <w:rPr>
                      <w:rFonts w:hint="eastAsia"/>
                      <w:color w:val="auto"/>
                      <w:sz w:val="21"/>
                      <w:szCs w:val="21"/>
                      <w:highlight w:val="none"/>
                      <w:lang w:val="en-US" w:eastAsia="zh-CN"/>
                    </w:rPr>
                    <w:t>不涉及工业炉窑。</w:t>
                  </w:r>
                </w:p>
              </w:tc>
              <w:tc>
                <w:tcPr>
                  <w:tcW w:w="482" w:type="pct"/>
                  <w:noWrap w:val="0"/>
                  <w:vAlign w:val="center"/>
                </w:tcPr>
                <w:p w14:paraId="45A4D06E">
                  <w:pPr>
                    <w:pStyle w:val="27"/>
                    <w:keepNext w:val="0"/>
                    <w:keepLines w:val="0"/>
                    <w:suppressLineNumbers w:val="0"/>
                    <w:bidi w:val="0"/>
                    <w:spacing w:before="0" w:beforeAutospacing="0" w:after="0" w:afterAutospacing="0"/>
                    <w:ind w:left="0" w:right="0"/>
                    <w:rPr>
                      <w:color w:val="auto"/>
                      <w:sz w:val="21"/>
                      <w:szCs w:val="21"/>
                      <w:highlight w:val="none"/>
                    </w:rPr>
                  </w:pPr>
                  <w:r>
                    <w:rPr>
                      <w:rFonts w:hint="eastAsia"/>
                      <w:color w:val="auto"/>
                      <w:sz w:val="21"/>
                      <w:szCs w:val="21"/>
                      <w:highlight w:val="none"/>
                    </w:rPr>
                    <w:t>符合</w:t>
                  </w:r>
                </w:p>
              </w:tc>
            </w:tr>
            <w:tr w14:paraId="3207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78" w:type="pct"/>
                  <w:shd w:val="clear" w:color="auto" w:fill="auto"/>
                  <w:noWrap w:val="0"/>
                  <w:vAlign w:val="center"/>
                </w:tcPr>
                <w:p w14:paraId="0B794055">
                  <w:pPr>
                    <w:pStyle w:val="27"/>
                    <w:keepNext w:val="0"/>
                    <w:keepLines w:val="0"/>
                    <w:suppressLineNumbers w:val="0"/>
                    <w:bidi w:val="0"/>
                    <w:spacing w:before="0" w:beforeAutospacing="0" w:after="0" w:afterAutospacing="0"/>
                    <w:ind w:left="0" w:right="0"/>
                    <w:jc w:val="left"/>
                    <w:rPr>
                      <w:rFonts w:hint="eastAsia"/>
                      <w:color w:val="auto"/>
                      <w:sz w:val="21"/>
                      <w:szCs w:val="21"/>
                      <w:highlight w:val="none"/>
                    </w:rPr>
                  </w:pPr>
                  <w:r>
                    <w:rPr>
                      <w:rFonts w:hint="eastAsia"/>
                      <w:color w:val="auto"/>
                      <w:sz w:val="21"/>
                      <w:szCs w:val="21"/>
                      <w:highlight w:val="none"/>
                    </w:rPr>
                    <w:t>建设适宜高效的治污设施。全面提升治理设施</w:t>
                  </w:r>
                  <w:r>
                    <w:rPr>
                      <w:rFonts w:hint="eastAsia"/>
                      <w:color w:val="auto"/>
                      <w:sz w:val="21"/>
                      <w:szCs w:val="21"/>
                      <w:highlight w:val="none"/>
                      <w:lang w:eastAsia="zh-CN"/>
                    </w:rPr>
                    <w:t>“</w:t>
                  </w:r>
                  <w:r>
                    <w:rPr>
                      <w:rFonts w:hint="eastAsia"/>
                      <w:color w:val="auto"/>
                      <w:sz w:val="21"/>
                      <w:szCs w:val="21"/>
                      <w:highlight w:val="none"/>
                    </w:rPr>
                    <w:t>三率</w:t>
                  </w:r>
                  <w:r>
                    <w:rPr>
                      <w:rFonts w:hint="eastAsia"/>
                      <w:color w:val="auto"/>
                      <w:sz w:val="21"/>
                      <w:szCs w:val="21"/>
                      <w:highlight w:val="none"/>
                      <w:lang w:eastAsia="zh-CN"/>
                    </w:rPr>
                    <w:t>”</w:t>
                  </w:r>
                  <w:r>
                    <w:rPr>
                      <w:rFonts w:hint="eastAsia"/>
                      <w:color w:val="auto"/>
                      <w:sz w:val="21"/>
                      <w:szCs w:val="21"/>
                      <w:highlight w:val="none"/>
                    </w:rPr>
                    <w:t>，2022年底前，各地完成现有VOCs废气收集率、治理设施同步运行率和去除率的排查，对达不到要求的VOCs收集、治理设施进行更换或升级改造，确保稳定达标排放；对治理难度大、单一治理工艺难以稳定达标的，要采用多种技术的组合工艺，鼓励采用</w:t>
                  </w:r>
                  <w:r>
                    <w:rPr>
                      <w:rFonts w:hint="eastAsia"/>
                      <w:color w:val="auto"/>
                      <w:sz w:val="21"/>
                      <w:szCs w:val="21"/>
                      <w:highlight w:val="none"/>
                      <w:lang w:eastAsia="zh-CN"/>
                    </w:rPr>
                    <w:t>“</w:t>
                  </w:r>
                  <w:r>
                    <w:rPr>
                      <w:rFonts w:hint="eastAsia"/>
                      <w:color w:val="auto"/>
                      <w:sz w:val="21"/>
                      <w:szCs w:val="21"/>
                      <w:highlight w:val="none"/>
                    </w:rPr>
                    <w:t>除尘、活性炭、燃烧或除尘、沸石转轮浓缩、燃烧</w:t>
                  </w:r>
                  <w:r>
                    <w:rPr>
                      <w:rFonts w:hint="eastAsia"/>
                      <w:color w:val="auto"/>
                      <w:sz w:val="21"/>
                      <w:szCs w:val="21"/>
                      <w:highlight w:val="none"/>
                      <w:lang w:eastAsia="zh-CN"/>
                    </w:rPr>
                    <w:t>”</w:t>
                  </w:r>
                  <w:r>
                    <w:rPr>
                      <w:rFonts w:hint="eastAsia"/>
                      <w:color w:val="auto"/>
                      <w:sz w:val="21"/>
                      <w:szCs w:val="21"/>
                      <w:highlight w:val="none"/>
                    </w:rPr>
                    <w:t>等技术或组合技术，提高VOCs污染物去除效率。完成有机废气排放系统旁路摸底排查，取消非必要的旁路。加强运行维护管理，确保治污设施达标运行。到2025年，化工、工业涂装、包装印刷行业综合去除效率均达到80%以上。</w:t>
                  </w:r>
                </w:p>
              </w:tc>
              <w:tc>
                <w:tcPr>
                  <w:tcW w:w="1339" w:type="pct"/>
                  <w:shd w:val="clear" w:color="auto" w:fill="auto"/>
                  <w:noWrap w:val="0"/>
                  <w:vAlign w:val="center"/>
                </w:tcPr>
                <w:p w14:paraId="2D2458AF">
                  <w:pPr>
                    <w:pStyle w:val="27"/>
                    <w:keepNext w:val="0"/>
                    <w:keepLines w:val="0"/>
                    <w:suppressLineNumbers w:val="0"/>
                    <w:bidi w:val="0"/>
                    <w:spacing w:before="0" w:beforeAutospacing="0" w:after="0" w:afterAutospacing="0"/>
                    <w:ind w:left="0" w:right="0"/>
                    <w:rPr>
                      <w:rFonts w:hint="eastAsia"/>
                      <w:color w:val="auto"/>
                      <w:sz w:val="21"/>
                      <w:szCs w:val="21"/>
                      <w:highlight w:val="none"/>
                    </w:rPr>
                  </w:pPr>
                  <w:r>
                    <w:rPr>
                      <w:rFonts w:hint="eastAsia"/>
                      <w:color w:val="auto"/>
                      <w:sz w:val="21"/>
                      <w:szCs w:val="21"/>
                      <w:highlight w:val="none"/>
                    </w:rPr>
                    <w:t>本项目</w:t>
                  </w:r>
                  <w:r>
                    <w:rPr>
                      <w:rFonts w:hint="eastAsia"/>
                      <w:color w:val="auto"/>
                      <w:sz w:val="21"/>
                      <w:szCs w:val="21"/>
                      <w:highlight w:val="none"/>
                      <w:lang w:val="en-US" w:eastAsia="zh-CN"/>
                    </w:rPr>
                    <w:t>试验过程产生有机废气，经核算属于低浓度大风量有机废气，配套二级活性炭吸附装置处理有机废气属于可行技术</w:t>
                  </w:r>
                  <w:r>
                    <w:rPr>
                      <w:rFonts w:hint="eastAsia"/>
                      <w:color w:val="auto"/>
                      <w:sz w:val="21"/>
                      <w:szCs w:val="21"/>
                      <w:highlight w:val="none"/>
                    </w:rPr>
                    <w:t>。</w:t>
                  </w:r>
                </w:p>
              </w:tc>
              <w:tc>
                <w:tcPr>
                  <w:tcW w:w="482" w:type="pct"/>
                  <w:noWrap w:val="0"/>
                  <w:vAlign w:val="center"/>
                </w:tcPr>
                <w:p w14:paraId="64FAAEED">
                  <w:pPr>
                    <w:pStyle w:val="27"/>
                    <w:keepNext w:val="0"/>
                    <w:keepLines w:val="0"/>
                    <w:suppressLineNumbers w:val="0"/>
                    <w:bidi w:val="0"/>
                    <w:spacing w:before="0" w:beforeAutospacing="0" w:after="0" w:afterAutospacing="0"/>
                    <w:ind w:left="0" w:right="0"/>
                    <w:rPr>
                      <w:rFonts w:hint="eastAsia"/>
                      <w:color w:val="auto"/>
                      <w:sz w:val="21"/>
                      <w:szCs w:val="21"/>
                      <w:highlight w:val="none"/>
                    </w:rPr>
                  </w:pPr>
                  <w:r>
                    <w:rPr>
                      <w:color w:val="auto"/>
                      <w:sz w:val="21"/>
                      <w:szCs w:val="21"/>
                      <w:highlight w:val="none"/>
                    </w:rPr>
                    <w:t>符合</w:t>
                  </w:r>
                </w:p>
              </w:tc>
            </w:tr>
          </w:tbl>
          <w:p w14:paraId="5C86C50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综上所述，项目建设符合</w:t>
            </w:r>
            <w:r>
              <w:rPr>
                <w:rFonts w:hint="eastAsia"/>
                <w:b/>
                <w:bCs/>
                <w:color w:val="auto"/>
                <w:highlight w:val="none"/>
              </w:rPr>
              <w:t>《</w:t>
            </w:r>
            <w:r>
              <w:rPr>
                <w:rFonts w:hint="default"/>
                <w:b/>
                <w:bCs/>
                <w:color w:val="auto"/>
                <w:highlight w:val="none"/>
              </w:rPr>
              <w:t>安徽省大气办关于深入开展挥发性有机物污染治理工作的通知</w:t>
            </w:r>
            <w:r>
              <w:rPr>
                <w:rFonts w:hint="eastAsia"/>
                <w:b/>
                <w:bCs/>
                <w:color w:val="auto"/>
                <w:highlight w:val="none"/>
              </w:rPr>
              <w:t>》（皖大气办</w:t>
            </w:r>
            <w:r>
              <w:rPr>
                <w:rFonts w:hint="eastAsia"/>
                <w:b/>
                <w:bCs/>
                <w:color w:val="auto"/>
                <w:highlight w:val="none"/>
                <w:lang w:eastAsia="zh-CN"/>
              </w:rPr>
              <w:t>〔</w:t>
            </w:r>
            <w:r>
              <w:rPr>
                <w:rFonts w:hint="eastAsia"/>
                <w:b/>
                <w:bCs/>
                <w:color w:val="auto"/>
                <w:highlight w:val="none"/>
              </w:rPr>
              <w:t>2021</w:t>
            </w:r>
            <w:r>
              <w:rPr>
                <w:rFonts w:hint="eastAsia"/>
                <w:b/>
                <w:bCs/>
                <w:color w:val="auto"/>
                <w:highlight w:val="none"/>
                <w:lang w:eastAsia="zh-CN"/>
              </w:rPr>
              <w:t>〕</w:t>
            </w:r>
            <w:r>
              <w:rPr>
                <w:rFonts w:hint="eastAsia"/>
                <w:b/>
                <w:bCs/>
                <w:color w:val="auto"/>
                <w:highlight w:val="none"/>
              </w:rPr>
              <w:t>4号）</w:t>
            </w:r>
            <w:r>
              <w:rPr>
                <w:rFonts w:hint="eastAsia"/>
                <w:color w:val="auto"/>
                <w:highlight w:val="none"/>
              </w:rPr>
              <w:t>的要求。</w:t>
            </w:r>
          </w:p>
          <w:p w14:paraId="3B09B88F">
            <w:pPr>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eastAsia" w:ascii="Times New Roman" w:hAnsi="Times New Roman" w:eastAsia="宋体" w:cs="Times New Roman"/>
                <w:b/>
                <w:bCs/>
                <w:color w:val="auto"/>
                <w:highlight w:val="none"/>
                <w:lang w:val="en-US" w:eastAsia="zh-CN"/>
              </w:rPr>
              <w:t>、与《关于印发淮南市涉气建设项目环评审批负面清单的通知》相符性分析</w:t>
            </w:r>
          </w:p>
          <w:p w14:paraId="0D2802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表1-</w:t>
            </w:r>
            <w:r>
              <w:rPr>
                <w:rFonts w:hint="eastAsia" w:cs="Times New Roman"/>
                <w:b/>
                <w:bCs w:val="0"/>
                <w:color w:val="auto"/>
                <w:kern w:val="0"/>
                <w:sz w:val="21"/>
                <w:szCs w:val="21"/>
                <w:highlight w:val="none"/>
                <w:lang w:val="en-US" w:eastAsia="zh-CN" w:bidi="ar"/>
              </w:rPr>
              <w:t>5</w:t>
            </w:r>
            <w:r>
              <w:rPr>
                <w:rFonts w:hint="default" w:ascii="Times New Roman" w:hAnsi="Times New Roman" w:eastAsia="宋体" w:cs="Times New Roman"/>
                <w:b/>
                <w:bCs w:val="0"/>
                <w:color w:val="auto"/>
                <w:kern w:val="0"/>
                <w:sz w:val="21"/>
                <w:szCs w:val="21"/>
                <w:highlight w:val="none"/>
                <w:lang w:val="en-US" w:eastAsia="zh-CN" w:bidi="ar"/>
              </w:rPr>
              <w:t xml:space="preserve"> </w:t>
            </w:r>
            <w:r>
              <w:rPr>
                <w:rFonts w:hint="eastAsia" w:ascii="Times New Roman" w:hAnsi="Times New Roman" w:eastAsia="宋体" w:cs="Times New Roman"/>
                <w:b/>
                <w:bCs w:val="0"/>
                <w:color w:val="auto"/>
                <w:kern w:val="0"/>
                <w:sz w:val="21"/>
                <w:szCs w:val="21"/>
                <w:highlight w:val="none"/>
                <w:lang w:val="en-US" w:eastAsia="zh-CN" w:bidi="ar"/>
              </w:rPr>
              <w:t xml:space="preserve"> </w:t>
            </w:r>
            <w:r>
              <w:rPr>
                <w:rFonts w:hint="eastAsia" w:cs="Times New Roman"/>
                <w:b/>
                <w:bCs w:val="0"/>
                <w:color w:val="auto"/>
                <w:kern w:val="0"/>
                <w:sz w:val="21"/>
                <w:szCs w:val="21"/>
                <w:highlight w:val="none"/>
                <w:lang w:val="en-US" w:eastAsia="zh-CN" w:bidi="ar"/>
              </w:rPr>
              <w:t>“</w:t>
            </w:r>
            <w:r>
              <w:rPr>
                <w:rFonts w:hint="default" w:ascii="Times New Roman" w:hAnsi="Times New Roman" w:eastAsia="宋体" w:cs="Times New Roman"/>
                <w:b/>
                <w:bCs w:val="0"/>
                <w:color w:val="auto"/>
                <w:kern w:val="2"/>
                <w:sz w:val="21"/>
                <w:szCs w:val="21"/>
                <w:highlight w:val="none"/>
                <w:lang w:val="en-US" w:eastAsia="zh-CN" w:bidi="ar"/>
              </w:rPr>
              <w:t>淮南市涉气建设项目环评审批负面清单</w:t>
            </w:r>
            <w:r>
              <w:rPr>
                <w:rFonts w:hint="eastAsia" w:cs="Times New Roman"/>
                <w:b/>
                <w:bCs w:val="0"/>
                <w:color w:val="auto"/>
                <w:kern w:val="0"/>
                <w:sz w:val="21"/>
                <w:szCs w:val="21"/>
                <w:highlight w:val="none"/>
                <w:lang w:val="en-US" w:eastAsia="zh-CN" w:bidi="ar"/>
              </w:rPr>
              <w:t>”</w:t>
            </w:r>
            <w:r>
              <w:rPr>
                <w:rFonts w:hint="default" w:ascii="Times New Roman" w:hAnsi="Times New Roman" w:eastAsia="宋体" w:cs="Times New Roman"/>
                <w:b/>
                <w:bCs w:val="0"/>
                <w:color w:val="auto"/>
                <w:kern w:val="0"/>
                <w:sz w:val="21"/>
                <w:szCs w:val="21"/>
                <w:highlight w:val="none"/>
                <w:lang w:val="en-US" w:eastAsia="zh-CN" w:bidi="ar"/>
              </w:rPr>
              <w:t>符合性分析</w:t>
            </w:r>
          </w:p>
          <w:tbl>
            <w:tblPr>
              <w:tblStyle w:val="18"/>
              <w:tblW w:w="768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28" w:type="dxa"/>
                <w:bottom w:w="0" w:type="dxa"/>
                <w:right w:w="28" w:type="dxa"/>
              </w:tblCellMar>
            </w:tblPr>
            <w:tblGrid>
              <w:gridCol w:w="710"/>
              <w:gridCol w:w="1365"/>
              <w:gridCol w:w="2061"/>
              <w:gridCol w:w="2253"/>
              <w:gridCol w:w="1299"/>
            </w:tblGrid>
            <w:tr w14:paraId="7DF08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28" w:type="dxa"/>
                  <w:bottom w:w="0" w:type="dxa"/>
                  <w:right w:w="28" w:type="dxa"/>
                </w:tblCellMar>
              </w:tblPrEx>
              <w:trPr>
                <w:trHeight w:val="571"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B67D82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序号</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42BBA2C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重点工作任务</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3A60AB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推进举措</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3F11A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环评审批的负面清单</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EAC7F5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本项目情况</w:t>
                  </w:r>
                </w:p>
              </w:tc>
            </w:tr>
            <w:tr w14:paraId="35D081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7688" w:type="dxa"/>
                  <w:gridSpan w:val="5"/>
                  <w:tcBorders>
                    <w:top w:val="single" w:color="auto" w:sz="2" w:space="0"/>
                    <w:left w:val="single" w:color="auto" w:sz="2" w:space="0"/>
                    <w:bottom w:val="single" w:color="auto" w:sz="2" w:space="0"/>
                    <w:right w:val="single" w:color="auto" w:sz="4" w:space="0"/>
                  </w:tcBorders>
                  <w:shd w:val="clear" w:color="auto" w:fill="auto"/>
                  <w:noWrap/>
                  <w:vAlign w:val="center"/>
                </w:tcPr>
                <w:p w14:paraId="70DB074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（一）坚决遏制高耗能、高排放、低水平项目盲目上马</w:t>
                  </w:r>
                </w:p>
              </w:tc>
            </w:tr>
            <w:tr w14:paraId="688F1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1"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6333D77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46C522D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新改扩建项目严格落实国家产业政策要求，严把</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两高</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项目审批。</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E6DD6E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高污染、高耗能</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项目部门联审，严格论证项目建设必要性、可行性，推动行业集约发展和绿色转型。</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759B8B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r>
                    <w:rPr>
                      <w:rFonts w:hint="eastAsia" w:ascii="宋体" w:hAnsi="宋体" w:eastAsia="宋体" w:cs="宋体"/>
                      <w:b w:val="0"/>
                      <w:bCs w:val="0"/>
                      <w:color w:val="auto"/>
                      <w:kern w:val="2"/>
                      <w:sz w:val="21"/>
                      <w:szCs w:val="21"/>
                      <w:highlight w:val="none"/>
                      <w:lang w:val="en-US" w:eastAsia="zh-CN" w:bidi="ar"/>
                    </w:rPr>
                    <w:t>、新改扩建项目严格落实国家产业规划、产业政策、生态环境分区管控方案、规划环评、项目环评、节能审查、产能置换、重点污染物总量控制、污染物排放区域削减、碳排放达峰目标等相关要求；</w:t>
                  </w:r>
                </w:p>
                <w:p w14:paraId="361BE75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、两高项目应实施部门联审。</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D4CCDC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本项目不属于</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两高</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项目</w:t>
                  </w:r>
                </w:p>
              </w:tc>
            </w:tr>
            <w:tr w14:paraId="69EED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2" w:hRule="atLeast"/>
                <w:jc w:val="center"/>
              </w:trPr>
              <w:tc>
                <w:tcPr>
                  <w:tcW w:w="710" w:type="dxa"/>
                  <w:vMerge w:val="restart"/>
                  <w:tcBorders>
                    <w:top w:val="nil"/>
                    <w:left w:val="single" w:color="auto" w:sz="2" w:space="0"/>
                    <w:bottom w:val="single" w:color="auto" w:sz="2" w:space="0"/>
                    <w:right w:val="single" w:color="auto" w:sz="2" w:space="0"/>
                  </w:tcBorders>
                  <w:shd w:val="clear" w:color="auto" w:fill="auto"/>
                  <w:noWrap/>
                  <w:vAlign w:val="center"/>
                </w:tcPr>
                <w:p w14:paraId="4F53A86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1365" w:type="dxa"/>
                  <w:vMerge w:val="restart"/>
                  <w:tcBorders>
                    <w:top w:val="nil"/>
                    <w:left w:val="single" w:color="auto" w:sz="2" w:space="0"/>
                    <w:bottom w:val="single" w:color="auto" w:sz="2" w:space="0"/>
                    <w:right w:val="single" w:color="auto" w:sz="2" w:space="0"/>
                  </w:tcBorders>
                  <w:shd w:val="clear" w:color="auto" w:fill="auto"/>
                  <w:noWrap/>
                  <w:vAlign w:val="center"/>
                </w:tcPr>
                <w:p w14:paraId="7E75FDC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严格落实产能置换要求。</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47CD670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推动产能过剩行业减量发展、优化布局。不以任何名义、任何方式核准、备案产能严重过剩行业新增产能项目。</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CED79D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严重过剩行业新增产能项目环评不予审批。</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60A54D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w:t>
                  </w:r>
                  <w:r>
                    <w:rPr>
                      <w:rFonts w:hint="eastAsia" w:ascii="宋体" w:hAnsi="宋体" w:cs="宋体"/>
                      <w:color w:val="auto"/>
                      <w:kern w:val="2"/>
                      <w:sz w:val="21"/>
                      <w:szCs w:val="21"/>
                      <w:highlight w:val="none"/>
                      <w:lang w:val="en-US" w:eastAsia="zh-CN" w:bidi="ar"/>
                    </w:rPr>
                    <w:t>主要进行环境检测，不进行实际生产加工，</w:t>
                  </w:r>
                  <w:r>
                    <w:rPr>
                      <w:rFonts w:hint="eastAsia" w:ascii="宋体" w:hAnsi="宋体" w:eastAsia="宋体" w:cs="宋体"/>
                      <w:color w:val="auto"/>
                      <w:kern w:val="2"/>
                      <w:sz w:val="21"/>
                      <w:szCs w:val="21"/>
                      <w:highlight w:val="none"/>
                      <w:lang w:val="en-US" w:eastAsia="zh-CN" w:bidi="ar"/>
                    </w:rPr>
                    <w:t>不属于过剩产能。</w:t>
                  </w:r>
                </w:p>
              </w:tc>
            </w:tr>
            <w:tr w14:paraId="12834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52" w:hRule="atLeast"/>
                <w:jc w:val="center"/>
              </w:trPr>
              <w:tc>
                <w:tcPr>
                  <w:tcW w:w="710" w:type="dxa"/>
                  <w:vMerge w:val="continue"/>
                  <w:tcBorders>
                    <w:top w:val="nil"/>
                    <w:left w:val="single" w:color="auto" w:sz="2" w:space="0"/>
                    <w:bottom w:val="single" w:color="auto" w:sz="2" w:space="0"/>
                    <w:right w:val="single" w:color="auto" w:sz="2" w:space="0"/>
                  </w:tcBorders>
                  <w:shd w:val="clear" w:color="auto" w:fill="auto"/>
                  <w:noWrap/>
                  <w:vAlign w:val="center"/>
                </w:tcPr>
                <w:p w14:paraId="575CBA9F">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left"/>
                    <w:textAlignment w:val="auto"/>
                    <w:rPr>
                      <w:rFonts w:hint="default" w:ascii="Times New Roman" w:hAnsi="Times New Roman" w:cs="Times New Roman"/>
                      <w:color w:val="auto"/>
                      <w:sz w:val="21"/>
                      <w:szCs w:val="21"/>
                      <w:highlight w:val="none"/>
                    </w:rPr>
                  </w:pPr>
                </w:p>
              </w:tc>
              <w:tc>
                <w:tcPr>
                  <w:tcW w:w="1365" w:type="dxa"/>
                  <w:vMerge w:val="continue"/>
                  <w:tcBorders>
                    <w:top w:val="nil"/>
                    <w:left w:val="single" w:color="auto" w:sz="2" w:space="0"/>
                    <w:bottom w:val="single" w:color="auto" w:sz="2" w:space="0"/>
                    <w:right w:val="single" w:color="auto" w:sz="2" w:space="0"/>
                  </w:tcBorders>
                  <w:shd w:val="clear" w:color="auto" w:fill="auto"/>
                  <w:noWrap/>
                  <w:vAlign w:val="center"/>
                </w:tcPr>
                <w:p w14:paraId="32787A41">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1D9826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被置换产能及其配套设施关停后，新建项目方可投产。</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6C669A2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涉及产能置换项目环评阶段应取得置换产能。</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B15904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本项目不涉及产能置换</w:t>
                  </w:r>
                </w:p>
              </w:tc>
            </w:tr>
            <w:tr w14:paraId="27FD08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5" w:hRule="atLeast"/>
                <w:jc w:val="center"/>
              </w:trPr>
              <w:tc>
                <w:tcPr>
                  <w:tcW w:w="7688" w:type="dxa"/>
                  <w:gridSpan w:val="5"/>
                  <w:tcBorders>
                    <w:top w:val="single" w:color="auto" w:sz="2" w:space="0"/>
                    <w:left w:val="single" w:color="auto" w:sz="2" w:space="0"/>
                    <w:bottom w:val="single" w:color="auto" w:sz="2" w:space="0"/>
                    <w:right w:val="single" w:color="auto" w:sz="4" w:space="0"/>
                  </w:tcBorders>
                  <w:shd w:val="clear" w:color="auto" w:fill="auto"/>
                  <w:noWrap/>
                  <w:vAlign w:val="center"/>
                </w:tcPr>
                <w:p w14:paraId="701D3C2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（二）有序推动落后产能淘汰</w:t>
                  </w:r>
                </w:p>
              </w:tc>
            </w:tr>
            <w:tr w14:paraId="4C9A5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07" w:hRule="atLeast"/>
                <w:jc w:val="center"/>
              </w:trPr>
              <w:tc>
                <w:tcPr>
                  <w:tcW w:w="710" w:type="dxa"/>
                  <w:vMerge w:val="restart"/>
                  <w:tcBorders>
                    <w:top w:val="nil"/>
                    <w:left w:val="single" w:color="auto" w:sz="2" w:space="0"/>
                    <w:bottom w:val="single" w:color="auto" w:sz="2" w:space="0"/>
                    <w:right w:val="single" w:color="auto" w:sz="2" w:space="0"/>
                  </w:tcBorders>
                  <w:shd w:val="clear" w:color="auto" w:fill="auto"/>
                  <w:noWrap/>
                  <w:vAlign w:val="center"/>
                </w:tcPr>
                <w:p w14:paraId="74B7E7B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1365" w:type="dxa"/>
                  <w:vMerge w:val="restart"/>
                  <w:tcBorders>
                    <w:top w:val="single" w:color="auto" w:sz="2" w:space="0"/>
                    <w:left w:val="single" w:color="auto" w:sz="2" w:space="0"/>
                    <w:bottom w:val="single" w:color="auto" w:sz="2" w:space="0"/>
                    <w:right w:val="single" w:color="auto" w:sz="2" w:space="0"/>
                  </w:tcBorders>
                  <w:shd w:val="clear" w:color="auto" w:fill="auto"/>
                  <w:noWrap/>
                  <w:vAlign w:val="center"/>
                </w:tcPr>
                <w:p w14:paraId="7888E99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有序推动生产设施老旧、工艺水平落后、环境管理水平低下等企业退出市场。</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EFCA5F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逐步淘汰步进式烧结机和球团竖炉以及半封闭式硅锰合金、镍铁、高碳铬铁、高碳锰铁电炉。</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C95A15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采用步进式烧结机和球团竖炉以及半封闭式硅锰合金、镍铁、高碳铬铁、高碳锰铁电炉新建项目环评不予审批。</w:t>
                  </w:r>
                </w:p>
              </w:tc>
              <w:tc>
                <w:tcPr>
                  <w:tcW w:w="1299" w:type="dxa"/>
                  <w:vMerge w:val="restart"/>
                  <w:tcBorders>
                    <w:top w:val="single" w:color="auto" w:sz="2" w:space="0"/>
                    <w:left w:val="single" w:color="auto" w:sz="2" w:space="0"/>
                    <w:bottom w:val="single" w:color="auto" w:sz="2" w:space="0"/>
                    <w:right w:val="single" w:color="auto" w:sz="2" w:space="0"/>
                  </w:tcBorders>
                  <w:shd w:val="clear" w:color="auto" w:fill="auto"/>
                  <w:noWrap/>
                  <w:vAlign w:val="center"/>
                </w:tcPr>
                <w:p w14:paraId="28AEF43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本项目不涉及落后产能。不进行钢铁、铝、水泥等过剩产能产品加工。</w:t>
                  </w:r>
                </w:p>
              </w:tc>
            </w:tr>
            <w:tr w14:paraId="0D2F5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4" w:hRule="atLeast"/>
                <w:jc w:val="center"/>
              </w:trPr>
              <w:tc>
                <w:tcPr>
                  <w:tcW w:w="710" w:type="dxa"/>
                  <w:vMerge w:val="continue"/>
                  <w:tcBorders>
                    <w:top w:val="nil"/>
                    <w:left w:val="single" w:color="auto" w:sz="2" w:space="0"/>
                    <w:bottom w:val="single" w:color="auto" w:sz="2" w:space="0"/>
                    <w:right w:val="single" w:color="auto" w:sz="2" w:space="0"/>
                  </w:tcBorders>
                  <w:shd w:val="clear" w:color="auto" w:fill="auto"/>
                  <w:noWrap/>
                  <w:vAlign w:val="center"/>
                </w:tcPr>
                <w:p w14:paraId="73BF3E3D">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365"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2AE9666A">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B60FAC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有序推动落后煤炭洗选企业退出市场。</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8BC103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落后煤炭洗选项目不予审批。</w:t>
                  </w:r>
                </w:p>
              </w:tc>
              <w:tc>
                <w:tcPr>
                  <w:tcW w:w="1299"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4C38D79E">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14:paraId="6EDC22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8" w:hRule="atLeast"/>
                <w:jc w:val="center"/>
              </w:trPr>
              <w:tc>
                <w:tcPr>
                  <w:tcW w:w="710" w:type="dxa"/>
                  <w:vMerge w:val="continue"/>
                  <w:tcBorders>
                    <w:top w:val="nil"/>
                    <w:left w:val="single" w:color="auto" w:sz="2" w:space="0"/>
                    <w:bottom w:val="single" w:color="auto" w:sz="2" w:space="0"/>
                    <w:right w:val="single" w:color="auto" w:sz="2" w:space="0"/>
                  </w:tcBorders>
                  <w:shd w:val="clear" w:color="auto" w:fill="auto"/>
                  <w:noWrap/>
                  <w:vAlign w:val="center"/>
                </w:tcPr>
                <w:p w14:paraId="27042B39">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365"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43F89DCA">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166873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禁止铝加工（深井铸造）企业新改扩建项目采用固定式保温炉组、钢丝绳铸造机。</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CE5087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采用固定式保温炉组、钢丝绳铸造机的新改扩建铝加工（深井铸造）项目环评不予审批。</w:t>
                  </w:r>
                </w:p>
              </w:tc>
              <w:tc>
                <w:tcPr>
                  <w:tcW w:w="1299"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0D6485EA">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14:paraId="03E5B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59"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EB003F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DCA2DB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严禁违规新增产能。</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41F1F32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严禁违规新增钢铁、水泥（熟料）、焦化、电解铝、平板玻璃（不含光伏压延玻璃）产能。</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BC7875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违规新增钢铁、水泥（熟料）、焦化、电解铝、平板玻璃（不含光伏压延玻璃）产能项目环评不予审批。</w:t>
                  </w:r>
                </w:p>
              </w:tc>
              <w:tc>
                <w:tcPr>
                  <w:tcW w:w="1299"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74010D38">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14:paraId="6E96B7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jc w:val="center"/>
              </w:trPr>
              <w:tc>
                <w:tcPr>
                  <w:tcW w:w="7688" w:type="dxa"/>
                  <w:gridSpan w:val="5"/>
                  <w:tcBorders>
                    <w:top w:val="single" w:color="auto" w:sz="2" w:space="0"/>
                    <w:left w:val="single" w:color="auto" w:sz="2" w:space="0"/>
                    <w:bottom w:val="single" w:color="auto" w:sz="2" w:space="0"/>
                    <w:right w:val="single" w:color="auto" w:sz="2" w:space="0"/>
                  </w:tcBorders>
                  <w:shd w:val="clear" w:color="auto" w:fill="auto"/>
                  <w:noWrap/>
                  <w:vAlign w:val="center"/>
                </w:tcPr>
                <w:p w14:paraId="5270704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（六）推动煤炭消费减量替代</w:t>
                  </w:r>
                </w:p>
              </w:tc>
            </w:tr>
            <w:tr w14:paraId="7670C3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682"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9C671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16</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EAA6E3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推动煤炭等量或减量替代。</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696C4F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重点区域新改扩建用煤项目，依法实行煤炭等量或减量替代，替代方案不完善的能评、环评等不予审批；不得使用石油焦、焦炭、兰炭等高污染燃料作为煤炭减量替代措施。</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83D566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重点区域新改扩建用煤项目，依法实行煤炭等量或减量替代，替代方案不完善的环评不予审批；不得使用石油焦、焦炭、兰炭等高污染燃料作为煤炭减量替代措施。</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13C5F7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本项目主要生产采用电作为能源，不涉及煤等资源能源</w:t>
                  </w:r>
                </w:p>
              </w:tc>
            </w:tr>
            <w:tr w14:paraId="51E33D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7" w:hRule="atLeast"/>
                <w:jc w:val="center"/>
              </w:trPr>
              <w:tc>
                <w:tcPr>
                  <w:tcW w:w="7688" w:type="dxa"/>
                  <w:gridSpan w:val="5"/>
                  <w:tcBorders>
                    <w:top w:val="single" w:color="auto" w:sz="2" w:space="0"/>
                    <w:left w:val="single" w:color="auto" w:sz="2" w:space="0"/>
                    <w:bottom w:val="single" w:color="auto" w:sz="2" w:space="0"/>
                    <w:right w:val="single" w:color="auto" w:sz="4" w:space="0"/>
                  </w:tcBorders>
                  <w:shd w:val="clear" w:color="auto" w:fill="auto"/>
                  <w:noWrap/>
                  <w:vAlign w:val="center"/>
                </w:tcPr>
                <w:p w14:paraId="6446B2A4">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（七）加快推动燃煤锅炉机组升级改造</w:t>
                  </w:r>
                </w:p>
              </w:tc>
            </w:tr>
            <w:tr w14:paraId="68ECF6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89"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D8F4DE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19</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98012C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严控热源性燃煤设施建设。</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6000BF1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重点区域原则上不再新建除集中供暖外的燃煤锅炉。</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7B93BB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原则上不得审批除集中供暖外的燃煤锅炉。</w:t>
                  </w:r>
                </w:p>
              </w:tc>
              <w:tc>
                <w:tcPr>
                  <w:tcW w:w="1299" w:type="dxa"/>
                  <w:vMerge w:val="restart"/>
                  <w:tcBorders>
                    <w:top w:val="single" w:color="auto" w:sz="2" w:space="0"/>
                    <w:left w:val="single" w:color="auto" w:sz="2" w:space="0"/>
                    <w:bottom w:val="single" w:color="auto" w:sz="2" w:space="0"/>
                    <w:right w:val="single" w:color="auto" w:sz="2" w:space="0"/>
                  </w:tcBorders>
                  <w:shd w:val="clear" w:color="auto" w:fill="auto"/>
                  <w:noWrap/>
                  <w:vAlign w:val="center"/>
                </w:tcPr>
                <w:p w14:paraId="085167A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本项目不建设锅炉</w:t>
                  </w:r>
                </w:p>
              </w:tc>
            </w:tr>
            <w:tr w14:paraId="0CD1D4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A76BE4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21</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9D7218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推动现有燃煤机组升级改造。</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C1D561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禁止新建自备燃煤机组，鼓励自备燃煤机组积极开展清洁能源替代。大力推动现有煤电机组开展节能降碳改造、灵活性改造、供热改造</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三改联动</w:t>
                  </w:r>
                  <w:r>
                    <w:rPr>
                      <w:rFonts w:hint="eastAsia" w:cs="Times New Roman"/>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A6138A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新建自备燃煤机组环评项目不予审批。</w:t>
                  </w:r>
                </w:p>
              </w:tc>
              <w:tc>
                <w:tcPr>
                  <w:tcW w:w="1299" w:type="dxa"/>
                  <w:vMerge w:val="continue"/>
                  <w:tcBorders>
                    <w:top w:val="single" w:color="auto" w:sz="2" w:space="0"/>
                    <w:left w:val="single" w:color="auto" w:sz="2" w:space="0"/>
                    <w:bottom w:val="single" w:color="auto" w:sz="2" w:space="0"/>
                    <w:right w:val="single" w:color="auto" w:sz="2" w:space="0"/>
                  </w:tcBorders>
                  <w:shd w:val="clear" w:color="auto" w:fill="auto"/>
                  <w:noWrap/>
                  <w:vAlign w:val="center"/>
                </w:tcPr>
                <w:p w14:paraId="3004BC1F">
                  <w:pPr>
                    <w:keepNext w:val="0"/>
                    <w:keepLines w:val="0"/>
                    <w:pageBreakBefore w:val="0"/>
                    <w:suppressLineNumbers w:val="0"/>
                    <w:kinsoku/>
                    <w:wordWrap/>
                    <w:overflowPunct/>
                    <w:topLinePunct w:val="0"/>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14:paraId="46F384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6" w:hRule="atLeast"/>
                <w:jc w:val="center"/>
              </w:trPr>
              <w:tc>
                <w:tcPr>
                  <w:tcW w:w="7688" w:type="dxa"/>
                  <w:gridSpan w:val="5"/>
                  <w:tcBorders>
                    <w:top w:val="single" w:color="auto" w:sz="2" w:space="0"/>
                    <w:left w:val="single" w:color="auto" w:sz="2" w:space="0"/>
                    <w:bottom w:val="single" w:color="auto" w:sz="2" w:space="0"/>
                    <w:right w:val="single" w:color="auto" w:sz="4" w:space="0"/>
                  </w:tcBorders>
                  <w:shd w:val="clear" w:color="auto" w:fill="auto"/>
                  <w:noWrap/>
                  <w:vAlign w:val="center"/>
                </w:tcPr>
                <w:p w14:paraId="2D1A8CD1">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（八）推动工业炉窑清洁能源替代</w:t>
                  </w:r>
                </w:p>
              </w:tc>
            </w:tr>
            <w:tr w14:paraId="1204E9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7"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51A6BA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23</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349B63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推动煤气发生炉清洁能源替代。</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678AB00">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重点区域不再新增燃料类煤气发生炉。</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D98151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新增燃煤类煤气发生炉项目不予审批。</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6B5480E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本项目</w:t>
                  </w:r>
                  <w:r>
                    <w:rPr>
                      <w:rFonts w:hint="eastAsia" w:ascii="宋体" w:hAnsi="宋体" w:cs="宋体"/>
                      <w:color w:val="auto"/>
                      <w:kern w:val="2"/>
                      <w:sz w:val="21"/>
                      <w:szCs w:val="21"/>
                      <w:highlight w:val="none"/>
                      <w:lang w:val="en-US" w:eastAsia="zh-CN" w:bidi="ar"/>
                    </w:rPr>
                    <w:t>生产加工不涉及炉窑。</w:t>
                  </w:r>
                </w:p>
              </w:tc>
            </w:tr>
            <w:tr w14:paraId="34E0A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1" w:hRule="atLeast"/>
                <w:jc w:val="center"/>
              </w:trPr>
              <w:tc>
                <w:tcPr>
                  <w:tcW w:w="7688" w:type="dxa"/>
                  <w:gridSpan w:val="5"/>
                  <w:tcBorders>
                    <w:top w:val="single" w:color="auto" w:sz="2" w:space="0"/>
                    <w:left w:val="single" w:color="auto" w:sz="2" w:space="0"/>
                    <w:bottom w:val="single" w:color="auto" w:sz="2" w:space="0"/>
                    <w:right w:val="single" w:color="auto" w:sz="4" w:space="0"/>
                  </w:tcBorders>
                  <w:shd w:val="clear" w:color="auto" w:fill="auto"/>
                  <w:noWrap/>
                  <w:vAlign w:val="center"/>
                </w:tcPr>
                <w:p w14:paraId="487AC313">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（九）推动货物运输清洁化</w:t>
                  </w:r>
                </w:p>
              </w:tc>
            </w:tr>
            <w:tr w14:paraId="33165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62"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2898A0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27</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D5A8C5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提高重点行业清洁运输比例。</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F50A11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将清洁运输作为煤矿、钢铁、火电、水泥、有色、焦化、煤化工等行业新改扩建项目审核和监管重点。</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2B5EF657">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煤矿、钢铁、火电、水泥、有色、焦化、煤化工等行业新改扩建项目环评审核中重点关注清洁运输。</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3E984465">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本项目主要</w:t>
                  </w:r>
                  <w:r>
                    <w:rPr>
                      <w:rFonts w:hint="eastAsia" w:ascii="宋体" w:hAnsi="宋体" w:cs="宋体"/>
                      <w:color w:val="auto"/>
                      <w:kern w:val="2"/>
                      <w:sz w:val="21"/>
                      <w:szCs w:val="21"/>
                      <w:highlight w:val="none"/>
                      <w:lang w:val="en-US" w:eastAsia="zh-CN" w:bidi="ar"/>
                    </w:rPr>
                    <w:t>环境检测</w:t>
                  </w:r>
                  <w:r>
                    <w:rPr>
                      <w:rFonts w:hint="eastAsia" w:ascii="宋体" w:hAnsi="宋体" w:eastAsia="宋体" w:cs="宋体"/>
                      <w:color w:val="auto"/>
                      <w:kern w:val="2"/>
                      <w:sz w:val="21"/>
                      <w:szCs w:val="21"/>
                      <w:highlight w:val="none"/>
                      <w:lang w:val="en-US" w:eastAsia="zh-CN" w:bidi="ar"/>
                    </w:rPr>
                    <w:t>，不属于前述重点行业</w:t>
                  </w:r>
                  <w:r>
                    <w:rPr>
                      <w:rFonts w:hint="eastAsia" w:ascii="宋体" w:hAnsi="宋体" w:cs="宋体"/>
                      <w:color w:val="auto"/>
                      <w:kern w:val="2"/>
                      <w:sz w:val="21"/>
                      <w:szCs w:val="21"/>
                      <w:highlight w:val="none"/>
                      <w:lang w:val="en-US" w:eastAsia="zh-CN" w:bidi="ar"/>
                    </w:rPr>
                    <w:t>，不进行大宗物料运输</w:t>
                  </w:r>
                  <w:r>
                    <w:rPr>
                      <w:rFonts w:hint="eastAsia" w:ascii="宋体" w:hAnsi="宋体" w:eastAsia="宋体" w:cs="宋体"/>
                      <w:color w:val="auto"/>
                      <w:kern w:val="2"/>
                      <w:sz w:val="21"/>
                      <w:szCs w:val="21"/>
                      <w:highlight w:val="none"/>
                      <w:lang w:val="en-US" w:eastAsia="zh-CN" w:bidi="ar"/>
                    </w:rPr>
                    <w:t>。</w:t>
                  </w:r>
                </w:p>
              </w:tc>
            </w:tr>
            <w:tr w14:paraId="24179C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7688" w:type="dxa"/>
                  <w:gridSpan w:val="5"/>
                  <w:tcBorders>
                    <w:top w:val="single" w:color="auto" w:sz="2" w:space="0"/>
                    <w:left w:val="single" w:color="auto" w:sz="2" w:space="0"/>
                    <w:bottom w:val="single" w:color="auto" w:sz="2" w:space="0"/>
                    <w:right w:val="single" w:color="auto" w:sz="2" w:space="0"/>
                  </w:tcBorders>
                  <w:shd w:val="clear" w:color="auto" w:fill="auto"/>
                  <w:noWrap/>
                  <w:vAlign w:val="center"/>
                </w:tcPr>
                <w:p w14:paraId="58AC55F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（十七）加快低（无）</w:t>
                  </w:r>
                  <w:r>
                    <w:rPr>
                      <w:rFonts w:hint="default" w:ascii="Times New Roman" w:hAnsi="Times New Roman" w:eastAsia="宋体" w:cs="Times New Roman"/>
                      <w:color w:val="auto"/>
                      <w:kern w:val="2"/>
                      <w:sz w:val="21"/>
                      <w:szCs w:val="21"/>
                      <w:highlight w:val="none"/>
                      <w:lang w:val="en-US" w:eastAsia="zh-CN" w:bidi="ar"/>
                    </w:rPr>
                    <w:t>VOCs</w:t>
                  </w:r>
                  <w:r>
                    <w:rPr>
                      <w:rFonts w:hint="eastAsia" w:ascii="宋体" w:hAnsi="宋体" w:eastAsia="宋体" w:cs="宋体"/>
                      <w:color w:val="auto"/>
                      <w:kern w:val="2"/>
                      <w:sz w:val="21"/>
                      <w:szCs w:val="21"/>
                      <w:highlight w:val="none"/>
                      <w:lang w:val="en-US" w:eastAsia="zh-CN" w:bidi="ar"/>
                    </w:rPr>
                    <w:t>原辅材料替代</w:t>
                  </w:r>
                </w:p>
              </w:tc>
            </w:tr>
            <w:tr w14:paraId="6CDFF3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09" w:hRule="atLeast"/>
                <w:jc w:val="center"/>
              </w:trPr>
              <w:tc>
                <w:tcPr>
                  <w:tcW w:w="710" w:type="dxa"/>
                  <w:tcBorders>
                    <w:top w:val="single" w:color="auto" w:sz="2" w:space="0"/>
                    <w:left w:val="single" w:color="auto" w:sz="2" w:space="0"/>
                    <w:bottom w:val="single" w:color="auto" w:sz="2" w:space="0"/>
                    <w:right w:val="single" w:color="auto" w:sz="2" w:space="0"/>
                  </w:tcBorders>
                  <w:shd w:val="clear" w:color="auto" w:fill="auto"/>
                  <w:noWrap/>
                  <w:vAlign w:val="center"/>
                </w:tcPr>
                <w:p w14:paraId="06559CAD">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52</w:t>
                  </w:r>
                </w:p>
              </w:tc>
              <w:tc>
                <w:tcPr>
                  <w:tcW w:w="1365" w:type="dxa"/>
                  <w:tcBorders>
                    <w:top w:val="single" w:color="auto" w:sz="2" w:space="0"/>
                    <w:left w:val="single" w:color="auto" w:sz="2" w:space="0"/>
                    <w:bottom w:val="single" w:color="auto" w:sz="2" w:space="0"/>
                    <w:right w:val="single" w:color="auto" w:sz="2" w:space="0"/>
                  </w:tcBorders>
                  <w:shd w:val="clear" w:color="auto" w:fill="auto"/>
                  <w:noWrap/>
                  <w:vAlign w:val="center"/>
                </w:tcPr>
                <w:p w14:paraId="11C44E22">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严格控制生产和使用高</w:t>
                  </w:r>
                  <w:r>
                    <w:rPr>
                      <w:rFonts w:hint="default" w:ascii="Times New Roman" w:hAnsi="Times New Roman" w:eastAsia="宋体" w:cs="Times New Roman"/>
                      <w:color w:val="auto"/>
                      <w:kern w:val="2"/>
                      <w:sz w:val="21"/>
                      <w:szCs w:val="21"/>
                      <w:highlight w:val="none"/>
                      <w:lang w:val="en-US" w:eastAsia="zh-CN" w:bidi="ar"/>
                    </w:rPr>
                    <w:t>VOCs</w:t>
                  </w:r>
                  <w:r>
                    <w:rPr>
                      <w:rFonts w:hint="eastAsia" w:ascii="宋体" w:hAnsi="宋体" w:eastAsia="宋体" w:cs="宋体"/>
                      <w:color w:val="auto"/>
                      <w:kern w:val="2"/>
                      <w:sz w:val="21"/>
                      <w:szCs w:val="21"/>
                      <w:highlight w:val="none"/>
                      <w:lang w:val="en-US" w:eastAsia="zh-CN" w:bidi="ar"/>
                    </w:rPr>
                    <w:t>含量建设项目。</w:t>
                  </w:r>
                </w:p>
              </w:tc>
              <w:tc>
                <w:tcPr>
                  <w:tcW w:w="2061"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34353DB">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实施安徽省低挥发性有机物原辅材料源头替代工作方案，严格控制生产和使用高</w:t>
                  </w:r>
                  <w:r>
                    <w:rPr>
                      <w:rFonts w:hint="default" w:ascii="Times New Roman" w:hAnsi="Times New Roman" w:eastAsia="宋体" w:cs="Times New Roman"/>
                      <w:color w:val="auto"/>
                      <w:kern w:val="2"/>
                      <w:sz w:val="21"/>
                      <w:szCs w:val="21"/>
                      <w:highlight w:val="none"/>
                      <w:lang w:val="en-US" w:eastAsia="zh-CN" w:bidi="ar"/>
                    </w:rPr>
                    <w:t>VOCs</w:t>
                  </w:r>
                  <w:r>
                    <w:rPr>
                      <w:rFonts w:hint="eastAsia" w:ascii="宋体" w:hAnsi="宋体" w:eastAsia="宋体" w:cs="宋体"/>
                      <w:color w:val="auto"/>
                      <w:kern w:val="2"/>
                      <w:sz w:val="21"/>
                      <w:szCs w:val="21"/>
                      <w:highlight w:val="none"/>
                      <w:lang w:val="en-US" w:eastAsia="zh-CN" w:bidi="ar"/>
                    </w:rPr>
                    <w:t>含量涂料、油墨、胶粘剂、清洗剂等建设项目。</w:t>
                  </w:r>
                </w:p>
              </w:tc>
              <w:tc>
                <w:tcPr>
                  <w:tcW w:w="2253" w:type="dxa"/>
                  <w:tcBorders>
                    <w:top w:val="single" w:color="auto" w:sz="2" w:space="0"/>
                    <w:left w:val="single" w:color="auto" w:sz="2" w:space="0"/>
                    <w:bottom w:val="single" w:color="auto" w:sz="2" w:space="0"/>
                    <w:right w:val="single" w:color="auto" w:sz="2" w:space="0"/>
                  </w:tcBorders>
                  <w:shd w:val="clear" w:color="auto" w:fill="auto"/>
                  <w:noWrap/>
                  <w:vAlign w:val="center"/>
                </w:tcPr>
                <w:p w14:paraId="57E2EE5C">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严格控制审批生产和使用高</w:t>
                  </w:r>
                  <w:r>
                    <w:rPr>
                      <w:rFonts w:hint="default" w:ascii="Times New Roman" w:hAnsi="Times New Roman" w:eastAsia="宋体" w:cs="Times New Roman"/>
                      <w:color w:val="auto"/>
                      <w:kern w:val="2"/>
                      <w:sz w:val="21"/>
                      <w:szCs w:val="21"/>
                      <w:highlight w:val="none"/>
                      <w:lang w:val="en-US" w:eastAsia="zh-CN" w:bidi="ar"/>
                    </w:rPr>
                    <w:t>VOCs</w:t>
                  </w:r>
                  <w:r>
                    <w:rPr>
                      <w:rFonts w:hint="eastAsia" w:ascii="宋体" w:hAnsi="宋体" w:eastAsia="宋体" w:cs="宋体"/>
                      <w:color w:val="auto"/>
                      <w:kern w:val="2"/>
                      <w:sz w:val="21"/>
                      <w:szCs w:val="21"/>
                      <w:highlight w:val="none"/>
                      <w:lang w:val="en-US" w:eastAsia="zh-CN" w:bidi="ar"/>
                    </w:rPr>
                    <w:t>含量涂料、油墨、胶粘剂、清洗剂等建设项目环评。</w:t>
                  </w:r>
                </w:p>
              </w:tc>
              <w:tc>
                <w:tcPr>
                  <w:tcW w:w="1299" w:type="dxa"/>
                  <w:tcBorders>
                    <w:top w:val="single" w:color="auto" w:sz="2" w:space="0"/>
                    <w:left w:val="single" w:color="auto" w:sz="2" w:space="0"/>
                    <w:bottom w:val="single" w:color="auto" w:sz="2" w:space="0"/>
                    <w:right w:val="single" w:color="auto" w:sz="2" w:space="0"/>
                  </w:tcBorders>
                  <w:shd w:val="clear" w:color="auto" w:fill="auto"/>
                  <w:noWrap/>
                  <w:vAlign w:val="center"/>
                </w:tcPr>
                <w:p w14:paraId="78614DC8">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本项目</w:t>
                  </w:r>
                  <w:r>
                    <w:rPr>
                      <w:rFonts w:hint="eastAsia" w:cs="Times New Roman"/>
                      <w:color w:val="auto"/>
                      <w:kern w:val="2"/>
                      <w:sz w:val="21"/>
                      <w:szCs w:val="21"/>
                      <w:highlight w:val="none"/>
                      <w:lang w:val="en-US" w:eastAsia="zh-CN" w:bidi="ar"/>
                    </w:rPr>
                    <w:t>不使用各类涂料、油墨、胶黏剂，使用标准试剂进行检验，实验环节规范化操作</w:t>
                  </w:r>
                  <w:r>
                    <w:rPr>
                      <w:rFonts w:hint="eastAsia" w:ascii="宋体" w:hAnsi="宋体" w:eastAsia="宋体" w:cs="宋体"/>
                      <w:color w:val="auto"/>
                      <w:kern w:val="2"/>
                      <w:sz w:val="21"/>
                      <w:szCs w:val="21"/>
                      <w:highlight w:val="none"/>
                      <w:lang w:val="en-US" w:eastAsia="zh-CN" w:bidi="ar"/>
                    </w:rPr>
                    <w:t>。</w:t>
                  </w:r>
                </w:p>
              </w:tc>
            </w:tr>
          </w:tbl>
          <w:p w14:paraId="14B8C6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7</w:t>
            </w:r>
            <w:r>
              <w:rPr>
                <w:rFonts w:hint="eastAsia" w:ascii="Times New Roman" w:hAnsi="Times New Roman" w:eastAsia="宋体" w:cs="Times New Roman"/>
                <w:b/>
                <w:bCs/>
                <w:color w:val="auto"/>
                <w:kern w:val="0"/>
                <w:szCs w:val="21"/>
                <w:highlight w:val="none"/>
                <w:lang w:val="en-US" w:eastAsia="zh-CN"/>
              </w:rPr>
              <w:t>、与《安徽省空气质量持续改善行动方案》皖政〔2024〕36号相符性分析</w:t>
            </w:r>
          </w:p>
          <w:p w14:paraId="3B32E2C3">
            <w:pPr>
              <w:keepNext w:val="0"/>
              <w:keepLines w:val="0"/>
              <w:widowControl/>
              <w:suppressLineNumbers w:val="0"/>
              <w:autoSpaceDE w:val="0"/>
              <w:autoSpaceDN w:val="0"/>
              <w:adjustRightInd w:val="0"/>
              <w:snapToGrid w:val="0"/>
              <w:spacing w:before="0" w:beforeAutospacing="0" w:after="0" w:afterAutospacing="0" w:line="360" w:lineRule="auto"/>
              <w:ind w:left="0" w:right="0" w:firstLine="0" w:firstLineChars="0"/>
              <w:jc w:val="center"/>
              <w:rPr>
                <w:rFonts w:hint="eastAsia"/>
                <w:b/>
                <w:color w:val="auto"/>
                <w:kern w:val="0"/>
                <w:sz w:val="21"/>
                <w:szCs w:val="21"/>
                <w:highlight w:val="none"/>
                <w:lang w:val="en-US" w:eastAsia="zh-CN"/>
              </w:rPr>
            </w:pPr>
            <w:r>
              <w:rPr>
                <w:rFonts w:hint="eastAsia"/>
                <w:b/>
                <w:color w:val="auto"/>
                <w:kern w:val="0"/>
                <w:sz w:val="21"/>
                <w:szCs w:val="21"/>
                <w:highlight w:val="none"/>
                <w:lang w:val="en-US" w:eastAsia="zh-CN"/>
              </w:rPr>
              <w:t>表1-6  “</w:t>
            </w:r>
            <w:r>
              <w:rPr>
                <w:rFonts w:hint="eastAsia" w:ascii="Times New Roman" w:hAnsi="Times New Roman" w:eastAsia="宋体" w:cs="Times New Roman"/>
                <w:b/>
                <w:bCs/>
                <w:color w:val="auto"/>
                <w:kern w:val="0"/>
                <w:sz w:val="21"/>
                <w:szCs w:val="21"/>
                <w:highlight w:val="none"/>
                <w:lang w:val="en-US" w:eastAsia="zh-CN"/>
              </w:rPr>
              <w:t>皖政〔2024〕36号</w:t>
            </w:r>
            <w:r>
              <w:rPr>
                <w:rFonts w:hint="eastAsia"/>
                <w:b/>
                <w:color w:val="auto"/>
                <w:kern w:val="0"/>
                <w:sz w:val="21"/>
                <w:szCs w:val="21"/>
                <w:highlight w:val="none"/>
                <w:lang w:val="en-US" w:eastAsia="zh-CN"/>
              </w:rPr>
              <w:t>”符合性分析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174"/>
              <w:gridCol w:w="1886"/>
              <w:gridCol w:w="868"/>
            </w:tblGrid>
            <w:tr w14:paraId="7167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5" w:type="pct"/>
                  <w:noWrap w:val="0"/>
                  <w:vAlign w:val="center"/>
                </w:tcPr>
                <w:p w14:paraId="2AE7C8C4">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b/>
                      <w:bCs/>
                      <w:color w:val="auto"/>
                      <w:sz w:val="21"/>
                      <w:szCs w:val="21"/>
                      <w:highlight w:val="none"/>
                    </w:rPr>
                  </w:pPr>
                  <w:r>
                    <w:rPr>
                      <w:rFonts w:hint="default"/>
                      <w:b/>
                      <w:bCs/>
                      <w:color w:val="auto"/>
                      <w:sz w:val="21"/>
                      <w:szCs w:val="21"/>
                      <w:highlight w:val="none"/>
                    </w:rPr>
                    <w:t>序号</w:t>
                  </w:r>
                </w:p>
              </w:tc>
              <w:tc>
                <w:tcPr>
                  <w:tcW w:w="2707" w:type="pct"/>
                  <w:noWrap w:val="0"/>
                  <w:vAlign w:val="center"/>
                </w:tcPr>
                <w:p w14:paraId="5A43F89C">
                  <w:pPr>
                    <w:pStyle w:val="40"/>
                    <w:keepNext w:val="0"/>
                    <w:keepLines w:val="0"/>
                    <w:suppressLineNumbers w:val="0"/>
                    <w:adjustRightInd w:val="0"/>
                    <w:snapToGrid w:val="0"/>
                    <w:spacing w:before="0" w:beforeAutospacing="0" w:after="0" w:afterAutospacing="0" w:line="240" w:lineRule="atLeast"/>
                    <w:ind w:left="0" w:right="0"/>
                    <w:jc w:val="center"/>
                    <w:rPr>
                      <w:rFonts w:hint="default"/>
                      <w:b/>
                      <w:bCs/>
                      <w:color w:val="auto"/>
                      <w:sz w:val="21"/>
                      <w:szCs w:val="21"/>
                      <w:highlight w:val="none"/>
                    </w:rPr>
                  </w:pPr>
                  <w:r>
                    <w:rPr>
                      <w:rFonts w:hint="default"/>
                      <w:b/>
                      <w:bCs/>
                      <w:color w:val="auto"/>
                      <w:sz w:val="21"/>
                      <w:szCs w:val="21"/>
                      <w:highlight w:val="none"/>
                    </w:rPr>
                    <w:t>文件要求</w:t>
                  </w:r>
                </w:p>
              </w:tc>
              <w:tc>
                <w:tcPr>
                  <w:tcW w:w="1223" w:type="pct"/>
                  <w:noWrap w:val="0"/>
                  <w:vAlign w:val="center"/>
                </w:tcPr>
                <w:p w14:paraId="5A41B019">
                  <w:pPr>
                    <w:pStyle w:val="40"/>
                    <w:keepNext w:val="0"/>
                    <w:keepLines w:val="0"/>
                    <w:suppressLineNumbers w:val="0"/>
                    <w:adjustRightInd w:val="0"/>
                    <w:snapToGrid w:val="0"/>
                    <w:spacing w:before="0" w:beforeAutospacing="0" w:after="0" w:afterAutospacing="0" w:line="240" w:lineRule="atLeast"/>
                    <w:ind w:left="0" w:right="0"/>
                    <w:jc w:val="center"/>
                    <w:rPr>
                      <w:rFonts w:hint="default"/>
                      <w:b/>
                      <w:bCs/>
                      <w:color w:val="auto"/>
                      <w:sz w:val="21"/>
                      <w:szCs w:val="21"/>
                      <w:highlight w:val="none"/>
                    </w:rPr>
                  </w:pPr>
                  <w:r>
                    <w:rPr>
                      <w:rFonts w:hint="default"/>
                      <w:b/>
                      <w:bCs/>
                      <w:color w:val="auto"/>
                      <w:sz w:val="21"/>
                      <w:szCs w:val="21"/>
                      <w:highlight w:val="none"/>
                    </w:rPr>
                    <w:t>本项目情况</w:t>
                  </w:r>
                </w:p>
              </w:tc>
              <w:tc>
                <w:tcPr>
                  <w:tcW w:w="563" w:type="pct"/>
                  <w:noWrap w:val="0"/>
                  <w:vAlign w:val="center"/>
                </w:tcPr>
                <w:p w14:paraId="6550980A">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both"/>
                    <w:rPr>
                      <w:rFonts w:hint="default"/>
                      <w:b/>
                      <w:bCs/>
                      <w:color w:val="auto"/>
                      <w:sz w:val="21"/>
                      <w:szCs w:val="21"/>
                      <w:highlight w:val="none"/>
                    </w:rPr>
                  </w:pPr>
                  <w:r>
                    <w:rPr>
                      <w:rFonts w:hint="default"/>
                      <w:b/>
                      <w:bCs/>
                      <w:color w:val="auto"/>
                      <w:sz w:val="21"/>
                      <w:szCs w:val="21"/>
                      <w:highlight w:val="none"/>
                    </w:rPr>
                    <w:t>结论</w:t>
                  </w:r>
                </w:p>
              </w:tc>
            </w:tr>
            <w:tr w14:paraId="537C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05" w:type="pct"/>
                  <w:noWrap w:val="0"/>
                  <w:vAlign w:val="center"/>
                </w:tcPr>
                <w:p w14:paraId="20FEA80C">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color w:val="auto"/>
                      <w:sz w:val="21"/>
                      <w:szCs w:val="21"/>
                      <w:highlight w:val="none"/>
                    </w:rPr>
                  </w:pPr>
                  <w:r>
                    <w:rPr>
                      <w:rFonts w:hint="eastAsia"/>
                      <w:color w:val="auto"/>
                      <w:sz w:val="21"/>
                      <w:szCs w:val="21"/>
                      <w:highlight w:val="none"/>
                    </w:rPr>
                    <w:t>1</w:t>
                  </w:r>
                </w:p>
              </w:tc>
              <w:tc>
                <w:tcPr>
                  <w:tcW w:w="2707" w:type="pct"/>
                  <w:noWrap w:val="0"/>
                  <w:vAlign w:val="center"/>
                </w:tcPr>
                <w:p w14:paraId="1B8F92E4">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left"/>
                    <w:rPr>
                      <w:rFonts w:hint="default"/>
                      <w:color w:val="auto"/>
                      <w:sz w:val="21"/>
                      <w:szCs w:val="21"/>
                      <w:highlight w:val="none"/>
                    </w:rPr>
                  </w:pPr>
                  <w:r>
                    <w:rPr>
                      <w:rFonts w:hint="eastAsia"/>
                      <w:color w:val="auto"/>
                      <w:sz w:val="21"/>
                      <w:szCs w:val="21"/>
                      <w:highlight w:val="none"/>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color w:val="auto"/>
                      <w:sz w:val="21"/>
                      <w:szCs w:val="21"/>
                      <w:highlight w:val="none"/>
                      <w:lang w:eastAsia="zh-CN"/>
                    </w:rPr>
                    <w:t>“</w:t>
                  </w:r>
                  <w:r>
                    <w:rPr>
                      <w:rFonts w:hint="eastAsia"/>
                      <w:color w:val="auto"/>
                      <w:sz w:val="21"/>
                      <w:szCs w:val="21"/>
                      <w:highlight w:val="none"/>
                    </w:rPr>
                    <w:t>高污染、高耗能</w:t>
                  </w:r>
                  <w:r>
                    <w:rPr>
                      <w:rFonts w:hint="eastAsia"/>
                      <w:color w:val="auto"/>
                      <w:sz w:val="21"/>
                      <w:szCs w:val="21"/>
                      <w:highlight w:val="none"/>
                      <w:lang w:eastAsia="zh-CN"/>
                    </w:rPr>
                    <w:t>”</w:t>
                  </w:r>
                  <w:r>
                    <w:rPr>
                      <w:rFonts w:hint="eastAsia"/>
                      <w:color w:val="auto"/>
                      <w:sz w:val="21"/>
                      <w:szCs w:val="21"/>
                      <w:highlight w:val="none"/>
                    </w:rPr>
                    <w:t>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223" w:type="pct"/>
                  <w:noWrap w:val="0"/>
                  <w:vAlign w:val="center"/>
                </w:tcPr>
                <w:p w14:paraId="64D557F0">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left"/>
                    <w:rPr>
                      <w:rFonts w:hint="default" w:eastAsia="宋体"/>
                      <w:color w:val="auto"/>
                      <w:sz w:val="21"/>
                      <w:szCs w:val="21"/>
                      <w:highlight w:val="none"/>
                      <w:lang w:val="en-US" w:eastAsia="zh-CN"/>
                    </w:rPr>
                  </w:pPr>
                  <w:r>
                    <w:rPr>
                      <w:rFonts w:hint="default"/>
                      <w:color w:val="auto"/>
                      <w:sz w:val="21"/>
                      <w:szCs w:val="21"/>
                      <w:highlight w:val="none"/>
                    </w:rPr>
                    <w:t>本项目</w:t>
                  </w:r>
                  <w:r>
                    <w:rPr>
                      <w:rFonts w:hint="eastAsia"/>
                      <w:color w:val="auto"/>
                      <w:sz w:val="21"/>
                      <w:szCs w:val="21"/>
                      <w:highlight w:val="none"/>
                      <w:lang w:val="en-US" w:eastAsia="zh-CN"/>
                    </w:rPr>
                    <w:t>不属于高耗能、高排放项目，不涉及产能过剩产业，目前正积极履行环评手续。</w:t>
                  </w:r>
                </w:p>
              </w:tc>
              <w:tc>
                <w:tcPr>
                  <w:tcW w:w="563" w:type="pct"/>
                  <w:noWrap w:val="0"/>
                  <w:vAlign w:val="center"/>
                </w:tcPr>
                <w:p w14:paraId="483587A3">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color w:val="auto"/>
                      <w:sz w:val="21"/>
                      <w:szCs w:val="21"/>
                      <w:highlight w:val="none"/>
                    </w:rPr>
                  </w:pPr>
                  <w:r>
                    <w:rPr>
                      <w:rFonts w:hint="default"/>
                      <w:color w:val="auto"/>
                      <w:sz w:val="21"/>
                      <w:szCs w:val="21"/>
                      <w:highlight w:val="none"/>
                    </w:rPr>
                    <w:t>符合</w:t>
                  </w:r>
                </w:p>
              </w:tc>
            </w:tr>
            <w:tr w14:paraId="38B5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5" w:type="pct"/>
                  <w:noWrap w:val="0"/>
                  <w:vAlign w:val="center"/>
                </w:tcPr>
                <w:p w14:paraId="6045EDC6">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707" w:type="pct"/>
                  <w:noWrap w:val="0"/>
                  <w:vAlign w:val="center"/>
                </w:tcPr>
                <w:p w14:paraId="6485AAA2">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left"/>
                    <w:rPr>
                      <w:rFonts w:hint="eastAsia"/>
                      <w:color w:val="auto"/>
                      <w:sz w:val="21"/>
                      <w:szCs w:val="21"/>
                      <w:highlight w:val="none"/>
                    </w:rPr>
                  </w:pPr>
                  <w:r>
                    <w:rPr>
                      <w:rFonts w:hint="eastAsia"/>
                      <w:color w:val="auto"/>
                      <w:sz w:val="21"/>
                      <w:szCs w:val="21"/>
                      <w:highlight w:val="none"/>
                    </w:rPr>
                    <w:t>（四）有序推动落后产能淘汰。严格执行《产业结构调整指导目录》。</w:t>
                  </w:r>
                </w:p>
              </w:tc>
              <w:tc>
                <w:tcPr>
                  <w:tcW w:w="1223" w:type="pct"/>
                  <w:noWrap w:val="0"/>
                  <w:vAlign w:val="center"/>
                </w:tcPr>
                <w:p w14:paraId="757E3E42">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对照</w:t>
                  </w:r>
                  <w:r>
                    <w:rPr>
                      <w:rFonts w:hint="eastAsia"/>
                      <w:color w:val="auto"/>
                      <w:sz w:val="21"/>
                      <w:szCs w:val="21"/>
                      <w:highlight w:val="none"/>
                    </w:rPr>
                    <w:t>《产业结构调整指导目录</w:t>
                  </w:r>
                  <w:r>
                    <w:rPr>
                      <w:rFonts w:hint="eastAsia"/>
                      <w:color w:val="auto"/>
                      <w:sz w:val="21"/>
                      <w:szCs w:val="21"/>
                      <w:highlight w:val="none"/>
                      <w:lang w:eastAsia="zh-CN"/>
                    </w:rPr>
                    <w:t>（</w:t>
                  </w:r>
                  <w:r>
                    <w:rPr>
                      <w:rFonts w:hint="eastAsia"/>
                      <w:color w:val="auto"/>
                      <w:sz w:val="21"/>
                      <w:szCs w:val="21"/>
                      <w:highlight w:val="none"/>
                      <w:lang w:val="en-US" w:eastAsia="zh-CN"/>
                    </w:rPr>
                    <w:t>2024年本</w:t>
                  </w:r>
                  <w:r>
                    <w:rPr>
                      <w:rFonts w:hint="eastAsia"/>
                      <w:color w:val="auto"/>
                      <w:sz w:val="21"/>
                      <w:szCs w:val="21"/>
                      <w:highlight w:val="none"/>
                      <w:lang w:eastAsia="zh-CN"/>
                    </w:rPr>
                    <w:t>）</w:t>
                  </w:r>
                  <w:r>
                    <w:rPr>
                      <w:rFonts w:hint="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lang w:val="en-US" w:eastAsia="zh-CN"/>
                    </w:rPr>
                    <w:t>本项目属于鼓励类项目</w:t>
                  </w:r>
                </w:p>
              </w:tc>
              <w:tc>
                <w:tcPr>
                  <w:tcW w:w="563" w:type="pct"/>
                  <w:noWrap w:val="0"/>
                  <w:vAlign w:val="center"/>
                </w:tcPr>
                <w:p w14:paraId="0B18A35E">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color w:val="auto"/>
                      <w:sz w:val="21"/>
                      <w:szCs w:val="21"/>
                      <w:highlight w:val="none"/>
                    </w:rPr>
                  </w:pPr>
                  <w:r>
                    <w:rPr>
                      <w:rFonts w:hint="default"/>
                      <w:color w:val="auto"/>
                      <w:sz w:val="21"/>
                      <w:szCs w:val="21"/>
                      <w:highlight w:val="none"/>
                    </w:rPr>
                    <w:t>符合</w:t>
                  </w:r>
                </w:p>
              </w:tc>
            </w:tr>
            <w:tr w14:paraId="4449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5" w:type="pct"/>
                  <w:noWrap w:val="0"/>
                  <w:vAlign w:val="center"/>
                </w:tcPr>
                <w:p w14:paraId="6DF41D34">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707" w:type="pct"/>
                  <w:noWrap w:val="0"/>
                  <w:vAlign w:val="center"/>
                </w:tcPr>
                <w:p w14:paraId="22BC8720">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left"/>
                    <w:rPr>
                      <w:rFonts w:hint="eastAsia"/>
                      <w:color w:val="auto"/>
                      <w:sz w:val="21"/>
                      <w:szCs w:val="21"/>
                      <w:highlight w:val="none"/>
                    </w:rPr>
                  </w:pPr>
                  <w:r>
                    <w:rPr>
                      <w:rFonts w:hint="eastAsia"/>
                      <w:color w:val="auto"/>
                      <w:sz w:val="21"/>
                      <w:szCs w:val="21"/>
                      <w:highlight w:val="none"/>
                    </w:rPr>
                    <w:t>（十九）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1223" w:type="pct"/>
                  <w:noWrap w:val="0"/>
                  <w:vAlign w:val="center"/>
                </w:tcPr>
                <w:p w14:paraId="604767B9">
                  <w:pPr>
                    <w:pStyle w:val="40"/>
                    <w:keepNext w:val="0"/>
                    <w:keepLines w:val="0"/>
                    <w:suppressLineNumbers w:val="0"/>
                    <w:adjustRightInd w:val="0"/>
                    <w:snapToGrid w:val="0"/>
                    <w:spacing w:before="0" w:beforeAutospacing="0" w:after="0" w:afterAutospacing="0" w:line="240" w:lineRule="atLeast"/>
                    <w:ind w:left="0" w:right="0"/>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本项目不进行生产加工，不进行涂料、油墨、胶黏剂等。检测所用试剂均为标准化试剂。</w:t>
                  </w:r>
                </w:p>
              </w:tc>
              <w:tc>
                <w:tcPr>
                  <w:tcW w:w="563" w:type="pct"/>
                  <w:noWrap w:val="0"/>
                  <w:vAlign w:val="center"/>
                </w:tcPr>
                <w:p w14:paraId="1DA97E59">
                  <w:pPr>
                    <w:pStyle w:val="40"/>
                    <w:keepNext w:val="0"/>
                    <w:keepLines w:val="0"/>
                    <w:suppressLineNumbers w:val="0"/>
                    <w:adjustRightInd w:val="0"/>
                    <w:snapToGrid w:val="0"/>
                    <w:spacing w:before="0" w:beforeAutospacing="0" w:after="0" w:afterAutospacing="0" w:line="240" w:lineRule="atLeast"/>
                    <w:ind w:left="0" w:leftChars="0" w:right="0" w:firstLine="0" w:firstLineChars="0"/>
                    <w:jc w:val="center"/>
                    <w:rPr>
                      <w:rFonts w:hint="default"/>
                      <w:color w:val="auto"/>
                      <w:sz w:val="21"/>
                      <w:szCs w:val="21"/>
                      <w:highlight w:val="none"/>
                    </w:rPr>
                  </w:pPr>
                  <w:r>
                    <w:rPr>
                      <w:rFonts w:hint="default"/>
                      <w:color w:val="auto"/>
                      <w:sz w:val="21"/>
                      <w:szCs w:val="21"/>
                      <w:highlight w:val="none"/>
                    </w:rPr>
                    <w:t>符合</w:t>
                  </w:r>
                </w:p>
              </w:tc>
            </w:tr>
          </w:tbl>
          <w:p w14:paraId="611E461E">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8</w:t>
            </w:r>
            <w:r>
              <w:rPr>
                <w:rFonts w:hint="default"/>
                <w:b/>
                <w:bCs/>
                <w:color w:val="auto"/>
                <w:highlight w:val="none"/>
              </w:rPr>
              <w:t>、项目</w:t>
            </w:r>
            <w:r>
              <w:rPr>
                <w:rFonts w:hint="eastAsia"/>
                <w:b/>
                <w:bCs/>
                <w:color w:val="auto"/>
                <w:highlight w:val="none"/>
                <w:lang w:eastAsia="zh-CN"/>
              </w:rPr>
              <w:t>“</w:t>
            </w:r>
            <w:r>
              <w:rPr>
                <w:rFonts w:hint="default"/>
                <w:b/>
                <w:bCs/>
                <w:color w:val="auto"/>
                <w:highlight w:val="none"/>
              </w:rPr>
              <w:t>三线一单</w:t>
            </w:r>
            <w:r>
              <w:rPr>
                <w:rFonts w:hint="eastAsia"/>
                <w:b/>
                <w:bCs/>
                <w:color w:val="auto"/>
                <w:highlight w:val="none"/>
                <w:lang w:eastAsia="zh-CN"/>
              </w:rPr>
              <w:t>”</w:t>
            </w:r>
            <w:r>
              <w:rPr>
                <w:rFonts w:hint="default"/>
                <w:b/>
                <w:bCs/>
                <w:color w:val="auto"/>
                <w:highlight w:val="none"/>
              </w:rPr>
              <w:t>符合性分析</w:t>
            </w:r>
          </w:p>
          <w:p w14:paraId="07C3966B">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（1）与以改善环境质量为核心加强环境影响评价管理的通知相符性</w:t>
            </w:r>
          </w:p>
          <w:p w14:paraId="78289DF4">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2016年10月26日，环境保护部以环环评</w:t>
            </w:r>
            <w:r>
              <w:rPr>
                <w:rFonts w:hint="eastAsia"/>
                <w:color w:val="auto"/>
                <w:highlight w:val="none"/>
                <w:lang w:eastAsia="zh-CN"/>
              </w:rPr>
              <w:t>〔2016〕150号</w:t>
            </w:r>
            <w:r>
              <w:rPr>
                <w:rFonts w:hint="eastAsia"/>
                <w:color w:val="auto"/>
                <w:highlight w:val="none"/>
              </w:rPr>
              <w:t>发布《关于以改善环境质量为核心加强环境影响评价管理的通知》（以下简称</w:t>
            </w:r>
            <w:r>
              <w:rPr>
                <w:rFonts w:hint="eastAsia"/>
                <w:color w:val="auto"/>
                <w:highlight w:val="none"/>
                <w:lang w:eastAsia="zh-CN"/>
              </w:rPr>
              <w:t>“</w:t>
            </w:r>
            <w:r>
              <w:rPr>
                <w:rFonts w:hint="eastAsia"/>
                <w:color w:val="auto"/>
                <w:highlight w:val="none"/>
              </w:rPr>
              <w:t>通知</w:t>
            </w:r>
            <w:r>
              <w:rPr>
                <w:rFonts w:hint="eastAsia"/>
                <w:color w:val="auto"/>
                <w:highlight w:val="none"/>
                <w:lang w:eastAsia="zh-CN"/>
              </w:rPr>
              <w:t>”</w:t>
            </w:r>
            <w:r>
              <w:rPr>
                <w:rFonts w:hint="eastAsia"/>
                <w:color w:val="auto"/>
                <w:highlight w:val="none"/>
              </w:rPr>
              <w:t>），通知中明确应强化</w:t>
            </w:r>
            <w:r>
              <w:rPr>
                <w:rFonts w:hint="eastAsia"/>
                <w:color w:val="auto"/>
                <w:highlight w:val="none"/>
                <w:lang w:eastAsia="zh-CN"/>
              </w:rPr>
              <w:t>“</w:t>
            </w:r>
            <w:r>
              <w:rPr>
                <w:rFonts w:hint="eastAsia"/>
                <w:color w:val="auto"/>
                <w:highlight w:val="none"/>
              </w:rPr>
              <w:t>三线一单</w:t>
            </w:r>
            <w:r>
              <w:rPr>
                <w:rFonts w:hint="eastAsia"/>
                <w:color w:val="auto"/>
                <w:highlight w:val="none"/>
                <w:lang w:eastAsia="zh-CN"/>
              </w:rPr>
              <w:t>”</w:t>
            </w:r>
            <w:r>
              <w:rPr>
                <w:rFonts w:hint="eastAsia"/>
                <w:color w:val="auto"/>
                <w:highlight w:val="none"/>
              </w:rPr>
              <w:t>（即生态保护红线、环境质量底线、资源利用上线和环境准入负面清单）的约束作用。</w:t>
            </w:r>
          </w:p>
          <w:p w14:paraId="0B41AD74">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判定本项目与</w:t>
            </w:r>
            <w:r>
              <w:rPr>
                <w:rFonts w:hint="eastAsia"/>
                <w:color w:val="auto"/>
                <w:highlight w:val="none"/>
                <w:lang w:val="en-US" w:eastAsia="zh-CN"/>
              </w:rPr>
              <w:t>“</w:t>
            </w:r>
            <w:r>
              <w:rPr>
                <w:rFonts w:hint="default"/>
                <w:color w:val="auto"/>
                <w:highlight w:val="none"/>
                <w:lang w:val="en-US" w:eastAsia="zh-CN"/>
              </w:rPr>
              <w:t>三线一单</w:t>
            </w:r>
            <w:r>
              <w:rPr>
                <w:rFonts w:hint="eastAsia"/>
                <w:color w:val="auto"/>
                <w:highlight w:val="none"/>
                <w:lang w:val="en-US" w:eastAsia="zh-CN"/>
              </w:rPr>
              <w:t>”</w:t>
            </w:r>
            <w:r>
              <w:rPr>
                <w:rFonts w:hint="default"/>
                <w:color w:val="auto"/>
                <w:highlight w:val="none"/>
                <w:lang w:val="en-US" w:eastAsia="zh-CN"/>
              </w:rPr>
              <w:t>相符性如下表。</w:t>
            </w:r>
          </w:p>
          <w:p w14:paraId="28860046">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1-</w:t>
            </w:r>
            <w:r>
              <w:rPr>
                <w:rFonts w:hint="eastAsia"/>
                <w:color w:val="auto"/>
                <w:highlight w:val="none"/>
                <w:lang w:val="en-US" w:eastAsia="zh-CN"/>
              </w:rPr>
              <w:t>7</w:t>
            </w:r>
            <w:r>
              <w:rPr>
                <w:rFonts w:hint="eastAsia"/>
                <w:color w:val="auto"/>
                <w:highlight w:val="none"/>
              </w:rPr>
              <w:t xml:space="preserve"> </w:t>
            </w:r>
            <w:r>
              <w:rPr>
                <w:rFonts w:hint="eastAsia"/>
                <w:color w:val="auto"/>
                <w:highlight w:val="none"/>
                <w:lang w:val="en-US" w:eastAsia="zh-CN"/>
              </w:rPr>
              <w:t xml:space="preserve"> </w:t>
            </w:r>
            <w:r>
              <w:rPr>
                <w:rFonts w:hint="default"/>
                <w:color w:val="auto"/>
                <w:highlight w:val="none"/>
              </w:rPr>
              <w:t>本项目与</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相符性</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1" w:type="dxa"/>
                <w:left w:w="28" w:type="dxa"/>
                <w:bottom w:w="11" w:type="dxa"/>
                <w:right w:w="28" w:type="dxa"/>
              </w:tblCellMar>
            </w:tblPr>
            <w:tblGrid>
              <w:gridCol w:w="538"/>
              <w:gridCol w:w="572"/>
              <w:gridCol w:w="2115"/>
              <w:gridCol w:w="3890"/>
              <w:gridCol w:w="587"/>
            </w:tblGrid>
            <w:tr w14:paraId="76323E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9" w:type="pct"/>
                  <w:noWrap w:val="0"/>
                  <w:vAlign w:val="center"/>
                </w:tcPr>
                <w:p w14:paraId="74DEA8D6">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序号</w:t>
                  </w:r>
                </w:p>
              </w:tc>
              <w:tc>
                <w:tcPr>
                  <w:tcW w:w="371" w:type="pct"/>
                  <w:noWrap w:val="0"/>
                  <w:vAlign w:val="center"/>
                </w:tcPr>
                <w:p w14:paraId="040A3324">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内容</w:t>
                  </w:r>
                </w:p>
              </w:tc>
              <w:tc>
                <w:tcPr>
                  <w:tcW w:w="1372" w:type="pct"/>
                  <w:noWrap w:val="0"/>
                  <w:vAlign w:val="center"/>
                </w:tcPr>
                <w:p w14:paraId="356B8E20">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要求</w:t>
                  </w:r>
                </w:p>
              </w:tc>
              <w:tc>
                <w:tcPr>
                  <w:tcW w:w="2524" w:type="pct"/>
                  <w:noWrap w:val="0"/>
                  <w:vAlign w:val="center"/>
                </w:tcPr>
                <w:p w14:paraId="0085A5A5">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本项目情况</w:t>
                  </w:r>
                </w:p>
              </w:tc>
              <w:tc>
                <w:tcPr>
                  <w:tcW w:w="381" w:type="pct"/>
                  <w:noWrap w:val="0"/>
                  <w:vAlign w:val="center"/>
                </w:tcPr>
                <w:p w14:paraId="12BA1E68">
                  <w:pPr>
                    <w:pStyle w:val="27"/>
                    <w:keepNext w:val="0"/>
                    <w:keepLines w:val="0"/>
                    <w:suppressLineNumbers w:val="0"/>
                    <w:bidi w:val="0"/>
                    <w:spacing w:before="0" w:beforeAutospacing="0" w:after="0" w:afterAutospacing="0"/>
                    <w:ind w:left="0" w:right="0"/>
                    <w:rPr>
                      <w:b/>
                      <w:bCs/>
                      <w:color w:val="auto"/>
                      <w:sz w:val="21"/>
                      <w:szCs w:val="21"/>
                      <w:highlight w:val="none"/>
                    </w:rPr>
                  </w:pPr>
                  <w:r>
                    <w:rPr>
                      <w:b/>
                      <w:bCs/>
                      <w:color w:val="auto"/>
                      <w:sz w:val="21"/>
                      <w:szCs w:val="21"/>
                      <w:highlight w:val="none"/>
                    </w:rPr>
                    <w:t>相符性</w:t>
                  </w:r>
                </w:p>
              </w:tc>
            </w:tr>
            <w:tr w14:paraId="30ADC2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9" w:type="pct"/>
                  <w:noWrap w:val="0"/>
                  <w:vAlign w:val="center"/>
                </w:tcPr>
                <w:p w14:paraId="5C50A245">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1</w:t>
                  </w:r>
                </w:p>
              </w:tc>
              <w:tc>
                <w:tcPr>
                  <w:tcW w:w="371" w:type="pct"/>
                  <w:noWrap w:val="0"/>
                  <w:vAlign w:val="center"/>
                </w:tcPr>
                <w:p w14:paraId="7356FD46">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生态保护红线</w:t>
                  </w:r>
                </w:p>
              </w:tc>
              <w:tc>
                <w:tcPr>
                  <w:tcW w:w="1372" w:type="pct"/>
                  <w:noWrap w:val="0"/>
                  <w:vAlign w:val="center"/>
                </w:tcPr>
                <w:p w14:paraId="2802EFB2">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524" w:type="pct"/>
                  <w:noWrap w:val="0"/>
                  <w:vAlign w:val="center"/>
                </w:tcPr>
                <w:p w14:paraId="202EF2FC">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项目位于</w:t>
                  </w:r>
                  <w:r>
                    <w:rPr>
                      <w:rFonts w:hint="eastAsia"/>
                      <w:color w:val="auto"/>
                      <w:sz w:val="21"/>
                      <w:szCs w:val="21"/>
                      <w:highlight w:val="none"/>
                      <w:lang w:val="en-US" w:eastAsia="zh-CN"/>
                    </w:rPr>
                    <w:t>淮南高新技术产业开发区</w:t>
                  </w:r>
                  <w:r>
                    <w:rPr>
                      <w:color w:val="auto"/>
                      <w:sz w:val="21"/>
                      <w:szCs w:val="21"/>
                      <w:highlight w:val="none"/>
                    </w:rPr>
                    <w:t>，项目用地性质为工业用地，本项目不在生态红线范围内（详见附图</w:t>
                  </w:r>
                  <w:r>
                    <w:rPr>
                      <w:rFonts w:hint="eastAsia"/>
                      <w:color w:val="auto"/>
                      <w:sz w:val="21"/>
                      <w:szCs w:val="21"/>
                      <w:highlight w:val="none"/>
                      <w:lang w:val="en-US" w:eastAsia="zh-CN"/>
                    </w:rPr>
                    <w:t>5</w:t>
                  </w:r>
                  <w:r>
                    <w:rPr>
                      <w:color w:val="auto"/>
                      <w:sz w:val="21"/>
                      <w:szCs w:val="21"/>
                      <w:highlight w:val="none"/>
                    </w:rPr>
                    <w:t>），也不在当地饮用水源、风景区、自然保护区等生态保护区内，符合生态保护红线要求。</w:t>
                  </w:r>
                </w:p>
              </w:tc>
              <w:tc>
                <w:tcPr>
                  <w:tcW w:w="381" w:type="pct"/>
                  <w:noWrap w:val="0"/>
                  <w:vAlign w:val="center"/>
                </w:tcPr>
                <w:p w14:paraId="0537F502">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相符</w:t>
                  </w:r>
                </w:p>
              </w:tc>
            </w:tr>
            <w:tr w14:paraId="36545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9" w:type="pct"/>
                  <w:noWrap w:val="0"/>
                  <w:vAlign w:val="center"/>
                </w:tcPr>
                <w:p w14:paraId="05442C18">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2</w:t>
                  </w:r>
                </w:p>
              </w:tc>
              <w:tc>
                <w:tcPr>
                  <w:tcW w:w="371" w:type="pct"/>
                  <w:noWrap w:val="0"/>
                  <w:vAlign w:val="center"/>
                </w:tcPr>
                <w:p w14:paraId="40F01A2C">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环境质量底线</w:t>
                  </w:r>
                </w:p>
              </w:tc>
              <w:tc>
                <w:tcPr>
                  <w:tcW w:w="1372" w:type="pct"/>
                  <w:noWrap w:val="0"/>
                  <w:vAlign w:val="center"/>
                </w:tcPr>
                <w:p w14:paraId="27CDE959">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2524" w:type="pct"/>
                  <w:noWrap w:val="0"/>
                  <w:vAlign w:val="center"/>
                </w:tcPr>
                <w:p w14:paraId="6C8B0E07">
                  <w:pPr>
                    <w:pStyle w:val="27"/>
                    <w:keepNext w:val="0"/>
                    <w:keepLines w:val="0"/>
                    <w:suppressLineNumbers w:val="0"/>
                    <w:bidi w:val="0"/>
                    <w:spacing w:before="0" w:beforeAutospacing="0" w:after="0" w:afterAutospacing="0"/>
                    <w:ind w:left="0" w:right="0"/>
                    <w:rPr>
                      <w:color w:val="auto"/>
                      <w:sz w:val="21"/>
                      <w:szCs w:val="21"/>
                      <w:highlight w:val="none"/>
                    </w:rPr>
                  </w:pPr>
                  <w:r>
                    <w:rPr>
                      <w:rFonts w:hint="default"/>
                      <w:color w:val="auto"/>
                      <w:highlight w:val="none"/>
                      <w:lang w:val="en" w:eastAsia="zh-CN"/>
                    </w:rPr>
                    <w:t>根据淮南市人民政府网站公布的《202</w:t>
                  </w:r>
                  <w:r>
                    <w:rPr>
                      <w:rFonts w:hint="eastAsia"/>
                      <w:color w:val="auto"/>
                      <w:highlight w:val="none"/>
                      <w:lang w:val="en-US" w:eastAsia="zh-CN"/>
                    </w:rPr>
                    <w:t>4</w:t>
                  </w:r>
                  <w:r>
                    <w:rPr>
                      <w:rFonts w:hint="default"/>
                      <w:color w:val="auto"/>
                      <w:highlight w:val="none"/>
                      <w:lang w:val="en" w:eastAsia="zh-CN"/>
                    </w:rPr>
                    <w:t>年淮南市环境质量状况公报》，项目所在地的环境空气质量不达标，细颗粒物（</w:t>
                  </w:r>
                  <w:r>
                    <w:rPr>
                      <w:rFonts w:hint="eastAsia"/>
                      <w:color w:val="auto"/>
                      <w:highlight w:val="none"/>
                      <w:lang w:val="en-US" w:eastAsia="zh-CN"/>
                    </w:rPr>
                    <w:t>PM</w:t>
                  </w:r>
                  <w:r>
                    <w:rPr>
                      <w:rFonts w:hint="eastAsia"/>
                      <w:color w:val="auto"/>
                      <w:highlight w:val="none"/>
                      <w:vertAlign w:val="subscript"/>
                      <w:lang w:val="en-US" w:eastAsia="zh-CN"/>
                    </w:rPr>
                    <w:t>2.5</w:t>
                  </w:r>
                  <w:r>
                    <w:rPr>
                      <w:rFonts w:hint="default"/>
                      <w:color w:val="auto"/>
                      <w:highlight w:val="none"/>
                      <w:lang w:val="en" w:eastAsia="zh-CN"/>
                    </w:rPr>
                    <w:t>）年均浓度超过《环境空气质量标准》（GB3095-2012）二级标准</w:t>
                  </w:r>
                  <w:r>
                    <w:rPr>
                      <w:rFonts w:hint="eastAsia"/>
                      <w:color w:val="auto"/>
                      <w:highlight w:val="none"/>
                      <w:lang w:val="en-US" w:eastAsia="zh-CN"/>
                    </w:rPr>
                    <w:t>限值要求</w:t>
                  </w:r>
                  <w:r>
                    <w:rPr>
                      <w:rFonts w:hint="default"/>
                      <w:color w:val="auto"/>
                      <w:highlight w:val="none"/>
                      <w:lang w:val="en" w:eastAsia="zh-CN"/>
                    </w:rPr>
                    <w:t>。</w:t>
                  </w:r>
                  <w:r>
                    <w:rPr>
                      <w:rFonts w:hint="eastAsia"/>
                      <w:color w:val="auto"/>
                      <w:highlight w:val="none"/>
                      <w:lang w:val="en-US" w:eastAsia="zh-CN"/>
                    </w:rPr>
                    <w:t>淮南市政府采取了一系列的措施</w:t>
                  </w:r>
                  <w:r>
                    <w:rPr>
                      <w:rFonts w:hint="default"/>
                      <w:color w:val="auto"/>
                      <w:highlight w:val="none"/>
                      <w:lang w:val="en" w:eastAsia="zh-CN"/>
                    </w:rPr>
                    <w:t>1.对标先进制定规范：对标长三角地区，制定淮南市建设工程扬尘污染防治</w:t>
                  </w:r>
                  <w:r>
                    <w:rPr>
                      <w:rFonts w:hint="eastAsia"/>
                      <w:color w:val="auto"/>
                      <w:highlight w:val="none"/>
                      <w:lang w:val="en" w:eastAsia="zh-CN"/>
                    </w:rPr>
                    <w:t>“</w:t>
                  </w:r>
                  <w:r>
                    <w:rPr>
                      <w:rFonts w:hint="default"/>
                      <w:color w:val="auto"/>
                      <w:highlight w:val="none"/>
                      <w:lang w:val="en" w:eastAsia="zh-CN"/>
                    </w:rPr>
                    <w:t>十达标</w:t>
                  </w:r>
                  <w:r>
                    <w:rPr>
                      <w:rFonts w:hint="eastAsia"/>
                      <w:color w:val="auto"/>
                      <w:highlight w:val="none"/>
                      <w:lang w:val="en" w:eastAsia="zh-CN"/>
                    </w:rPr>
                    <w:t>”</w:t>
                  </w:r>
                  <w:r>
                    <w:rPr>
                      <w:rFonts w:hint="default"/>
                      <w:color w:val="auto"/>
                      <w:highlight w:val="none"/>
                      <w:lang w:val="en" w:eastAsia="zh-CN"/>
                    </w:rPr>
                    <w:t>措施，明确施工扬尘管控的具体标准和要求，从工地围挡、物料覆盖、洒水降尘等多方面规范施工行为，有效减少扬尘污染。2.建立协同工作机制：建立空气质量联席会商、重点区域监督帮扶、快速联动反应等一系列机制，通过定期会商分析空气质量状况，针对重点区域开展精准监督帮扶，对突发污染问题快速响应处置，全年发布建议2411条，帮扶县区100余次，推动解决问题1393个。</w:t>
                  </w:r>
                  <w:r>
                    <w:rPr>
                      <w:rFonts w:hint="eastAsia"/>
                      <w:color w:val="auto"/>
                      <w:highlight w:val="none"/>
                      <w:lang w:val="en-US" w:eastAsia="zh-CN"/>
                    </w:rPr>
                    <w:t>3</w:t>
                  </w:r>
                  <w:r>
                    <w:rPr>
                      <w:rFonts w:hint="default"/>
                      <w:color w:val="auto"/>
                      <w:highlight w:val="none"/>
                      <w:lang w:val="en" w:eastAsia="zh-CN"/>
                    </w:rPr>
                    <w:t>.出台多领域协同政策：联合多部门出台金融、税务、交通等领域支持减污降碳协同创新政策。如《金融支持淮南市减污降碳协同创新试点工作的指导意见》，创新推出</w:t>
                  </w:r>
                  <w:r>
                    <w:rPr>
                      <w:rFonts w:hint="eastAsia"/>
                      <w:color w:val="auto"/>
                      <w:highlight w:val="none"/>
                      <w:lang w:val="en" w:eastAsia="zh-CN"/>
                    </w:rPr>
                    <w:t>“</w:t>
                  </w:r>
                  <w:r>
                    <w:rPr>
                      <w:rFonts w:hint="default"/>
                      <w:color w:val="auto"/>
                      <w:highlight w:val="none"/>
                      <w:lang w:val="en" w:eastAsia="zh-CN"/>
                    </w:rPr>
                    <w:t>绿色贷</w:t>
                  </w:r>
                  <w:r>
                    <w:rPr>
                      <w:rFonts w:hint="eastAsia"/>
                      <w:color w:val="auto"/>
                      <w:highlight w:val="none"/>
                      <w:lang w:val="en" w:eastAsia="zh-CN"/>
                    </w:rPr>
                    <w:t>”</w:t>
                  </w:r>
                  <w:r>
                    <w:rPr>
                      <w:rFonts w:hint="default"/>
                      <w:color w:val="auto"/>
                      <w:highlight w:val="none"/>
                      <w:lang w:val="en" w:eastAsia="zh-CN"/>
                    </w:rPr>
                    <w:t>和</w:t>
                  </w:r>
                  <w:r>
                    <w:rPr>
                      <w:rFonts w:hint="eastAsia"/>
                      <w:color w:val="auto"/>
                      <w:highlight w:val="none"/>
                      <w:lang w:val="en" w:eastAsia="zh-CN"/>
                    </w:rPr>
                    <w:t>“</w:t>
                  </w:r>
                  <w:r>
                    <w:rPr>
                      <w:rFonts w:hint="default"/>
                      <w:color w:val="auto"/>
                      <w:highlight w:val="none"/>
                      <w:lang w:val="en" w:eastAsia="zh-CN"/>
                    </w:rPr>
                    <w:t>转型贷</w:t>
                  </w:r>
                  <w:r>
                    <w:rPr>
                      <w:rFonts w:hint="eastAsia"/>
                      <w:color w:val="auto"/>
                      <w:highlight w:val="none"/>
                      <w:lang w:val="en" w:eastAsia="zh-CN"/>
                    </w:rPr>
                    <w:t>”</w:t>
                  </w:r>
                  <w:r>
                    <w:rPr>
                      <w:rFonts w:hint="default"/>
                      <w:color w:val="auto"/>
                      <w:highlight w:val="none"/>
                      <w:lang w:val="en" w:eastAsia="zh-CN"/>
                    </w:rPr>
                    <w:t>；出台</w:t>
                  </w:r>
                  <w:r>
                    <w:rPr>
                      <w:rFonts w:hint="eastAsia"/>
                      <w:color w:val="auto"/>
                      <w:highlight w:val="none"/>
                      <w:lang w:val="en" w:eastAsia="zh-CN"/>
                    </w:rPr>
                    <w:t>“</w:t>
                  </w:r>
                  <w:r>
                    <w:rPr>
                      <w:rFonts w:hint="default"/>
                      <w:color w:val="auto"/>
                      <w:highlight w:val="none"/>
                      <w:lang w:val="en" w:eastAsia="zh-CN"/>
                    </w:rPr>
                    <w:t>绿色税务标签</w:t>
                  </w:r>
                  <w:r>
                    <w:rPr>
                      <w:rFonts w:hint="eastAsia"/>
                      <w:color w:val="auto"/>
                      <w:highlight w:val="none"/>
                      <w:lang w:val="en" w:eastAsia="zh-CN"/>
                    </w:rPr>
                    <w:t>”</w:t>
                  </w:r>
                  <w:r>
                    <w:rPr>
                      <w:rFonts w:hint="default"/>
                      <w:color w:val="auto"/>
                      <w:highlight w:val="none"/>
                      <w:lang w:val="en" w:eastAsia="zh-CN"/>
                    </w:rPr>
                    <w:t>，为符合条件企业给予税收减免优惠3.69亿元；出台《淮南市交通运输领域减污降碳协同创新实施方案》，优化交通运输结构，使铁、水运输量占比分别高出全省平均水平6.74和5.76个百分点。</w:t>
                  </w:r>
                  <w:r>
                    <w:rPr>
                      <w:rFonts w:hint="eastAsia"/>
                      <w:color w:val="auto"/>
                      <w:highlight w:val="none"/>
                      <w:lang w:val="en" w:eastAsia="zh-CN"/>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r>
                    <w:rPr>
                      <w:rFonts w:hint="default"/>
                      <w:color w:val="auto"/>
                      <w:highlight w:val="none"/>
                      <w:lang w:val="en" w:eastAsia="zh-CN"/>
                    </w:rPr>
                    <w:t>区域声环境质量达到《声环境质量标准》（GB3096-2008）3类区标准。本项目运营过程中会产生一定的污染物，通过采取相应的废气、噪声、固废治理措施，污染物排放量较小，对周边环境影响较小；噪声预测结果表明，在采取相应的隔声降噪措施处理后，生产过程中厂内各种设备运转产生的噪声均能满足《工业企业厂界环境噪声排放标准》（GB12348-2008）中3类标准的要求。项目实施后通过采取相应的污染防治措施，废气、噪声可以做到稳定达标排放，不会降低评价区域大气、地表水及声环境质量原有功能级别。</w:t>
                  </w:r>
                </w:p>
              </w:tc>
              <w:tc>
                <w:tcPr>
                  <w:tcW w:w="381" w:type="pct"/>
                  <w:noWrap w:val="0"/>
                  <w:vAlign w:val="center"/>
                </w:tcPr>
                <w:p w14:paraId="40573A3E">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相符</w:t>
                  </w:r>
                </w:p>
              </w:tc>
            </w:tr>
            <w:tr w14:paraId="667211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9" w:type="pct"/>
                  <w:noWrap w:val="0"/>
                  <w:vAlign w:val="center"/>
                </w:tcPr>
                <w:p w14:paraId="7A2152CD">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3</w:t>
                  </w:r>
                </w:p>
              </w:tc>
              <w:tc>
                <w:tcPr>
                  <w:tcW w:w="371" w:type="pct"/>
                  <w:noWrap w:val="0"/>
                  <w:vAlign w:val="center"/>
                </w:tcPr>
                <w:p w14:paraId="731AF021">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资源利用上线</w:t>
                  </w:r>
                </w:p>
              </w:tc>
              <w:tc>
                <w:tcPr>
                  <w:tcW w:w="1372" w:type="pct"/>
                  <w:noWrap w:val="0"/>
                  <w:vAlign w:val="center"/>
                </w:tcPr>
                <w:p w14:paraId="6A3C00A4">
                  <w:pPr>
                    <w:pStyle w:val="27"/>
                    <w:keepNext w:val="0"/>
                    <w:keepLines w:val="0"/>
                    <w:suppressLineNumbers w:val="0"/>
                    <w:bidi w:val="0"/>
                    <w:spacing w:before="0" w:beforeAutospacing="0" w:after="0" w:afterAutospacing="0"/>
                    <w:ind w:left="0" w:right="0"/>
                    <w:rPr>
                      <w:rFonts w:hint="eastAsia" w:eastAsia="宋体"/>
                      <w:color w:val="auto"/>
                      <w:sz w:val="21"/>
                      <w:szCs w:val="21"/>
                      <w:highlight w:val="none"/>
                      <w:lang w:eastAsia="zh-CN"/>
                    </w:rPr>
                  </w:pPr>
                  <w:r>
                    <w:rPr>
                      <w:color w:val="auto"/>
                      <w:sz w:val="21"/>
                      <w:szCs w:val="21"/>
                      <w:highlight w:val="none"/>
                    </w:rPr>
                    <w:t>依据有关资源利用上线要求，即各地区能源、水、土地等资源消耗是不得突破的</w:t>
                  </w:r>
                  <w:r>
                    <w:rPr>
                      <w:rFonts w:hint="eastAsia"/>
                      <w:color w:val="auto"/>
                      <w:sz w:val="21"/>
                      <w:szCs w:val="21"/>
                      <w:highlight w:val="none"/>
                      <w:lang w:eastAsia="zh-CN"/>
                    </w:rPr>
                    <w:t>“</w:t>
                  </w:r>
                  <w:r>
                    <w:rPr>
                      <w:color w:val="auto"/>
                      <w:sz w:val="21"/>
                      <w:szCs w:val="21"/>
                      <w:highlight w:val="none"/>
                    </w:rPr>
                    <w:t>天花板</w:t>
                  </w:r>
                  <w:r>
                    <w:rPr>
                      <w:rFonts w:hint="eastAsia"/>
                      <w:color w:val="auto"/>
                      <w:sz w:val="21"/>
                      <w:szCs w:val="21"/>
                      <w:highlight w:val="none"/>
                      <w:lang w:eastAsia="zh-CN"/>
                    </w:rPr>
                    <w:t>”</w:t>
                  </w:r>
                </w:p>
              </w:tc>
              <w:tc>
                <w:tcPr>
                  <w:tcW w:w="2524" w:type="pct"/>
                  <w:noWrap w:val="0"/>
                  <w:vAlign w:val="center"/>
                </w:tcPr>
                <w:p w14:paraId="582EA78E">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本项目</w:t>
                  </w:r>
                  <w:r>
                    <w:rPr>
                      <w:rFonts w:hint="eastAsia"/>
                      <w:color w:val="auto"/>
                      <w:sz w:val="21"/>
                      <w:szCs w:val="21"/>
                      <w:highlight w:val="none"/>
                      <w:lang w:val="en-US" w:eastAsia="zh-CN"/>
                    </w:rPr>
                    <w:t>租赁</w:t>
                  </w:r>
                  <w:r>
                    <w:rPr>
                      <w:rFonts w:hint="eastAsia" w:cs="Times New Roman"/>
                      <w:b w:val="0"/>
                      <w:bCs w:val="0"/>
                      <w:color w:val="auto"/>
                      <w:highlight w:val="none"/>
                      <w:lang w:val="en-US" w:eastAsia="zh-CN"/>
                    </w:rPr>
                    <w:t>淮南高新技术产业开发区现有闲置厂房作为办公用房，</w:t>
                  </w:r>
                  <w:r>
                    <w:rPr>
                      <w:color w:val="auto"/>
                      <w:sz w:val="21"/>
                      <w:szCs w:val="21"/>
                      <w:highlight w:val="none"/>
                    </w:rPr>
                    <w:t>用地性质为工业用地，</w:t>
                  </w:r>
                  <w:r>
                    <w:rPr>
                      <w:rFonts w:hint="eastAsia"/>
                      <w:color w:val="auto"/>
                      <w:sz w:val="21"/>
                      <w:szCs w:val="21"/>
                      <w:highlight w:val="none"/>
                      <w:lang w:val="en-US" w:eastAsia="zh-CN"/>
                    </w:rPr>
                    <w:t>本项目已取得</w:t>
                  </w:r>
                  <w:r>
                    <w:rPr>
                      <w:rFonts w:hint="eastAsia"/>
                      <w:color w:val="auto"/>
                      <w:sz w:val="21"/>
                      <w:szCs w:val="21"/>
                      <w:highlight w:val="none"/>
                    </w:rPr>
                    <w:t>淮南</w:t>
                  </w:r>
                  <w:r>
                    <w:rPr>
                      <w:rFonts w:hint="eastAsia"/>
                      <w:color w:val="auto"/>
                      <w:sz w:val="21"/>
                      <w:szCs w:val="21"/>
                      <w:highlight w:val="none"/>
                      <w:lang w:val="en-US" w:eastAsia="zh-CN"/>
                    </w:rPr>
                    <w:t>高新区经济发展局</w:t>
                  </w:r>
                  <w:r>
                    <w:rPr>
                      <w:color w:val="auto"/>
                      <w:sz w:val="21"/>
                      <w:szCs w:val="21"/>
                      <w:highlight w:val="none"/>
                    </w:rPr>
                    <w:t>对本项目予以备案，</w:t>
                  </w:r>
                  <w:r>
                    <w:rPr>
                      <w:rFonts w:hint="eastAsia"/>
                      <w:color w:val="auto"/>
                      <w:sz w:val="21"/>
                      <w:szCs w:val="21"/>
                      <w:highlight w:val="none"/>
                      <w:lang w:val="en-US" w:eastAsia="zh-CN"/>
                    </w:rPr>
                    <w:t>本项目建设</w:t>
                  </w:r>
                  <w:r>
                    <w:rPr>
                      <w:color w:val="auto"/>
                      <w:sz w:val="21"/>
                      <w:szCs w:val="21"/>
                      <w:highlight w:val="none"/>
                    </w:rPr>
                    <w:t>不涉及能源、水、土地等资源上线。</w:t>
                  </w:r>
                </w:p>
              </w:tc>
              <w:tc>
                <w:tcPr>
                  <w:tcW w:w="381" w:type="pct"/>
                  <w:noWrap w:val="0"/>
                  <w:vAlign w:val="center"/>
                </w:tcPr>
                <w:p w14:paraId="6F63830F">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相符</w:t>
                  </w:r>
                </w:p>
              </w:tc>
            </w:tr>
            <w:tr w14:paraId="576EBD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454" w:hRule="atLeast"/>
                <w:jc w:val="center"/>
              </w:trPr>
              <w:tc>
                <w:tcPr>
                  <w:tcW w:w="349" w:type="pct"/>
                  <w:noWrap w:val="0"/>
                  <w:vAlign w:val="center"/>
                </w:tcPr>
                <w:p w14:paraId="04F16C3C">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4</w:t>
                  </w:r>
                </w:p>
              </w:tc>
              <w:tc>
                <w:tcPr>
                  <w:tcW w:w="371" w:type="pct"/>
                  <w:noWrap w:val="0"/>
                  <w:vAlign w:val="center"/>
                </w:tcPr>
                <w:p w14:paraId="7CE750BC">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环境准入负面清单</w:t>
                  </w:r>
                </w:p>
              </w:tc>
              <w:tc>
                <w:tcPr>
                  <w:tcW w:w="1372" w:type="pct"/>
                  <w:noWrap w:val="0"/>
                  <w:vAlign w:val="center"/>
                </w:tcPr>
                <w:p w14:paraId="7B238FB1">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524" w:type="pct"/>
                  <w:noWrap w:val="0"/>
                  <w:vAlign w:val="center"/>
                </w:tcPr>
                <w:p w14:paraId="2B8E7373">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对照《产业结构调整指导目录（20</w:t>
                  </w:r>
                  <w:r>
                    <w:rPr>
                      <w:rFonts w:hint="eastAsia"/>
                      <w:color w:val="auto"/>
                      <w:sz w:val="21"/>
                      <w:szCs w:val="21"/>
                      <w:highlight w:val="none"/>
                    </w:rPr>
                    <w:t>24</w:t>
                  </w:r>
                  <w:r>
                    <w:rPr>
                      <w:color w:val="auto"/>
                      <w:sz w:val="21"/>
                      <w:szCs w:val="21"/>
                      <w:highlight w:val="none"/>
                    </w:rPr>
                    <w:t>年本）》，本项目属于鼓励类，不在长江经济带市场准入禁止限制目录内，不属于环境准入负面清单中禁止入园企业。同时对照《</w:t>
                  </w:r>
                  <w:r>
                    <w:rPr>
                      <w:rFonts w:hint="eastAsia"/>
                      <w:color w:val="auto"/>
                      <w:sz w:val="21"/>
                      <w:szCs w:val="21"/>
                      <w:highlight w:val="none"/>
                    </w:rPr>
                    <w:t>淮南高新技术产业开发区总体规划环境影响跟踪评价报告书</w:t>
                  </w:r>
                  <w:r>
                    <w:rPr>
                      <w:color w:val="auto"/>
                      <w:sz w:val="21"/>
                      <w:szCs w:val="21"/>
                      <w:highlight w:val="none"/>
                    </w:rPr>
                    <w:t>》中环境准入</w:t>
                  </w:r>
                  <w:r>
                    <w:rPr>
                      <w:rFonts w:hint="eastAsia"/>
                      <w:color w:val="auto"/>
                      <w:sz w:val="21"/>
                      <w:szCs w:val="21"/>
                      <w:highlight w:val="none"/>
                      <w:lang w:val="en-US" w:eastAsia="zh-CN"/>
                    </w:rPr>
                    <w:t>负面</w:t>
                  </w:r>
                  <w:r>
                    <w:rPr>
                      <w:color w:val="auto"/>
                      <w:sz w:val="21"/>
                      <w:szCs w:val="21"/>
                      <w:highlight w:val="none"/>
                    </w:rPr>
                    <w:t>清单，本项目不属于负面清单项目。</w:t>
                  </w:r>
                </w:p>
              </w:tc>
              <w:tc>
                <w:tcPr>
                  <w:tcW w:w="381" w:type="pct"/>
                  <w:noWrap w:val="0"/>
                  <w:vAlign w:val="center"/>
                </w:tcPr>
                <w:p w14:paraId="6EAB9C1C">
                  <w:pPr>
                    <w:pStyle w:val="27"/>
                    <w:keepNext w:val="0"/>
                    <w:keepLines w:val="0"/>
                    <w:suppressLineNumbers w:val="0"/>
                    <w:bidi w:val="0"/>
                    <w:spacing w:before="0" w:beforeAutospacing="0" w:after="0" w:afterAutospacing="0"/>
                    <w:ind w:left="0" w:right="0"/>
                    <w:rPr>
                      <w:color w:val="auto"/>
                      <w:sz w:val="21"/>
                      <w:szCs w:val="21"/>
                      <w:highlight w:val="none"/>
                    </w:rPr>
                  </w:pPr>
                  <w:r>
                    <w:rPr>
                      <w:color w:val="auto"/>
                      <w:sz w:val="21"/>
                      <w:szCs w:val="21"/>
                      <w:highlight w:val="none"/>
                    </w:rPr>
                    <w:t>相符</w:t>
                  </w:r>
                </w:p>
              </w:tc>
            </w:tr>
          </w:tbl>
          <w:p w14:paraId="19FD06D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综上所述，项目符合《关于以改善环境质量为核心加强环境影响评价管理的通知》（环环评</w:t>
            </w:r>
            <w:r>
              <w:rPr>
                <w:rFonts w:hint="eastAsia"/>
                <w:color w:val="auto"/>
                <w:highlight w:val="none"/>
                <w:lang w:eastAsia="zh-CN"/>
              </w:rPr>
              <w:t>〔2016〕150号</w:t>
            </w:r>
            <w:r>
              <w:rPr>
                <w:rFonts w:hint="default"/>
                <w:color w:val="auto"/>
                <w:highlight w:val="none"/>
              </w:rPr>
              <w:t>）中</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相关要求。</w:t>
            </w:r>
          </w:p>
          <w:p w14:paraId="2B264CA7">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（2）与</w:t>
            </w:r>
            <w:r>
              <w:rPr>
                <w:rFonts w:hint="eastAsia"/>
                <w:b/>
                <w:bCs/>
                <w:color w:val="auto"/>
                <w:highlight w:val="none"/>
                <w:lang w:val="en-US" w:eastAsia="zh-CN"/>
              </w:rPr>
              <w:t>生态环境分区管控</w:t>
            </w:r>
            <w:r>
              <w:rPr>
                <w:rFonts w:hint="eastAsia"/>
                <w:b/>
                <w:bCs/>
                <w:color w:val="auto"/>
                <w:highlight w:val="none"/>
              </w:rPr>
              <w:t>相符性</w:t>
            </w:r>
          </w:p>
          <w:p w14:paraId="7886C08F">
            <w:pPr>
              <w:keepNext w:val="0"/>
              <w:keepLines w:val="0"/>
              <w:pageBreakBefore w:val="0"/>
              <w:widowControl w:val="0"/>
              <w:suppressLineNumbers w:val="0"/>
              <w:tabs>
                <w:tab w:val="left" w:pos="735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auto"/>
                <w:sz w:val="24"/>
                <w:highlight w:val="none"/>
              </w:rPr>
            </w:pPr>
            <w:r>
              <w:rPr>
                <w:rFonts w:hint="default"/>
                <w:color w:val="auto"/>
                <w:highlight w:val="none"/>
              </w:rPr>
              <w:t>根据安徽省</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公众服务平台查询，本项目所在区域环境管控单元编码为：ZH34040</w:t>
            </w:r>
            <w:r>
              <w:rPr>
                <w:rFonts w:hint="eastAsia"/>
                <w:color w:val="auto"/>
                <w:highlight w:val="none"/>
                <w:lang w:val="en-US" w:eastAsia="zh-CN"/>
              </w:rPr>
              <w:t>3</w:t>
            </w:r>
            <w:r>
              <w:rPr>
                <w:rFonts w:hint="default"/>
                <w:color w:val="auto"/>
                <w:highlight w:val="none"/>
              </w:rPr>
              <w:t>200</w:t>
            </w:r>
            <w:r>
              <w:rPr>
                <w:rFonts w:hint="eastAsia"/>
                <w:color w:val="auto"/>
                <w:highlight w:val="none"/>
                <w:lang w:val="en-US" w:eastAsia="zh-CN"/>
              </w:rPr>
              <w:t>27</w:t>
            </w:r>
            <w:r>
              <w:rPr>
                <w:rFonts w:hint="default"/>
                <w:color w:val="auto"/>
                <w:highlight w:val="none"/>
              </w:rPr>
              <w:t>，与</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成果数据分析，与1个环境管控单元存在交叠，其中优先保护类0个，重点管控类1个，一般管控类0个。根据淮南市</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图集</w:t>
            </w:r>
            <w:r>
              <w:rPr>
                <w:rFonts w:hint="default"/>
                <w:color w:val="auto"/>
                <w:highlight w:val="none"/>
                <w:lang w:val="en-US" w:eastAsia="zh-CN"/>
              </w:rPr>
              <w:t>，对照</w:t>
            </w:r>
            <w:r>
              <w:rPr>
                <w:rFonts w:hint="default"/>
                <w:color w:val="auto"/>
                <w:highlight w:val="none"/>
              </w:rPr>
              <w:t>安徽</w:t>
            </w:r>
            <w:r>
              <w:rPr>
                <w:rFonts w:hint="eastAsia"/>
                <w:color w:val="auto"/>
                <w:highlight w:val="none"/>
                <w:lang w:eastAsia="zh-CN"/>
              </w:rPr>
              <w:t>“</w:t>
            </w:r>
            <w:r>
              <w:rPr>
                <w:rFonts w:hint="default"/>
                <w:color w:val="auto"/>
                <w:highlight w:val="none"/>
              </w:rPr>
              <w:t>三线一单</w:t>
            </w:r>
            <w:r>
              <w:rPr>
                <w:rFonts w:hint="eastAsia"/>
                <w:color w:val="auto"/>
                <w:highlight w:val="none"/>
                <w:lang w:eastAsia="zh-CN"/>
              </w:rPr>
              <w:t>”</w:t>
            </w:r>
            <w:r>
              <w:rPr>
                <w:rFonts w:hint="default"/>
                <w:color w:val="auto"/>
                <w:highlight w:val="none"/>
              </w:rPr>
              <w:t>管控要求查询报告</w:t>
            </w:r>
            <w:r>
              <w:rPr>
                <w:rFonts w:hint="default"/>
                <w:color w:val="auto"/>
                <w:highlight w:val="none"/>
                <w:lang w:val="en-US" w:eastAsia="zh-CN"/>
              </w:rPr>
              <w:t>内容要求</w:t>
            </w:r>
            <w:r>
              <w:rPr>
                <w:rFonts w:hint="default"/>
                <w:color w:val="auto"/>
                <w:highlight w:val="none"/>
              </w:rPr>
              <w:t>，本次环评筛选了与本项目有关的管控</w:t>
            </w:r>
            <w:r>
              <w:rPr>
                <w:rFonts w:hint="default"/>
                <w:color w:val="auto"/>
                <w:highlight w:val="none"/>
                <w:lang w:val="en-US" w:eastAsia="zh-CN"/>
              </w:rPr>
              <w:t>要求</w:t>
            </w:r>
            <w:r>
              <w:rPr>
                <w:rFonts w:hint="default"/>
                <w:color w:val="auto"/>
                <w:highlight w:val="none"/>
              </w:rPr>
              <w:t>单元生态环境准入清单进行分析，详见下表。</w:t>
            </w:r>
            <w:r>
              <w:rPr>
                <w:rFonts w:hint="default"/>
                <w:color w:val="auto"/>
                <w:highlight w:val="none"/>
              </w:rPr>
              <w:drawing>
                <wp:inline distT="0" distB="0" distL="114300" distR="114300">
                  <wp:extent cx="4895850" cy="3611880"/>
                  <wp:effectExtent l="0" t="0" r="0" b="762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9"/>
                          <a:stretch>
                            <a:fillRect/>
                          </a:stretch>
                        </pic:blipFill>
                        <pic:spPr>
                          <a:xfrm>
                            <a:off x="0" y="0"/>
                            <a:ext cx="4895850" cy="3611880"/>
                          </a:xfrm>
                          <a:prstGeom prst="rect">
                            <a:avLst/>
                          </a:prstGeom>
                          <a:noFill/>
                          <a:ln>
                            <a:noFill/>
                          </a:ln>
                        </pic:spPr>
                      </pic:pic>
                    </a:graphicData>
                  </a:graphic>
                </wp:inline>
              </w:drawing>
            </w:r>
          </w:p>
          <w:p w14:paraId="538B8C70">
            <w:pPr>
              <w:pStyle w:val="3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60" w:lineRule="auto"/>
              <w:ind w:left="0" w:right="0" w:firstLine="0"/>
              <w:textAlignment w:val="auto"/>
              <w:rPr>
                <w:rFonts w:hint="default" w:cs="宋体"/>
                <w:color w:val="auto"/>
                <w:kern w:val="2"/>
                <w:sz w:val="24"/>
                <w:szCs w:val="24"/>
                <w:highlight w:val="none"/>
                <w:lang w:val="en-US" w:eastAsia="zh-CN"/>
              </w:rPr>
            </w:pPr>
            <w:r>
              <w:rPr>
                <w:rFonts w:hint="eastAsia" w:cs="宋体"/>
                <w:color w:val="auto"/>
                <w:kern w:val="2"/>
                <w:sz w:val="24"/>
                <w:szCs w:val="24"/>
                <w:highlight w:val="none"/>
                <w:lang w:val="en-US" w:eastAsia="zh-CN"/>
              </w:rPr>
              <w:t>图1-1  本项目在生态环境分区管控单元的点位图</w:t>
            </w:r>
          </w:p>
          <w:p w14:paraId="5986EC11">
            <w:pPr>
              <w:pStyle w:val="3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textAlignment w:val="auto"/>
              <w:rPr>
                <w:rFonts w:hint="eastAsia"/>
                <w:color w:val="auto"/>
                <w:highlight w:val="none"/>
                <w:lang w:val="en-US" w:eastAsia="zh-CN"/>
              </w:rPr>
            </w:pPr>
            <w:r>
              <w:rPr>
                <w:rFonts w:hint="eastAsia"/>
                <w:color w:val="auto"/>
                <w:highlight w:val="none"/>
                <w:lang w:val="en-US" w:eastAsia="zh-CN"/>
              </w:rPr>
              <w:t>表1-8  本项目与生态管控单元的符合性分析</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900"/>
              <w:gridCol w:w="682"/>
              <w:gridCol w:w="2889"/>
              <w:gridCol w:w="2342"/>
              <w:gridCol w:w="886"/>
            </w:tblGrid>
            <w:tr w14:paraId="44CE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noWrap w:val="0"/>
                  <w:vAlign w:val="center"/>
                </w:tcPr>
                <w:p w14:paraId="715887B4">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eastAsia"/>
                      <w:b/>
                      <w:bCs/>
                      <w:color w:val="auto"/>
                      <w:highlight w:val="none"/>
                      <w:lang w:val="en-US" w:eastAsia="zh-CN"/>
                    </w:rPr>
                    <w:t>区域管控要求</w:t>
                  </w:r>
                </w:p>
              </w:tc>
              <w:tc>
                <w:tcPr>
                  <w:tcW w:w="442" w:type="pct"/>
                  <w:noWrap w:val="0"/>
                  <w:vAlign w:val="center"/>
                </w:tcPr>
                <w:p w14:paraId="511BA9A4">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eastAsia"/>
                      <w:b/>
                      <w:bCs/>
                      <w:color w:val="auto"/>
                      <w:highlight w:val="none"/>
                      <w:lang w:val="en-US" w:eastAsia="zh-CN"/>
                    </w:rPr>
                    <w:t>管控</w:t>
                  </w:r>
                </w:p>
                <w:p w14:paraId="3FB94083">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eastAsia"/>
                      <w:b/>
                      <w:bCs/>
                      <w:color w:val="auto"/>
                      <w:highlight w:val="none"/>
                      <w:lang w:val="en-US" w:eastAsia="zh-CN"/>
                    </w:rPr>
                    <w:t>类别</w:t>
                  </w:r>
                </w:p>
              </w:tc>
              <w:tc>
                <w:tcPr>
                  <w:tcW w:w="1876" w:type="pct"/>
                  <w:noWrap w:val="0"/>
                  <w:vAlign w:val="center"/>
                </w:tcPr>
                <w:p w14:paraId="539ECDC9">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eastAsia"/>
                      <w:b/>
                      <w:bCs/>
                      <w:color w:val="auto"/>
                      <w:highlight w:val="none"/>
                      <w:lang w:val="en-US" w:eastAsia="zh-CN"/>
                    </w:rPr>
                    <w:t>管控要求</w:t>
                  </w:r>
                </w:p>
              </w:tc>
              <w:tc>
                <w:tcPr>
                  <w:tcW w:w="1520" w:type="pct"/>
                  <w:noWrap w:val="0"/>
                  <w:vAlign w:val="center"/>
                </w:tcPr>
                <w:p w14:paraId="0EBF534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default"/>
                      <w:b/>
                      <w:bCs/>
                      <w:color w:val="auto"/>
                      <w:highlight w:val="none"/>
                    </w:rPr>
                    <w:t>协调性分析</w:t>
                  </w:r>
                </w:p>
              </w:tc>
              <w:tc>
                <w:tcPr>
                  <w:tcW w:w="575" w:type="pct"/>
                  <w:noWrap w:val="0"/>
                  <w:vAlign w:val="center"/>
                </w:tcPr>
                <w:p w14:paraId="194C8606">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default"/>
                      <w:b/>
                      <w:bCs/>
                      <w:color w:val="auto"/>
                      <w:highlight w:val="none"/>
                    </w:rPr>
                    <w:t>符合性分析</w:t>
                  </w:r>
                </w:p>
              </w:tc>
            </w:tr>
            <w:tr w14:paraId="331F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restart"/>
                  <w:noWrap w:val="0"/>
                  <w:vAlign w:val="center"/>
                </w:tcPr>
                <w:p w14:paraId="080A0167">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r>
                    <w:rPr>
                      <w:rFonts w:hint="default" w:ascii="Times New Roman" w:hAnsi="Times New Roman" w:cs="Times New Roman"/>
                      <w:color w:val="auto"/>
                      <w:highlight w:val="none"/>
                    </w:rPr>
                    <w:t>重点管控单元</w:t>
                  </w:r>
                  <w:r>
                    <w:rPr>
                      <w:rFonts w:hint="default" w:ascii="Times New Roman" w:hAnsi="Times New Roman" w:cs="Times New Roman"/>
                      <w:color w:val="auto"/>
                      <w:highlight w:val="none"/>
                      <w:lang w:val="en-US" w:eastAsia="zh-CN"/>
                    </w:rPr>
                    <w:t>8</w:t>
                  </w:r>
                </w:p>
              </w:tc>
              <w:tc>
                <w:tcPr>
                  <w:tcW w:w="442" w:type="pct"/>
                  <w:vMerge w:val="restart"/>
                  <w:noWrap w:val="0"/>
                  <w:vAlign w:val="center"/>
                </w:tcPr>
                <w:p w14:paraId="5FF5274A">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lang w:val="en-US" w:eastAsia="zh-CN"/>
                    </w:rPr>
                    <w:t>空间布局约束</w:t>
                  </w:r>
                </w:p>
              </w:tc>
              <w:tc>
                <w:tcPr>
                  <w:tcW w:w="1876" w:type="pct"/>
                  <w:noWrap w:val="0"/>
                  <w:vAlign w:val="center"/>
                </w:tcPr>
                <w:p w14:paraId="4CB90AB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b/>
                      <w:bCs/>
                      <w:color w:val="auto"/>
                      <w:highlight w:val="none"/>
                      <w:lang w:val="en-US" w:eastAsia="zh-CN"/>
                    </w:rPr>
                  </w:pPr>
                  <w:r>
                    <w:rPr>
                      <w:rFonts w:hint="eastAsia" w:ascii="宋体" w:hAnsi="Times New Roman" w:eastAsia="宋体" w:cs="Times New Roman"/>
                      <w:color w:val="auto"/>
                      <w:highlight w:val="none"/>
                      <w:lang w:val="en-US" w:eastAsia="zh-CN"/>
                    </w:rPr>
                    <w:t>在城市城区及其近郊禁止新建、扩建钢铁、有色、石化、水泥、化工等重污染企业。</w:t>
                  </w:r>
                </w:p>
              </w:tc>
              <w:tc>
                <w:tcPr>
                  <w:tcW w:w="1520" w:type="pct"/>
                  <w:vMerge w:val="restart"/>
                  <w:noWrap w:val="0"/>
                  <w:vAlign w:val="center"/>
                </w:tcPr>
                <w:p w14:paraId="041AEFEF">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eastAsia="宋体"/>
                      <w:b/>
                      <w:bCs/>
                      <w:color w:val="auto"/>
                      <w:highlight w:val="none"/>
                      <w:lang w:val="en-US" w:eastAsia="zh-CN"/>
                    </w:rPr>
                  </w:pPr>
                  <w:r>
                    <w:rPr>
                      <w:rFonts w:hint="eastAsia"/>
                      <w:b w:val="0"/>
                      <w:bCs w:val="0"/>
                      <w:color w:val="auto"/>
                      <w:highlight w:val="none"/>
                      <w:lang w:val="en-US" w:eastAsia="zh-CN"/>
                    </w:rPr>
                    <w:t>本项目进行环境检测，不进行前述等污染工艺生产加工</w:t>
                  </w:r>
                </w:p>
              </w:tc>
              <w:tc>
                <w:tcPr>
                  <w:tcW w:w="575" w:type="pct"/>
                  <w:noWrap w:val="0"/>
                  <w:vAlign w:val="center"/>
                </w:tcPr>
                <w:p w14:paraId="1E820B5D">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default"/>
                      <w:color w:val="auto"/>
                      <w:highlight w:val="none"/>
                    </w:rPr>
                    <w:t>符合</w:t>
                  </w:r>
                </w:p>
              </w:tc>
            </w:tr>
            <w:tr w14:paraId="00BF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2405AFDE">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b/>
                      <w:bCs/>
                      <w:color w:val="auto"/>
                      <w:highlight w:val="none"/>
                      <w:lang w:val="en-US" w:eastAsia="zh-CN"/>
                    </w:rPr>
                  </w:pPr>
                </w:p>
              </w:tc>
              <w:tc>
                <w:tcPr>
                  <w:tcW w:w="442" w:type="pct"/>
                  <w:vMerge w:val="continue"/>
                  <w:noWrap w:val="0"/>
                  <w:vAlign w:val="center"/>
                </w:tcPr>
                <w:p w14:paraId="623CA2E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b/>
                      <w:bCs/>
                      <w:color w:val="auto"/>
                      <w:highlight w:val="none"/>
                      <w:lang w:val="en-US" w:eastAsia="zh-CN"/>
                    </w:rPr>
                  </w:pPr>
                </w:p>
              </w:tc>
              <w:tc>
                <w:tcPr>
                  <w:tcW w:w="1876" w:type="pct"/>
                  <w:noWrap w:val="0"/>
                  <w:vAlign w:val="center"/>
                </w:tcPr>
                <w:p w14:paraId="57B3B476">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b/>
                      <w:bCs/>
                      <w:color w:val="auto"/>
                      <w:highlight w:val="none"/>
                      <w:lang w:val="en-US" w:eastAsia="zh-CN"/>
                    </w:rPr>
                  </w:pPr>
                  <w:r>
                    <w:rPr>
                      <w:rFonts w:hint="eastAsia" w:ascii="宋体" w:hAnsi="Times New Roman" w:eastAsia="宋体" w:cs="Times New Roman"/>
                      <w:color w:val="auto"/>
                      <w:highlight w:val="none"/>
                    </w:rPr>
                    <w:t>禁</w:t>
                  </w:r>
                  <w:r>
                    <w:rPr>
                      <w:rFonts w:hint="default" w:ascii="宋体" w:hAnsi="Times New Roman" w:eastAsia="宋体" w:cs="Times New Roman"/>
                      <w:color w:val="auto"/>
                      <w:highlight w:val="none"/>
                    </w:rPr>
                    <w:t>止在居民区、学校、医疗和养老机构等周边新建有色金属冶炼、焦化等行业企业</w:t>
                  </w:r>
                </w:p>
              </w:tc>
              <w:tc>
                <w:tcPr>
                  <w:tcW w:w="1520" w:type="pct"/>
                  <w:vMerge w:val="continue"/>
                  <w:noWrap w:val="0"/>
                  <w:vAlign w:val="center"/>
                </w:tcPr>
                <w:p w14:paraId="21987F27">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jc w:val="both"/>
                    <w:textAlignment w:val="auto"/>
                    <w:rPr>
                      <w:rFonts w:hint="default" w:eastAsia="宋体"/>
                      <w:b/>
                      <w:bCs/>
                      <w:color w:val="auto"/>
                      <w:highlight w:val="none"/>
                      <w:lang w:val="en-US" w:eastAsia="zh-CN"/>
                    </w:rPr>
                  </w:pPr>
                </w:p>
              </w:tc>
              <w:tc>
                <w:tcPr>
                  <w:tcW w:w="575" w:type="pct"/>
                  <w:noWrap w:val="0"/>
                  <w:vAlign w:val="center"/>
                </w:tcPr>
                <w:p w14:paraId="444ED67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b/>
                      <w:bCs/>
                      <w:color w:val="auto"/>
                      <w:highlight w:val="none"/>
                    </w:rPr>
                  </w:pPr>
                  <w:r>
                    <w:rPr>
                      <w:rFonts w:hint="default"/>
                      <w:color w:val="auto"/>
                      <w:highlight w:val="none"/>
                    </w:rPr>
                    <w:t>符合</w:t>
                  </w:r>
                </w:p>
              </w:tc>
            </w:tr>
            <w:tr w14:paraId="3567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11177878">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p>
              </w:tc>
              <w:tc>
                <w:tcPr>
                  <w:tcW w:w="442" w:type="pct"/>
                  <w:vMerge w:val="continue"/>
                  <w:noWrap w:val="0"/>
                  <w:vAlign w:val="center"/>
                </w:tcPr>
                <w:p w14:paraId="4363AB0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1876" w:type="pct"/>
                  <w:noWrap w:val="0"/>
                  <w:vAlign w:val="center"/>
                </w:tcPr>
                <w:p w14:paraId="64CDF235">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rPr>
                    <w:t>严格执行国家关于</w:t>
                  </w:r>
                  <w:r>
                    <w:rPr>
                      <w:rFonts w:hint="eastAsia"/>
                      <w:color w:val="auto"/>
                      <w:highlight w:val="none"/>
                      <w:lang w:eastAsia="zh-CN"/>
                    </w:rPr>
                    <w:t>“</w:t>
                  </w:r>
                  <w:r>
                    <w:rPr>
                      <w:rFonts w:hint="eastAsia"/>
                      <w:color w:val="auto"/>
                      <w:highlight w:val="none"/>
                    </w:rPr>
                    <w:t>两高</w:t>
                  </w:r>
                  <w:r>
                    <w:rPr>
                      <w:rFonts w:hint="eastAsia"/>
                      <w:color w:val="auto"/>
                      <w:highlight w:val="none"/>
                      <w:lang w:eastAsia="zh-CN"/>
                    </w:rPr>
                    <w:t>”</w:t>
                  </w:r>
                  <w:r>
                    <w:rPr>
                      <w:rFonts w:hint="eastAsia"/>
                      <w:color w:val="auto"/>
                      <w:highlight w:val="none"/>
                    </w:rPr>
                    <w:t>产业准入目录和产能总量控制政策措施。严禁新增钢铁、焦化、电解铝、铸造、水泥和平板玻璃等产能；新、改、扩建涉及大宗物料运输的建设项目，原则上不得采用公路运输。</w:t>
                  </w:r>
                </w:p>
              </w:tc>
              <w:tc>
                <w:tcPr>
                  <w:tcW w:w="1520" w:type="pct"/>
                  <w:noWrap w:val="0"/>
                  <w:vAlign w:val="center"/>
                </w:tcPr>
                <w:p w14:paraId="5E8E055D">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rPr>
                  </w:pPr>
                  <w:r>
                    <w:rPr>
                      <w:rFonts w:hint="eastAsia"/>
                      <w:color w:val="auto"/>
                      <w:highlight w:val="none"/>
                      <w:lang w:val="en-US" w:eastAsia="zh-CN"/>
                    </w:rPr>
                    <w:t>对照《安徽省“两高”项目管理目录（试行）》，本项目不属于两高项目。本项目主要进行环境与生态监测，不涉及上述产品产能，不进行大宗物料运输。</w:t>
                  </w:r>
                </w:p>
              </w:tc>
              <w:tc>
                <w:tcPr>
                  <w:tcW w:w="575" w:type="pct"/>
                  <w:noWrap w:val="0"/>
                  <w:vAlign w:val="center"/>
                </w:tcPr>
                <w:p w14:paraId="2E044B9E">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4500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87" w:hRule="atLeast"/>
                <w:jc w:val="center"/>
              </w:trPr>
              <w:tc>
                <w:tcPr>
                  <w:tcW w:w="584" w:type="pct"/>
                  <w:vMerge w:val="continue"/>
                  <w:noWrap w:val="0"/>
                  <w:vAlign w:val="center"/>
                </w:tcPr>
                <w:p w14:paraId="484BE863">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continue"/>
                  <w:noWrap w:val="0"/>
                  <w:vAlign w:val="center"/>
                </w:tcPr>
                <w:p w14:paraId="2AC0EFB2">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1876" w:type="pct"/>
                  <w:noWrap w:val="0"/>
                  <w:vAlign w:val="center"/>
                </w:tcPr>
                <w:p w14:paraId="6A7AE518">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rPr>
                    <w:t>严格控制新增</w:t>
                  </w:r>
                  <w:r>
                    <w:rPr>
                      <w:rFonts w:hint="eastAsia"/>
                      <w:color w:val="auto"/>
                      <w:highlight w:val="none"/>
                      <w:lang w:eastAsia="zh-CN"/>
                    </w:rPr>
                    <w:t>“</w:t>
                  </w:r>
                  <w:r>
                    <w:rPr>
                      <w:rFonts w:hint="eastAsia"/>
                      <w:color w:val="auto"/>
                      <w:highlight w:val="none"/>
                    </w:rPr>
                    <w:t>两高</w:t>
                  </w:r>
                  <w:r>
                    <w:rPr>
                      <w:rFonts w:hint="eastAsia"/>
                      <w:color w:val="auto"/>
                      <w:highlight w:val="none"/>
                      <w:lang w:eastAsia="zh-CN"/>
                    </w:rPr>
                    <w:t>”</w:t>
                  </w:r>
                  <w:r>
                    <w:rPr>
                      <w:rFonts w:hint="eastAsia"/>
                      <w:color w:val="auto"/>
                      <w:highlight w:val="none"/>
                    </w:rPr>
                    <w:t>项目审批，认真分析评估拟建项目必要性、可行性和对产业高质量发展、能耗双控、碳排放和环境质量的影响，严格审查项目是否符合产业政策、产业规划、</w:t>
                  </w:r>
                  <w:r>
                    <w:rPr>
                      <w:rFonts w:hint="eastAsia"/>
                      <w:color w:val="auto"/>
                      <w:highlight w:val="none"/>
                      <w:lang w:eastAsia="zh-CN"/>
                    </w:rPr>
                    <w:t>“</w:t>
                  </w:r>
                  <w:r>
                    <w:rPr>
                      <w:rFonts w:hint="eastAsia"/>
                      <w:color w:val="auto"/>
                      <w:highlight w:val="none"/>
                    </w:rPr>
                    <w:t>三线一单</w:t>
                  </w:r>
                  <w:r>
                    <w:rPr>
                      <w:rFonts w:hint="eastAsia"/>
                      <w:color w:val="auto"/>
                      <w:highlight w:val="none"/>
                      <w:lang w:eastAsia="zh-CN"/>
                    </w:rPr>
                    <w:t>”</w:t>
                  </w:r>
                  <w:r>
                    <w:rPr>
                      <w:rFonts w:hint="eastAsia"/>
                      <w:color w:val="auto"/>
                      <w:highlight w:val="none"/>
                    </w:rPr>
                    <w:t>、规划环评要求，是否依法依规落实产能置换、能耗置换、煤炭消费减量替代、污染物排放区域削减等要求。对已建成投产的存量</w:t>
                  </w:r>
                  <w:r>
                    <w:rPr>
                      <w:rFonts w:hint="eastAsia"/>
                      <w:color w:val="auto"/>
                      <w:highlight w:val="none"/>
                      <w:lang w:eastAsia="zh-CN"/>
                    </w:rPr>
                    <w:t>“</w:t>
                  </w:r>
                  <w:r>
                    <w:rPr>
                      <w:rFonts w:hint="eastAsia"/>
                      <w:color w:val="auto"/>
                      <w:highlight w:val="none"/>
                    </w:rPr>
                    <w:t>两高</w:t>
                  </w:r>
                  <w:r>
                    <w:rPr>
                      <w:rFonts w:hint="eastAsia"/>
                      <w:color w:val="auto"/>
                      <w:highlight w:val="none"/>
                      <w:lang w:eastAsia="zh-CN"/>
                    </w:rPr>
                    <w:t>”</w:t>
                  </w:r>
                  <w:r>
                    <w:rPr>
                      <w:rFonts w:hint="eastAsia"/>
                      <w:color w:val="auto"/>
                      <w:highlight w:val="none"/>
                    </w:rPr>
                    <w:t>项目，有节能减排潜力的加快改造升级，属于落后产能的加快淘汰。</w:t>
                  </w:r>
                </w:p>
              </w:tc>
              <w:tc>
                <w:tcPr>
                  <w:tcW w:w="1520" w:type="pct"/>
                  <w:noWrap w:val="0"/>
                  <w:vAlign w:val="center"/>
                </w:tcPr>
                <w:p w14:paraId="0F3B811D">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lang w:val="en-US" w:eastAsia="zh-CN"/>
                    </w:rPr>
                    <w:t>对照《安徽省“两高”项目管理目录（试行）》，本项目不属于两高项目。</w:t>
                  </w:r>
                </w:p>
              </w:tc>
              <w:tc>
                <w:tcPr>
                  <w:tcW w:w="575" w:type="pct"/>
                  <w:noWrap w:val="0"/>
                  <w:vAlign w:val="center"/>
                </w:tcPr>
                <w:p w14:paraId="302D63E1">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5A19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718F9DEE">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continue"/>
                  <w:noWrap w:val="0"/>
                  <w:vAlign w:val="center"/>
                </w:tcPr>
                <w:p w14:paraId="1D2B5133">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1876" w:type="pct"/>
                  <w:noWrap w:val="0"/>
                  <w:vAlign w:val="center"/>
                </w:tcPr>
                <w:p w14:paraId="72CE18C8">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lang w:val="en-US" w:eastAsia="zh-CN"/>
                    </w:rPr>
                    <w:t>重点区域钢铁、水泥、焦化、石化、化工、有色等行业，二氧化硫、氮氧化物、颗粒物、挥发性有机物（</w:t>
                  </w:r>
                  <w:r>
                    <w:rPr>
                      <w:rFonts w:hint="default" w:ascii="Times New Roman" w:hAnsi="Times New Roman" w:cs="Times New Roman"/>
                      <w:color w:val="auto"/>
                      <w:highlight w:val="none"/>
                      <w:lang w:val="en-US" w:eastAsia="zh-CN"/>
                    </w:rPr>
                    <w:t>VOCs</w:t>
                  </w:r>
                  <w:r>
                    <w:rPr>
                      <w:rFonts w:hint="eastAsia"/>
                      <w:color w:val="auto"/>
                      <w:highlight w:val="none"/>
                      <w:lang w:val="en-US" w:eastAsia="zh-CN"/>
                    </w:rPr>
                    <w:t>）排放全面执行大气污染物特别排放限值。</w:t>
                  </w:r>
                </w:p>
              </w:tc>
              <w:tc>
                <w:tcPr>
                  <w:tcW w:w="1520" w:type="pct"/>
                  <w:noWrap w:val="0"/>
                  <w:vAlign w:val="center"/>
                </w:tcPr>
                <w:p w14:paraId="58464045">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ascii="Times New Roman" w:hAnsi="Times New Roman" w:cs="Times New Roman"/>
                      <w:color w:val="auto"/>
                      <w:highlight w:val="none"/>
                      <w:lang w:val="en-US" w:eastAsia="zh-CN"/>
                    </w:rPr>
                    <w:t>本项目排放污染物执行</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大气污染物综合排放标准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GB1898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1996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标准限值。</w:t>
                  </w:r>
                </w:p>
              </w:tc>
              <w:tc>
                <w:tcPr>
                  <w:tcW w:w="575" w:type="pct"/>
                  <w:noWrap w:val="0"/>
                  <w:vAlign w:val="center"/>
                </w:tcPr>
                <w:p w14:paraId="649D779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1AC5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55058839">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continue"/>
                  <w:noWrap w:val="0"/>
                  <w:vAlign w:val="center"/>
                </w:tcPr>
                <w:p w14:paraId="6D20955B">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1876" w:type="pct"/>
                  <w:noWrap w:val="0"/>
                  <w:vAlign w:val="center"/>
                </w:tcPr>
                <w:p w14:paraId="6092AD79">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lang w:val="en-US" w:eastAsia="zh-CN"/>
                    </w:rPr>
                  </w:pPr>
                  <w:r>
                    <w:rPr>
                      <w:rFonts w:hint="eastAsia"/>
                      <w:color w:val="auto"/>
                      <w:highlight w:val="none"/>
                      <w:lang w:val="en-US" w:eastAsia="zh-CN"/>
                    </w:rPr>
                    <w:t>禁止建设生产和使用高挥发性有机物含量涂料、油墨、胶粘剂、清洗剂等项目</w:t>
                  </w:r>
                </w:p>
              </w:tc>
              <w:tc>
                <w:tcPr>
                  <w:tcW w:w="1520" w:type="pct"/>
                  <w:noWrap w:val="0"/>
                  <w:vAlign w:val="center"/>
                </w:tcPr>
                <w:p w14:paraId="07231228">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r>
                    <w:rPr>
                      <w:rFonts w:hint="eastAsia"/>
                      <w:color w:val="auto"/>
                      <w:highlight w:val="none"/>
                      <w:lang w:val="en-US" w:eastAsia="zh-CN"/>
                    </w:rPr>
                    <w:t>本项目所使用试剂均为国家制定监测方法规定试剂，不涉及使用高挥发性涂料、油墨、胶黏剂和清洗剂，设备等清洗使用自来水</w:t>
                  </w:r>
                </w:p>
              </w:tc>
              <w:tc>
                <w:tcPr>
                  <w:tcW w:w="575" w:type="pct"/>
                  <w:noWrap w:val="0"/>
                  <w:vAlign w:val="center"/>
                </w:tcPr>
                <w:p w14:paraId="5CA675F6">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2A4C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0A25E4AB">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continue"/>
                  <w:noWrap w:val="0"/>
                  <w:vAlign w:val="center"/>
                </w:tcPr>
                <w:p w14:paraId="603F6903">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1876" w:type="pct"/>
                  <w:noWrap w:val="0"/>
                  <w:vAlign w:val="center"/>
                </w:tcPr>
                <w:p w14:paraId="25D97D8B">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rPr>
                  </w:pPr>
                  <w:r>
                    <w:rPr>
                      <w:rFonts w:hint="eastAsia" w:ascii="宋体" w:hAnsi="Times New Roman" w:eastAsia="宋体" w:cs="Times New Roman"/>
                      <w:color w:val="auto"/>
                      <w:highlight w:val="none"/>
                      <w:lang w:val="en-US" w:eastAsia="zh-CN"/>
                    </w:rPr>
                    <w:t>禁止淘汰落后类的产业进入开发区。</w:t>
                  </w:r>
                </w:p>
              </w:tc>
              <w:tc>
                <w:tcPr>
                  <w:tcW w:w="1520" w:type="pct"/>
                  <w:noWrap w:val="0"/>
                  <w:vAlign w:val="center"/>
                </w:tcPr>
                <w:p w14:paraId="69DF1D5F">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r>
                    <w:rPr>
                      <w:rFonts w:hint="eastAsia"/>
                      <w:color w:val="auto"/>
                      <w:highlight w:val="none"/>
                      <w:lang w:val="en-US" w:eastAsia="zh-CN"/>
                    </w:rPr>
                    <w:t>对照《产业结构调整指导目录（</w:t>
                  </w:r>
                  <w:r>
                    <w:rPr>
                      <w:rFonts w:hint="default" w:ascii="Times New Roman" w:hAnsi="Times New Roman" w:cs="Times New Roman"/>
                      <w:color w:val="auto"/>
                      <w:highlight w:val="none"/>
                      <w:lang w:val="en-US" w:eastAsia="zh-CN"/>
                    </w:rPr>
                    <w:t>2024年本</w:t>
                  </w:r>
                  <w:r>
                    <w:rPr>
                      <w:rFonts w:hint="eastAsia"/>
                      <w:color w:val="auto"/>
                      <w:highlight w:val="none"/>
                      <w:lang w:val="en-US" w:eastAsia="zh-CN"/>
                    </w:rPr>
                    <w:t>）》，本项目属于鼓励类。</w:t>
                  </w:r>
                </w:p>
              </w:tc>
              <w:tc>
                <w:tcPr>
                  <w:tcW w:w="575" w:type="pct"/>
                  <w:noWrap w:val="0"/>
                  <w:vAlign w:val="center"/>
                </w:tcPr>
                <w:p w14:paraId="271B565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3BEA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36C540D7">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restart"/>
                  <w:noWrap w:val="0"/>
                  <w:vAlign w:val="center"/>
                </w:tcPr>
                <w:p w14:paraId="2CF34D30">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rPr>
                    <w:t>污染物排放管控</w:t>
                  </w:r>
                </w:p>
              </w:tc>
              <w:tc>
                <w:tcPr>
                  <w:tcW w:w="1876" w:type="pct"/>
                  <w:noWrap w:val="0"/>
                  <w:vAlign w:val="center"/>
                </w:tcPr>
                <w:p w14:paraId="53F992BD">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eastAsia"/>
                      <w:color w:val="auto"/>
                      <w:highlight w:val="none"/>
                      <w:lang w:val="en-US" w:eastAsia="zh-CN"/>
                    </w:rPr>
                    <w:t>新建、改建、扩建排放重点大气污染物的项目不符合总量控制要求的，不得通过环境影响评价。</w:t>
                  </w:r>
                </w:p>
              </w:tc>
              <w:tc>
                <w:tcPr>
                  <w:tcW w:w="1520" w:type="pct"/>
                  <w:noWrap w:val="0"/>
                  <w:vAlign w:val="center"/>
                </w:tcPr>
                <w:p w14:paraId="37FFA4A2">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r>
                    <w:rPr>
                      <w:rFonts w:hint="eastAsia"/>
                      <w:color w:val="auto"/>
                      <w:highlight w:val="none"/>
                      <w:lang w:val="en-US" w:eastAsia="zh-CN"/>
                    </w:rPr>
                    <w:t>本项目目前积极履行环保手续</w:t>
                  </w:r>
                </w:p>
              </w:tc>
              <w:tc>
                <w:tcPr>
                  <w:tcW w:w="575" w:type="pct"/>
                  <w:noWrap w:val="0"/>
                  <w:vAlign w:val="center"/>
                </w:tcPr>
                <w:p w14:paraId="2E57362D">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r>
                    <w:rPr>
                      <w:rFonts w:hint="default"/>
                      <w:color w:val="auto"/>
                      <w:highlight w:val="none"/>
                    </w:rPr>
                    <w:t>符合</w:t>
                  </w:r>
                </w:p>
              </w:tc>
            </w:tr>
            <w:tr w14:paraId="199F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2E087883">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vMerge w:val="continue"/>
                  <w:noWrap w:val="0"/>
                  <w:vAlign w:val="center"/>
                </w:tcPr>
                <w:p w14:paraId="1678D19F">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rPr>
                  </w:pPr>
                </w:p>
              </w:tc>
              <w:tc>
                <w:tcPr>
                  <w:tcW w:w="1876" w:type="pct"/>
                  <w:noWrap w:val="0"/>
                  <w:vAlign w:val="center"/>
                </w:tcPr>
                <w:p w14:paraId="02269BD7">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lang w:val="en-US" w:eastAsia="zh-CN"/>
                    </w:rPr>
                  </w:pPr>
                  <w:r>
                    <w:rPr>
                      <w:rFonts w:hint="eastAsia"/>
                      <w:color w:val="auto"/>
                      <w:highlight w:val="none"/>
                      <w:lang w:val="en-US" w:eastAsia="zh-CN"/>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520" w:type="pct"/>
                  <w:noWrap w:val="0"/>
                  <w:vAlign w:val="center"/>
                </w:tcPr>
                <w:p w14:paraId="2F861624">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rPr>
                  </w:pPr>
                  <w:r>
                    <w:rPr>
                      <w:rFonts w:hint="eastAsia"/>
                      <w:color w:val="auto"/>
                      <w:highlight w:val="none"/>
                      <w:lang w:val="en-US" w:eastAsia="zh-CN"/>
                    </w:rPr>
                    <w:t>本项目</w:t>
                  </w:r>
                  <w:r>
                    <w:rPr>
                      <w:rFonts w:hint="eastAsia"/>
                      <w:bCs/>
                      <w:color w:val="auto"/>
                      <w:szCs w:val="21"/>
                      <w:highlight w:val="none"/>
                      <w:lang w:val="en-US" w:eastAsia="zh-CN"/>
                    </w:rPr>
                    <w:t>废气经过集气罩收集后，通过活性炭吸附装置处理后于楼顶排气筒排放，废水接管园区污水管网</w:t>
                  </w:r>
                </w:p>
              </w:tc>
              <w:tc>
                <w:tcPr>
                  <w:tcW w:w="575" w:type="pct"/>
                  <w:noWrap w:val="0"/>
                  <w:vAlign w:val="center"/>
                </w:tcPr>
                <w:p w14:paraId="2CF9AC9E">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lang w:val="en-US" w:eastAsia="zh-CN"/>
                    </w:rPr>
                  </w:pPr>
                  <w:r>
                    <w:rPr>
                      <w:rFonts w:hint="eastAsia"/>
                      <w:color w:val="auto"/>
                      <w:highlight w:val="none"/>
                      <w:lang w:val="en-US" w:eastAsia="zh-CN"/>
                    </w:rPr>
                    <w:t>符合</w:t>
                  </w:r>
                </w:p>
              </w:tc>
            </w:tr>
            <w:tr w14:paraId="77A7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84" w:type="pct"/>
                  <w:vMerge w:val="continue"/>
                  <w:noWrap w:val="0"/>
                  <w:vAlign w:val="center"/>
                </w:tcPr>
                <w:p w14:paraId="01F8E7E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rPr>
                  </w:pPr>
                </w:p>
              </w:tc>
              <w:tc>
                <w:tcPr>
                  <w:tcW w:w="442" w:type="pct"/>
                  <w:noWrap w:val="0"/>
                  <w:vAlign w:val="center"/>
                </w:tcPr>
                <w:p w14:paraId="115C1FCF">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eastAsia="宋体"/>
                      <w:color w:val="auto"/>
                      <w:highlight w:val="none"/>
                      <w:lang w:val="en-US" w:eastAsia="zh-CN"/>
                    </w:rPr>
                  </w:pPr>
                  <w:r>
                    <w:rPr>
                      <w:rFonts w:hint="eastAsia"/>
                      <w:color w:val="auto"/>
                      <w:highlight w:val="none"/>
                      <w:lang w:val="en-US" w:eastAsia="zh-CN"/>
                    </w:rPr>
                    <w:t>资源开发利用效率</w:t>
                  </w:r>
                </w:p>
              </w:tc>
              <w:tc>
                <w:tcPr>
                  <w:tcW w:w="1876" w:type="pct"/>
                  <w:noWrap w:val="0"/>
                  <w:vAlign w:val="center"/>
                </w:tcPr>
                <w:p w14:paraId="18615632">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lang w:val="en-US" w:eastAsia="zh-CN"/>
                    </w:rPr>
                  </w:pPr>
                  <w:r>
                    <w:rPr>
                      <w:rFonts w:hint="eastAsia" w:ascii="宋体" w:hAnsi="Times New Roman" w:eastAsia="宋体" w:cs="Times New Roman"/>
                      <w:color w:val="auto"/>
                      <w:highlight w:val="none"/>
                      <w:lang w:val="en-US" w:eastAsia="zh-CN"/>
                    </w:rPr>
                    <w:t>实</w:t>
                  </w:r>
                  <w:r>
                    <w:rPr>
                      <w:rFonts w:hint="default" w:ascii="宋体" w:hAnsi="Times New Roman" w:eastAsia="宋体" w:cs="Times New Roman"/>
                      <w:color w:val="auto"/>
                      <w:highlight w:val="none"/>
                      <w:lang w:val="en-US" w:eastAsia="zh-CN"/>
                    </w:rPr>
                    <w:t>施</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煤改气</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和</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以电代煤</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。在陶瓷、玻璃、铸造等行业积极推进天然气替代煤气化工程，有序实施燃煤设施煤改气。结合区域和行业用能特点，积极推进工业生产、建筑供暖供冷、交通运输、农业生产、居民生活五大领域实施</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以电代煤</w:t>
                  </w:r>
                  <w:r>
                    <w:rPr>
                      <w:rFonts w:hint="eastAsia" w:cs="Times New Roman"/>
                      <w:color w:val="auto"/>
                      <w:highlight w:val="none"/>
                      <w:lang w:val="en-US" w:eastAsia="zh-CN"/>
                    </w:rPr>
                    <w:t>”</w:t>
                  </w:r>
                  <w:r>
                    <w:rPr>
                      <w:rFonts w:hint="default" w:ascii="宋体" w:hAnsi="Times New Roman" w:eastAsia="宋体" w:cs="Times New Roman"/>
                      <w:color w:val="auto"/>
                      <w:highlight w:val="none"/>
                      <w:lang w:val="en-US" w:eastAsia="zh-CN"/>
                    </w:rPr>
                    <w:t>，着力提高电能占终端能源消费比重。</w:t>
                  </w:r>
                </w:p>
              </w:tc>
              <w:tc>
                <w:tcPr>
                  <w:tcW w:w="1520" w:type="pct"/>
                  <w:noWrap w:val="0"/>
                  <w:vAlign w:val="center"/>
                </w:tcPr>
                <w:p w14:paraId="35C402B5">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default"/>
                      <w:color w:val="auto"/>
                      <w:highlight w:val="none"/>
                      <w:lang w:val="en-US" w:eastAsia="zh-CN"/>
                    </w:rPr>
                  </w:pPr>
                  <w:r>
                    <w:rPr>
                      <w:rFonts w:hint="eastAsia"/>
                      <w:color w:val="auto"/>
                      <w:highlight w:val="none"/>
                      <w:lang w:val="en-US" w:eastAsia="zh-CN"/>
                    </w:rPr>
                    <w:t>本项目营运期间各类监测设备均采用电作为能源，不使用煤等能源。</w:t>
                  </w:r>
                </w:p>
              </w:tc>
              <w:tc>
                <w:tcPr>
                  <w:tcW w:w="575" w:type="pct"/>
                  <w:noWrap w:val="0"/>
                  <w:vAlign w:val="center"/>
                </w:tcPr>
                <w:p w14:paraId="3533C4EC">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right="0" w:firstLine="0" w:firstLineChars="0"/>
                    <w:textAlignment w:val="auto"/>
                    <w:rPr>
                      <w:rFonts w:hint="eastAsia"/>
                      <w:color w:val="auto"/>
                      <w:highlight w:val="none"/>
                      <w:lang w:val="en-US" w:eastAsia="zh-CN"/>
                    </w:rPr>
                  </w:pPr>
                  <w:r>
                    <w:rPr>
                      <w:rFonts w:hint="eastAsia"/>
                      <w:color w:val="auto"/>
                      <w:highlight w:val="none"/>
                      <w:lang w:val="en-US" w:eastAsia="zh-CN"/>
                    </w:rPr>
                    <w:t>符合</w:t>
                  </w:r>
                </w:p>
              </w:tc>
            </w:tr>
          </w:tbl>
          <w:p w14:paraId="599BD3C8">
            <w:pPr>
              <w:pStyle w:val="39"/>
              <w:keepNext w:val="0"/>
              <w:keepLines w:val="0"/>
              <w:suppressLineNumbers w:val="0"/>
              <w:bidi w:val="0"/>
              <w:spacing w:before="0" w:beforeAutospacing="0" w:afterAutospacing="0"/>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该项目运营过程中会产生一定的污染物，采取相应的污染防治措施后，各类污染物的排放对周围环境造成的影响较小，不会降低当地环境质量，不会触碰区域环境质量底线，</w:t>
            </w:r>
            <w:r>
              <w:rPr>
                <w:rFonts w:hint="default" w:ascii="Times New Roman" w:hAnsi="Times New Roman" w:cs="Times New Roman"/>
                <w:color w:val="auto"/>
                <w:sz w:val="24"/>
                <w:szCs w:val="24"/>
                <w:highlight w:val="none"/>
                <w:lang w:val="en-US" w:eastAsia="zh-CN"/>
              </w:rPr>
              <w:t>因此本项目建设满足</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三线一单</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管控要求，</w:t>
            </w:r>
            <w:r>
              <w:rPr>
                <w:rFonts w:hint="default" w:ascii="Times New Roman" w:hAnsi="Times New Roman" w:cs="Times New Roman"/>
                <w:color w:val="auto"/>
                <w:sz w:val="24"/>
                <w:szCs w:val="24"/>
                <w:highlight w:val="none"/>
              </w:rPr>
              <w:t>生态保护红线图见附图</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7875CC8E">
            <w:pPr>
              <w:pStyle w:val="39"/>
              <w:keepNext w:val="0"/>
              <w:keepLines w:val="0"/>
              <w:suppressLineNumbers w:val="0"/>
              <w:bidi w:val="0"/>
              <w:spacing w:before="0" w:beforeAutospacing="0" w:afterAutospacing="0"/>
              <w:ind w:left="0" w:leftChars="0" w:right="0" w:rightChars="0" w:firstLine="480" w:firstLineChars="200"/>
              <w:rPr>
                <w:rFonts w:hint="eastAsia" w:ascii="Times New Roman" w:hAnsi="Times New Roman" w:cs="Times New Roman"/>
                <w:color w:val="auto"/>
                <w:sz w:val="24"/>
                <w:szCs w:val="24"/>
                <w:highlight w:val="none"/>
                <w:lang w:val="en-US" w:eastAsia="zh-CN"/>
              </w:rPr>
            </w:pPr>
          </w:p>
        </w:tc>
      </w:tr>
    </w:tbl>
    <w:p w14:paraId="6841A393">
      <w:pPr>
        <w:spacing w:line="360" w:lineRule="auto"/>
        <w:outlineLvl w:val="0"/>
        <w:rPr>
          <w:rFonts w:eastAsia="黑体"/>
          <w:color w:val="auto"/>
          <w:sz w:val="30"/>
          <w:highlight w:val="none"/>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74F1E801">
      <w:pPr>
        <w:pStyle w:val="3"/>
        <w:bidi w:val="0"/>
        <w:rPr>
          <w:color w:val="auto"/>
          <w:highlight w:val="none"/>
        </w:rPr>
      </w:pPr>
      <w:r>
        <w:rPr>
          <w:color w:val="auto"/>
          <w:highlight w:val="none"/>
        </w:rPr>
        <w:t>二、建设项目工程分析</w:t>
      </w:r>
    </w:p>
    <w:tbl>
      <w:tblPr>
        <w:tblStyle w:val="18"/>
        <w:tblW w:w="90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588"/>
      </w:tblGrid>
      <w:tr w14:paraId="1C66F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6" w:hRule="atLeast"/>
          <w:jc w:val="center"/>
        </w:trPr>
        <w:tc>
          <w:tcPr>
            <w:tcW w:w="510" w:type="dxa"/>
            <w:noWrap w:val="0"/>
            <w:vAlign w:val="center"/>
          </w:tcPr>
          <w:p w14:paraId="2E5E57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szCs w:val="21"/>
                <w:highlight w:val="none"/>
                <w:lang w:val="en-US" w:eastAsia="zh-CN"/>
              </w:rPr>
            </w:pPr>
            <w:r>
              <w:rPr>
                <w:rFonts w:hint="default"/>
                <w:color w:val="auto"/>
                <w:highlight w:val="none"/>
                <w:lang w:val="en-US" w:eastAsia="zh-CN"/>
              </w:rPr>
              <w:t>建设内容</w:t>
            </w:r>
          </w:p>
        </w:tc>
        <w:tc>
          <w:tcPr>
            <w:tcW w:w="8588" w:type="dxa"/>
            <w:noWrap w:val="0"/>
            <w:vAlign w:val="top"/>
          </w:tcPr>
          <w:p w14:paraId="140710F9">
            <w:pPr>
              <w:keepNext w:val="0"/>
              <w:keepLines w:val="0"/>
              <w:suppressLineNumbers w:val="0"/>
              <w:bidi w:val="0"/>
              <w:spacing w:before="0" w:beforeAutospacing="0" w:after="0" w:afterAutospacing="0"/>
              <w:ind w:left="0" w:right="0"/>
              <w:rPr>
                <w:rFonts w:hint="eastAsia"/>
                <w:b/>
                <w:bCs/>
                <w:color w:val="auto"/>
                <w:highlight w:val="none"/>
              </w:rPr>
            </w:pPr>
            <w:r>
              <w:rPr>
                <w:rFonts w:hint="default"/>
                <w:b/>
                <w:bCs/>
                <w:color w:val="auto"/>
                <w:highlight w:val="none"/>
              </w:rPr>
              <w:t>2.</w:t>
            </w:r>
            <w:r>
              <w:rPr>
                <w:rFonts w:hint="eastAsia"/>
                <w:b/>
                <w:bCs/>
                <w:color w:val="auto"/>
                <w:highlight w:val="none"/>
              </w:rPr>
              <w:t>1项目概况</w:t>
            </w:r>
          </w:p>
          <w:p w14:paraId="3F7B9979">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安徽环晟环保科技有限公司成立于2020年4月28日，经营范围包括环保技术开发及技术服务；建设项目环境影响评价；环境风险评估及应急预案编制；竣工环境保护验收；固体废物验收；清洁生产审核；工程项目可行性研究报告编制；水土保持监测、评估、方案及验收报告编制；水资源、排污口设置论证；防洪影响评价；水利工程设计、施工、咨询服务；企业管理咨询；土壤环境风险评估及修复；环境工程设计及施工；环境监测；环保管家服务；环保自动监测设备运维服务；环保设备及配件销售。本项目拟租用淮南市宜青环境检测有限公司部分办公楼，购置原子吸收分光光度计、气相色谱仪、离子色谱仪、原子荧光光度计、紫外可见分光光度计、自动烟尘烟气仪等设备，并配套安全、环保等设施。</w:t>
            </w:r>
          </w:p>
          <w:p w14:paraId="05E8A796">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202</w:t>
            </w:r>
            <w:r>
              <w:rPr>
                <w:rFonts w:hint="eastAsia"/>
                <w:color w:val="auto"/>
                <w:highlight w:val="none"/>
                <w:lang w:val="en-US" w:eastAsia="zh-CN"/>
              </w:rPr>
              <w:t>5</w:t>
            </w:r>
            <w:r>
              <w:rPr>
                <w:rFonts w:hint="default"/>
                <w:color w:val="auto"/>
                <w:highlight w:val="none"/>
              </w:rPr>
              <w:t>年</w:t>
            </w:r>
            <w:r>
              <w:rPr>
                <w:rFonts w:hint="eastAsia"/>
                <w:color w:val="auto"/>
                <w:highlight w:val="none"/>
                <w:lang w:val="en-US" w:eastAsia="zh-CN"/>
              </w:rPr>
              <w:t>9</w:t>
            </w:r>
            <w:r>
              <w:rPr>
                <w:rFonts w:hint="default"/>
                <w:color w:val="auto"/>
                <w:highlight w:val="none"/>
              </w:rPr>
              <w:t>月</w:t>
            </w:r>
            <w:r>
              <w:rPr>
                <w:rFonts w:hint="eastAsia"/>
                <w:color w:val="auto"/>
                <w:highlight w:val="none"/>
                <w:lang w:val="en-US" w:eastAsia="zh-CN"/>
              </w:rPr>
              <w:t>25</w:t>
            </w:r>
            <w:r>
              <w:rPr>
                <w:rFonts w:hint="default"/>
                <w:color w:val="auto"/>
                <w:highlight w:val="none"/>
              </w:rPr>
              <w:t>日，</w:t>
            </w:r>
            <w:r>
              <w:rPr>
                <w:rFonts w:hint="eastAsia"/>
                <w:color w:val="auto"/>
                <w:highlight w:val="none"/>
                <w:lang w:val="en-US" w:eastAsia="zh-CN"/>
              </w:rPr>
              <w:t>安徽环晟环保科技有限公司</w:t>
            </w:r>
            <w:r>
              <w:rPr>
                <w:rFonts w:hint="default"/>
                <w:color w:val="auto"/>
                <w:highlight w:val="none"/>
              </w:rPr>
              <w:t>取得</w:t>
            </w:r>
            <w:r>
              <w:rPr>
                <w:rFonts w:hint="eastAsia"/>
                <w:color w:val="auto"/>
                <w:highlight w:val="none"/>
              </w:rPr>
              <w:t>淮南</w:t>
            </w:r>
            <w:r>
              <w:rPr>
                <w:rFonts w:hint="eastAsia"/>
                <w:color w:val="auto"/>
                <w:highlight w:val="none"/>
                <w:lang w:val="en-US" w:eastAsia="zh-CN"/>
              </w:rPr>
              <w:t>高新区经济发展局</w:t>
            </w:r>
            <w:r>
              <w:rPr>
                <w:rFonts w:hint="default"/>
                <w:color w:val="auto"/>
                <w:highlight w:val="none"/>
              </w:rPr>
              <w:t>关于本项目的</w:t>
            </w:r>
            <w:r>
              <w:rPr>
                <w:rFonts w:hint="eastAsia"/>
                <w:color w:val="auto"/>
                <w:highlight w:val="none"/>
              </w:rPr>
              <w:t>备案</w:t>
            </w:r>
            <w:r>
              <w:rPr>
                <w:rFonts w:hint="default"/>
                <w:color w:val="auto"/>
                <w:highlight w:val="none"/>
              </w:rPr>
              <w:t>，同时</w:t>
            </w:r>
            <w:r>
              <w:rPr>
                <w:rFonts w:hint="eastAsia"/>
                <w:color w:val="auto"/>
                <w:highlight w:val="none"/>
              </w:rPr>
              <w:t>项目</w:t>
            </w:r>
            <w:r>
              <w:rPr>
                <w:rFonts w:hint="default"/>
                <w:color w:val="auto"/>
                <w:highlight w:val="none"/>
              </w:rPr>
              <w:t>实施过程中，将有污水、噪声、废气和固废等污染物的产生。根据《中华人民共和国环境保护法》（中华人民共和国主席令第九号）、《中华人民共和国环境影响评价法》（中华人民共和国主席令第四十八号）和《建设项目环境保护管理条例》（</w:t>
            </w:r>
            <w:r>
              <w:rPr>
                <w:rFonts w:hint="default"/>
                <w:color w:val="auto"/>
                <w:highlight w:val="none"/>
                <w:lang w:eastAsia="zh-Hans"/>
              </w:rPr>
              <w:t>国务院第</w:t>
            </w:r>
            <w:r>
              <w:rPr>
                <w:rFonts w:hint="default"/>
                <w:color w:val="auto"/>
                <w:highlight w:val="none"/>
              </w:rPr>
              <w:t>682</w:t>
            </w:r>
            <w:r>
              <w:rPr>
                <w:rFonts w:hint="default"/>
                <w:color w:val="auto"/>
                <w:highlight w:val="none"/>
                <w:lang w:eastAsia="zh-Hans"/>
              </w:rPr>
              <w:t>号令</w:t>
            </w:r>
            <w:r>
              <w:rPr>
                <w:rFonts w:hint="default"/>
                <w:color w:val="auto"/>
                <w:highlight w:val="none"/>
              </w:rPr>
              <w:t>）等文件规定，本项目须进行环境影响评价。对照《建设项目环境影响评价分类管理名录》（生态环境部令第1号），项目属于</w:t>
            </w:r>
            <w:r>
              <w:rPr>
                <w:rFonts w:hint="eastAsia"/>
                <w:color w:val="auto"/>
                <w:highlight w:val="none"/>
                <w:lang w:eastAsia="zh-CN"/>
              </w:rPr>
              <w:t>“</w:t>
            </w:r>
            <w:r>
              <w:rPr>
                <w:rFonts w:hint="default"/>
                <w:color w:val="auto"/>
                <w:highlight w:val="none"/>
              </w:rPr>
              <w:t>四十五、研究和试验发展98专业实验室、研发（试验）基地其他（不产生实验废气、废水、危险废物的除外）</w:t>
            </w:r>
            <w:r>
              <w:rPr>
                <w:rFonts w:hint="eastAsia"/>
                <w:color w:val="auto"/>
                <w:highlight w:val="none"/>
                <w:lang w:eastAsia="zh-CN"/>
              </w:rPr>
              <w:t>”</w:t>
            </w:r>
            <w:r>
              <w:rPr>
                <w:rFonts w:hint="default"/>
                <w:color w:val="auto"/>
                <w:highlight w:val="none"/>
              </w:rPr>
              <w:t>，应编制环境影响报告表。</w:t>
            </w:r>
          </w:p>
          <w:p w14:paraId="68982DC2">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安徽环晟环保科技有限公司对租赁厂区周边</w:t>
            </w:r>
            <w:r>
              <w:rPr>
                <w:rFonts w:hint="default"/>
                <w:color w:val="auto"/>
                <w:highlight w:val="none"/>
              </w:rPr>
              <w:t>周围环境进行了现场踏勘、调查，在收集项目相关资料的基础上进行了分析，根据国家和地方有关环保法律法规，并依据相关技术导则和规范要求，编制了本项目环境影响报告表。</w:t>
            </w:r>
          </w:p>
          <w:p w14:paraId="6FCECDC4">
            <w:pPr>
              <w:pStyle w:val="26"/>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 xml:space="preserve">表2-1 </w:t>
            </w:r>
            <w:r>
              <w:rPr>
                <w:rFonts w:hint="eastAsia"/>
                <w:color w:val="auto"/>
                <w:highlight w:val="none"/>
                <w:lang w:val="en-US" w:eastAsia="zh-CN"/>
              </w:rPr>
              <w:t xml:space="preserve"> </w:t>
            </w:r>
            <w:r>
              <w:rPr>
                <w:rFonts w:hint="eastAsia"/>
                <w:color w:val="auto"/>
                <w:highlight w:val="none"/>
              </w:rPr>
              <w:t>项目环评分类管理类别判定</w:t>
            </w:r>
          </w:p>
          <w:tbl>
            <w:tblPr>
              <w:tblStyle w:val="1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682"/>
              <w:gridCol w:w="2213"/>
              <w:gridCol w:w="2122"/>
              <w:gridCol w:w="900"/>
            </w:tblGrid>
            <w:tr w14:paraId="3C85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50" w:type="dxa"/>
                  <w:gridSpan w:val="2"/>
                  <w:tcBorders>
                    <w:tl2br w:val="single" w:color="auto" w:sz="4" w:space="0"/>
                  </w:tcBorders>
                  <w:noWrap w:val="0"/>
                  <w:vAlign w:val="center"/>
                </w:tcPr>
                <w:p w14:paraId="12AA047B">
                  <w:pPr>
                    <w:pStyle w:val="27"/>
                    <w:keepNext w:val="0"/>
                    <w:keepLines w:val="0"/>
                    <w:suppressLineNumbers w:val="0"/>
                    <w:bidi w:val="0"/>
                    <w:spacing w:before="0" w:beforeAutospacing="0" w:after="0" w:afterAutospacing="0"/>
                    <w:ind w:left="0" w:right="0"/>
                    <w:jc w:val="right"/>
                    <w:rPr>
                      <w:b/>
                      <w:bCs/>
                      <w:color w:val="auto"/>
                      <w:highlight w:val="none"/>
                    </w:rPr>
                  </w:pPr>
                  <w:r>
                    <w:rPr>
                      <w:rFonts w:hint="eastAsia"/>
                      <w:b/>
                      <w:bCs/>
                      <w:color w:val="auto"/>
                      <w:highlight w:val="none"/>
                    </w:rPr>
                    <w:t>环评类别</w:t>
                  </w:r>
                </w:p>
                <w:p w14:paraId="66878FAC">
                  <w:pPr>
                    <w:pStyle w:val="27"/>
                    <w:keepNext w:val="0"/>
                    <w:keepLines w:val="0"/>
                    <w:suppressLineNumbers w:val="0"/>
                    <w:bidi w:val="0"/>
                    <w:spacing w:before="0" w:beforeAutospacing="0" w:after="0" w:afterAutospacing="0"/>
                    <w:ind w:left="0" w:right="0"/>
                    <w:jc w:val="left"/>
                    <w:rPr>
                      <w:b/>
                      <w:bCs/>
                      <w:color w:val="auto"/>
                      <w:highlight w:val="none"/>
                    </w:rPr>
                  </w:pPr>
                  <w:r>
                    <w:rPr>
                      <w:rFonts w:hint="eastAsia"/>
                      <w:b/>
                      <w:bCs/>
                      <w:color w:val="auto"/>
                      <w:highlight w:val="none"/>
                    </w:rPr>
                    <w:t>项目类别</w:t>
                  </w:r>
                </w:p>
              </w:tc>
              <w:tc>
                <w:tcPr>
                  <w:tcW w:w="2213" w:type="dxa"/>
                  <w:noWrap w:val="0"/>
                  <w:vAlign w:val="center"/>
                </w:tcPr>
                <w:p w14:paraId="006C31F9">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报告书</w:t>
                  </w:r>
                </w:p>
              </w:tc>
              <w:tc>
                <w:tcPr>
                  <w:tcW w:w="2122" w:type="dxa"/>
                  <w:noWrap w:val="0"/>
                  <w:vAlign w:val="center"/>
                </w:tcPr>
                <w:p w14:paraId="7C5352EE">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报告表</w:t>
                  </w:r>
                </w:p>
              </w:tc>
              <w:tc>
                <w:tcPr>
                  <w:tcW w:w="900" w:type="dxa"/>
                  <w:noWrap w:val="0"/>
                  <w:vAlign w:val="center"/>
                </w:tcPr>
                <w:p w14:paraId="49D596F3">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登记表</w:t>
                  </w:r>
                </w:p>
              </w:tc>
            </w:tr>
            <w:tr w14:paraId="0D8F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5" w:type="dxa"/>
                  <w:gridSpan w:val="5"/>
                  <w:noWrap w:val="0"/>
                  <w:vAlign w:val="center"/>
                </w:tcPr>
                <w:p w14:paraId="1107DEE3">
                  <w:pPr>
                    <w:pStyle w:val="27"/>
                    <w:keepNext w:val="0"/>
                    <w:keepLines w:val="0"/>
                    <w:suppressLineNumbers w:val="0"/>
                    <w:bidi w:val="0"/>
                    <w:spacing w:before="0" w:beforeAutospacing="0" w:after="0" w:afterAutospacing="0"/>
                    <w:ind w:left="0" w:right="0"/>
                    <w:jc w:val="left"/>
                    <w:rPr>
                      <w:color w:val="auto"/>
                      <w:highlight w:val="none"/>
                    </w:rPr>
                  </w:pPr>
                  <w:r>
                    <w:rPr>
                      <w:rFonts w:hint="eastAsia"/>
                      <w:b/>
                      <w:bCs/>
                      <w:color w:val="auto"/>
                      <w:highlight w:val="none"/>
                    </w:rPr>
                    <w:t>四十五、研究和试验发展</w:t>
                  </w:r>
                </w:p>
              </w:tc>
            </w:tr>
            <w:tr w14:paraId="2ADE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8" w:type="dxa"/>
                  <w:noWrap w:val="0"/>
                  <w:vAlign w:val="center"/>
                </w:tcPr>
                <w:p w14:paraId="4B70143F">
                  <w:pPr>
                    <w:pStyle w:val="2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98</w:t>
                  </w:r>
                </w:p>
              </w:tc>
              <w:tc>
                <w:tcPr>
                  <w:tcW w:w="2682" w:type="dxa"/>
                  <w:noWrap w:val="0"/>
                  <w:vAlign w:val="center"/>
                </w:tcPr>
                <w:p w14:paraId="2ADB47C9">
                  <w:pPr>
                    <w:pStyle w:val="27"/>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专业实验室、研发（试验）基地</w:t>
                  </w:r>
                </w:p>
              </w:tc>
              <w:tc>
                <w:tcPr>
                  <w:tcW w:w="2213" w:type="dxa"/>
                  <w:noWrap w:val="0"/>
                  <w:vAlign w:val="center"/>
                </w:tcPr>
                <w:p w14:paraId="4E0EB9A0">
                  <w:pPr>
                    <w:pStyle w:val="27"/>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1"/>
                      <w:szCs w:val="21"/>
                      <w:highlight w:val="none"/>
                    </w:rPr>
                    <w:t>P3、P4生物安全实验室；转基因实验室</w:t>
                  </w:r>
                </w:p>
              </w:tc>
              <w:tc>
                <w:tcPr>
                  <w:tcW w:w="2122" w:type="dxa"/>
                  <w:noWrap w:val="0"/>
                  <w:vAlign w:val="center"/>
                </w:tcPr>
                <w:p w14:paraId="0674ED15">
                  <w:pPr>
                    <w:pStyle w:val="27"/>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ascii="宋体" w:hAnsi="宋体" w:eastAsia="宋体" w:cs="宋体"/>
                      <w:b w:val="0"/>
                      <w:bCs w:val="0"/>
                      <w:color w:val="auto"/>
                      <w:sz w:val="21"/>
                      <w:szCs w:val="21"/>
                      <w:highlight w:val="none"/>
                    </w:rPr>
                    <w:t>其他（不产生实验废气、废水、危险废物的除外）</w:t>
                  </w:r>
                </w:p>
              </w:tc>
              <w:tc>
                <w:tcPr>
                  <w:tcW w:w="900" w:type="dxa"/>
                  <w:noWrap w:val="0"/>
                  <w:vAlign w:val="center"/>
                </w:tcPr>
                <w:p w14:paraId="6A7E08CA">
                  <w:pPr>
                    <w:pStyle w:val="27"/>
                    <w:keepNext w:val="0"/>
                    <w:keepLines w:val="0"/>
                    <w:suppressLineNumbers w:val="0"/>
                    <w:bidi w:val="0"/>
                    <w:spacing w:before="0" w:beforeAutospacing="0" w:after="0" w:afterAutospacing="0"/>
                    <w:ind w:left="0" w:right="0"/>
                    <w:rPr>
                      <w:color w:val="auto"/>
                      <w:highlight w:val="none"/>
                    </w:rPr>
                  </w:pPr>
                  <w:r>
                    <w:rPr>
                      <w:rFonts w:hint="eastAsia"/>
                      <w:b/>
                      <w:bCs/>
                      <w:color w:val="auto"/>
                      <w:highlight w:val="none"/>
                    </w:rPr>
                    <w:t>/</w:t>
                  </w:r>
                </w:p>
              </w:tc>
            </w:tr>
          </w:tbl>
          <w:p w14:paraId="03DECBE2">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对照《固定污染源排污许可分类管理名录》（2019年版），</w:t>
            </w:r>
            <w:r>
              <w:rPr>
                <w:rFonts w:hint="eastAsia"/>
                <w:color w:val="auto"/>
                <w:highlight w:val="none"/>
              </w:rPr>
              <w:t>本项目</w:t>
            </w:r>
            <w:r>
              <w:rPr>
                <w:rFonts w:hint="eastAsia"/>
                <w:color w:val="auto"/>
                <w:highlight w:val="none"/>
                <w:lang w:val="en-US" w:eastAsia="zh-CN"/>
              </w:rPr>
              <w:t>不涉及通用工序，不进行排污许可申请。</w:t>
            </w:r>
          </w:p>
          <w:p w14:paraId="4BBFBBCA">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2</w:t>
            </w:r>
            <w:r>
              <w:rPr>
                <w:rFonts w:hint="default"/>
                <w:b/>
                <w:bCs/>
                <w:color w:val="auto"/>
                <w:highlight w:val="none"/>
              </w:rPr>
              <w:t>工程建设内容</w:t>
            </w:r>
          </w:p>
          <w:p w14:paraId="578CC3A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企业租赁</w:t>
            </w:r>
            <w:r>
              <w:rPr>
                <w:rFonts w:hint="eastAsia"/>
                <w:color w:val="auto"/>
                <w:highlight w:val="none"/>
                <w:lang w:val="en-US" w:eastAsia="zh-CN"/>
              </w:rPr>
              <w:t>淮南市宜青环境检测有限公司</w:t>
            </w:r>
            <w:r>
              <w:rPr>
                <w:rFonts w:hint="default" w:ascii="Times New Roman" w:hAnsi="Times New Roman"/>
                <w:color w:val="auto"/>
                <w:highlight w:val="none"/>
              </w:rPr>
              <w:t>位于</w:t>
            </w:r>
            <w:r>
              <w:rPr>
                <w:rFonts w:hint="eastAsia" w:ascii="Times New Roman" w:hAnsi="Times New Roman"/>
                <w:color w:val="auto"/>
                <w:highlight w:val="none"/>
              </w:rPr>
              <w:t>安徽省淮南市高新技术产业开发区泰宁大街288号A02栋02室</w:t>
            </w:r>
            <w:r>
              <w:rPr>
                <w:rFonts w:hint="eastAsia"/>
                <w:color w:val="auto"/>
                <w:highlight w:val="none"/>
                <w:lang w:val="en-US" w:eastAsia="zh-CN"/>
              </w:rPr>
              <w:t>办公楼进行本项目建设运营，租赁面积为1816</w:t>
            </w:r>
            <w:r>
              <w:rPr>
                <w:rFonts w:hint="default" w:ascii="Times New Roman" w:hAnsi="Times New Roman"/>
                <w:color w:val="auto"/>
                <w:highlight w:val="none"/>
              </w:rPr>
              <w:t>m</w:t>
            </w:r>
            <w:r>
              <w:rPr>
                <w:rFonts w:hint="default" w:ascii="Times New Roman" w:hAnsi="Times New Roman"/>
                <w:color w:val="auto"/>
                <w:highlight w:val="none"/>
                <w:vertAlign w:val="superscript"/>
              </w:rPr>
              <w:t>2</w:t>
            </w:r>
            <w:r>
              <w:rPr>
                <w:rFonts w:hint="default" w:ascii="Times New Roman" w:hAnsi="Times New Roman"/>
                <w:color w:val="auto"/>
                <w:highlight w:val="none"/>
              </w:rPr>
              <w:t>，其中检测分析实验室</w:t>
            </w:r>
            <w:r>
              <w:rPr>
                <w:rFonts w:hint="eastAsia"/>
                <w:color w:val="auto"/>
                <w:highlight w:val="none"/>
                <w:lang w:val="en-US" w:eastAsia="zh-CN"/>
              </w:rPr>
              <w:t>位于三楼，建筑</w:t>
            </w:r>
            <w:r>
              <w:rPr>
                <w:rFonts w:hint="default" w:ascii="Times New Roman" w:hAnsi="Times New Roman"/>
                <w:color w:val="auto"/>
                <w:highlight w:val="none"/>
              </w:rPr>
              <w:t>面积</w:t>
            </w:r>
            <w:r>
              <w:rPr>
                <w:rFonts w:hint="eastAsia"/>
                <w:color w:val="auto"/>
                <w:highlight w:val="none"/>
                <w:lang w:val="en-US" w:eastAsia="zh-CN"/>
              </w:rPr>
              <w:t>814.19</w:t>
            </w:r>
            <w:r>
              <w:rPr>
                <w:rFonts w:hint="default" w:ascii="Times New Roman" w:hAnsi="Times New Roman"/>
                <w:color w:val="auto"/>
                <w:highlight w:val="none"/>
              </w:rPr>
              <w:t>m</w:t>
            </w:r>
            <w:r>
              <w:rPr>
                <w:rFonts w:hint="default" w:ascii="Times New Roman" w:hAnsi="Times New Roman"/>
                <w:color w:val="auto"/>
                <w:highlight w:val="none"/>
                <w:vertAlign w:val="superscript"/>
              </w:rPr>
              <w:t>2</w:t>
            </w:r>
            <w:r>
              <w:rPr>
                <w:rFonts w:hint="eastAsia"/>
                <w:color w:val="auto"/>
                <w:highlight w:val="none"/>
                <w:lang w:eastAsia="zh-CN"/>
              </w:rPr>
              <w:t>（</w:t>
            </w:r>
            <w:r>
              <w:rPr>
                <w:rFonts w:hint="default" w:ascii="Times New Roman" w:hAnsi="Times New Roman"/>
                <w:color w:val="auto"/>
                <w:highlight w:val="none"/>
              </w:rPr>
              <w:t>主要</w:t>
            </w:r>
            <w:r>
              <w:rPr>
                <w:rFonts w:hint="eastAsia" w:ascii="Times New Roman" w:hAnsi="Times New Roman"/>
                <w:color w:val="auto"/>
                <w:highlight w:val="none"/>
                <w:lang w:val="en-US" w:eastAsia="zh-CN"/>
              </w:rPr>
              <w:t>设置</w:t>
            </w:r>
            <w:r>
              <w:rPr>
                <w:rFonts w:hint="eastAsia" w:ascii="Times New Roman" w:hAnsi="Times New Roman"/>
                <w:color w:val="auto"/>
                <w:highlight w:val="none"/>
              </w:rPr>
              <w:t>前处理室、</w:t>
            </w:r>
            <w:r>
              <w:rPr>
                <w:rFonts w:hint="eastAsia"/>
                <w:color w:val="auto"/>
                <w:highlight w:val="none"/>
                <w:lang w:val="en-US" w:eastAsia="zh-CN"/>
              </w:rPr>
              <w:t>分析</w:t>
            </w:r>
            <w:r>
              <w:rPr>
                <w:rFonts w:hint="eastAsia" w:ascii="Times New Roman" w:hAnsi="Times New Roman"/>
                <w:color w:val="auto"/>
                <w:highlight w:val="none"/>
              </w:rPr>
              <w:t>室、高温室、</w:t>
            </w:r>
            <w:r>
              <w:rPr>
                <w:rFonts w:hint="eastAsia"/>
                <w:color w:val="auto"/>
                <w:highlight w:val="none"/>
                <w:lang w:val="en-US" w:eastAsia="zh-CN"/>
              </w:rPr>
              <w:t>离子</w:t>
            </w:r>
            <w:r>
              <w:rPr>
                <w:rFonts w:hint="default" w:ascii="Times New Roman" w:hAnsi="Times New Roman"/>
                <w:color w:val="auto"/>
                <w:highlight w:val="none"/>
              </w:rPr>
              <w:t>色谱室、光谱室、微生物室、</w:t>
            </w:r>
            <w:r>
              <w:rPr>
                <w:rFonts w:hint="eastAsia" w:ascii="Times New Roman" w:hAnsi="Times New Roman"/>
                <w:color w:val="auto"/>
                <w:highlight w:val="none"/>
              </w:rPr>
              <w:t>试剂室、</w:t>
            </w:r>
            <w:r>
              <w:rPr>
                <w:rFonts w:hint="default" w:ascii="Times New Roman" w:hAnsi="Times New Roman"/>
                <w:color w:val="auto"/>
                <w:highlight w:val="none"/>
              </w:rPr>
              <w:t>天平室</w:t>
            </w:r>
            <w:r>
              <w:rPr>
                <w:rFonts w:hint="eastAsia" w:ascii="Times New Roman" w:hAnsi="Times New Roman"/>
                <w:color w:val="auto"/>
                <w:highlight w:val="none"/>
              </w:rPr>
              <w:t>、样品室</w:t>
            </w:r>
            <w:r>
              <w:rPr>
                <w:rFonts w:hint="eastAsia"/>
                <w:color w:val="auto"/>
                <w:highlight w:val="none"/>
                <w:lang w:val="en-US" w:eastAsia="zh-CN"/>
              </w:rPr>
              <w:t>及室内外辅助过道区域</w:t>
            </w:r>
            <w:r>
              <w:rPr>
                <w:rFonts w:hint="eastAsia"/>
                <w:color w:val="auto"/>
                <w:highlight w:val="none"/>
                <w:lang w:eastAsia="zh-CN"/>
              </w:rPr>
              <w:t>）</w:t>
            </w:r>
            <w:r>
              <w:rPr>
                <w:rFonts w:hint="default" w:ascii="Times New Roman" w:hAnsi="Times New Roman"/>
                <w:color w:val="auto"/>
                <w:highlight w:val="none"/>
              </w:rPr>
              <w:t>，办公室区域</w:t>
            </w:r>
            <w:r>
              <w:rPr>
                <w:rFonts w:hint="eastAsia"/>
                <w:color w:val="auto"/>
                <w:highlight w:val="none"/>
                <w:lang w:val="en-US" w:eastAsia="zh-CN"/>
              </w:rPr>
              <w:t>位于二楼，建筑面积814.15</w:t>
            </w:r>
            <w:r>
              <w:rPr>
                <w:rFonts w:hint="default" w:ascii="Times New Roman" w:hAnsi="Times New Roman"/>
                <w:color w:val="auto"/>
                <w:highlight w:val="none"/>
              </w:rPr>
              <w:t>m</w:t>
            </w:r>
            <w:r>
              <w:rPr>
                <w:rFonts w:hint="default" w:ascii="Times New Roman" w:hAnsi="Times New Roman"/>
                <w:color w:val="auto"/>
                <w:highlight w:val="none"/>
                <w:vertAlign w:val="superscript"/>
              </w:rPr>
              <w:t>2</w:t>
            </w:r>
            <w:r>
              <w:rPr>
                <w:rFonts w:hint="default" w:ascii="Times New Roman" w:hAnsi="Times New Roman"/>
                <w:color w:val="auto"/>
                <w:highlight w:val="none"/>
              </w:rPr>
              <w:t>，辅助设施面积</w:t>
            </w:r>
            <w:r>
              <w:rPr>
                <w:rFonts w:hint="eastAsia"/>
                <w:color w:val="auto"/>
                <w:highlight w:val="none"/>
                <w:lang w:val="en-US" w:eastAsia="zh-CN"/>
              </w:rPr>
              <w:t>135</w:t>
            </w:r>
            <w:r>
              <w:rPr>
                <w:rFonts w:hint="default" w:ascii="Times New Roman" w:hAnsi="Times New Roman"/>
                <w:color w:val="auto"/>
                <w:highlight w:val="none"/>
              </w:rPr>
              <w:t>平方米</w:t>
            </w:r>
            <w:r>
              <w:rPr>
                <w:rFonts w:hint="eastAsia"/>
                <w:color w:val="auto"/>
                <w:highlight w:val="none"/>
                <w:lang w:eastAsia="zh-CN"/>
              </w:rPr>
              <w:t>（</w:t>
            </w:r>
            <w:r>
              <w:rPr>
                <w:rFonts w:hint="eastAsia"/>
                <w:color w:val="auto"/>
                <w:highlight w:val="none"/>
                <w:lang w:val="en-US" w:eastAsia="zh-CN"/>
              </w:rPr>
              <w:t>主要为采样设备室及危废间</w:t>
            </w:r>
            <w:r>
              <w:rPr>
                <w:rFonts w:hint="eastAsia"/>
                <w:color w:val="auto"/>
                <w:highlight w:val="none"/>
                <w:lang w:eastAsia="zh-CN"/>
              </w:rPr>
              <w:t>）</w:t>
            </w:r>
            <w:r>
              <w:rPr>
                <w:rFonts w:hint="default" w:ascii="Times New Roman" w:hAnsi="Times New Roman"/>
                <w:color w:val="auto"/>
                <w:highlight w:val="none"/>
              </w:rPr>
              <w:t>。新上一系列配套检测设备，并配套安全、环保等设施。</w:t>
            </w:r>
            <w:r>
              <w:rPr>
                <w:rFonts w:hint="eastAsia" w:ascii="Times New Roman" w:hAnsi="Times New Roman"/>
                <w:color w:val="auto"/>
                <w:highlight w:val="none"/>
                <w:lang w:val="en-US" w:eastAsia="zh-CN"/>
              </w:rPr>
              <w:t>根据检测内容配备相关检测设备和检测试剂，</w:t>
            </w:r>
            <w:r>
              <w:rPr>
                <w:rFonts w:hint="default"/>
                <w:color w:val="auto"/>
                <w:highlight w:val="none"/>
              </w:rPr>
              <w:t>主要建设内容详见表2-</w:t>
            </w:r>
            <w:r>
              <w:rPr>
                <w:rFonts w:hint="eastAsia"/>
                <w:color w:val="auto"/>
                <w:highlight w:val="none"/>
                <w:lang w:val="en-US" w:eastAsia="zh-CN"/>
              </w:rPr>
              <w:t>2</w:t>
            </w:r>
            <w:r>
              <w:rPr>
                <w:rFonts w:hint="default"/>
                <w:color w:val="auto"/>
                <w:highlight w:val="none"/>
              </w:rPr>
              <w:t>。</w:t>
            </w:r>
          </w:p>
          <w:p w14:paraId="3DB7B9DA">
            <w:pPr>
              <w:pStyle w:val="26"/>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表</w:t>
            </w:r>
            <w:r>
              <w:rPr>
                <w:rFonts w:hint="eastAsia"/>
                <w:color w:val="auto"/>
                <w:highlight w:val="none"/>
              </w:rPr>
              <w:t>2-</w:t>
            </w: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 xml:space="preserve"> </w:t>
            </w:r>
            <w:r>
              <w:rPr>
                <w:rFonts w:hint="default"/>
                <w:color w:val="auto"/>
                <w:highlight w:val="none"/>
              </w:rPr>
              <w:t>项目建设内容组成一览表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10"/>
              <w:gridCol w:w="5328"/>
              <w:gridCol w:w="1358"/>
            </w:tblGrid>
            <w:tr w14:paraId="0F0E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noWrap w:val="0"/>
                  <w:vAlign w:val="center"/>
                </w:tcPr>
                <w:p w14:paraId="06B13671">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b/>
                      <w:bCs/>
                      <w:color w:val="auto"/>
                      <w:sz w:val="21"/>
                      <w:szCs w:val="21"/>
                      <w:highlight w:val="none"/>
                    </w:rPr>
                    <w:t>工程类别</w:t>
                  </w:r>
                </w:p>
              </w:tc>
              <w:tc>
                <w:tcPr>
                  <w:tcW w:w="544" w:type="pct"/>
                  <w:noWrap w:val="0"/>
                  <w:vAlign w:val="center"/>
                </w:tcPr>
                <w:p w14:paraId="364265D1">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b/>
                      <w:bCs/>
                      <w:color w:val="auto"/>
                      <w:sz w:val="21"/>
                      <w:szCs w:val="21"/>
                      <w:highlight w:val="none"/>
                    </w:rPr>
                    <w:t>工程</w:t>
                  </w:r>
                </w:p>
                <w:p w14:paraId="6B49D887">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b/>
                      <w:bCs/>
                      <w:color w:val="auto"/>
                      <w:sz w:val="21"/>
                      <w:szCs w:val="21"/>
                      <w:highlight w:val="none"/>
                    </w:rPr>
                    <w:t>名称</w:t>
                  </w:r>
                </w:p>
              </w:tc>
              <w:tc>
                <w:tcPr>
                  <w:tcW w:w="3186" w:type="pct"/>
                  <w:noWrap w:val="0"/>
                  <w:vAlign w:val="center"/>
                </w:tcPr>
                <w:p w14:paraId="4DFC81D6">
                  <w:pPr>
                    <w:pStyle w:val="27"/>
                    <w:keepNext w:val="0"/>
                    <w:keepLines w:val="0"/>
                    <w:suppressLineNumbers w:val="0"/>
                    <w:bidi w:val="0"/>
                    <w:spacing w:before="0" w:beforeAutospacing="0" w:after="0" w:afterAutospacing="0"/>
                    <w:ind w:left="0" w:right="0"/>
                    <w:jc w:val="center"/>
                    <w:rPr>
                      <w:rFonts w:hint="default" w:eastAsia="宋体"/>
                      <w:b/>
                      <w:bCs/>
                      <w:color w:val="auto"/>
                      <w:sz w:val="21"/>
                      <w:szCs w:val="21"/>
                      <w:highlight w:val="none"/>
                      <w:lang w:val="en-US" w:eastAsia="zh-CN"/>
                    </w:rPr>
                  </w:pPr>
                  <w:r>
                    <w:rPr>
                      <w:b/>
                      <w:bCs/>
                      <w:color w:val="auto"/>
                      <w:sz w:val="21"/>
                      <w:szCs w:val="21"/>
                      <w:highlight w:val="none"/>
                    </w:rPr>
                    <w:t>工程建设内容</w:t>
                  </w:r>
                  <w:r>
                    <w:rPr>
                      <w:rFonts w:hint="eastAsia"/>
                      <w:b/>
                      <w:bCs/>
                      <w:color w:val="auto"/>
                      <w:sz w:val="21"/>
                      <w:szCs w:val="21"/>
                      <w:highlight w:val="none"/>
                      <w:lang w:val="en-US" w:eastAsia="zh-CN"/>
                    </w:rPr>
                    <w:t>及规模</w:t>
                  </w:r>
                </w:p>
              </w:tc>
              <w:tc>
                <w:tcPr>
                  <w:tcW w:w="812" w:type="pct"/>
                  <w:noWrap w:val="0"/>
                  <w:vAlign w:val="center"/>
                </w:tcPr>
                <w:p w14:paraId="27BE3E44">
                  <w:pPr>
                    <w:pStyle w:val="27"/>
                    <w:keepNext w:val="0"/>
                    <w:keepLines w:val="0"/>
                    <w:suppressLineNumbers w:val="0"/>
                    <w:bidi w:val="0"/>
                    <w:spacing w:before="0" w:beforeAutospacing="0" w:after="0" w:afterAutospacing="0"/>
                    <w:ind w:left="0" w:right="0"/>
                    <w:jc w:val="center"/>
                    <w:rPr>
                      <w:rFonts w:hint="eastAsia" w:eastAsia="宋体"/>
                      <w:b/>
                      <w:bCs/>
                      <w:color w:val="auto"/>
                      <w:sz w:val="21"/>
                      <w:szCs w:val="21"/>
                      <w:highlight w:val="none"/>
                      <w:lang w:eastAsia="zh-CN"/>
                    </w:rPr>
                  </w:pPr>
                  <w:r>
                    <w:rPr>
                      <w:rFonts w:hint="eastAsia"/>
                      <w:b/>
                      <w:bCs/>
                      <w:color w:val="auto"/>
                      <w:sz w:val="21"/>
                      <w:szCs w:val="21"/>
                      <w:highlight w:val="none"/>
                      <w:lang w:val="en-US" w:eastAsia="zh-CN"/>
                    </w:rPr>
                    <w:t>备注</w:t>
                  </w:r>
                </w:p>
              </w:tc>
            </w:tr>
            <w:tr w14:paraId="6835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restart"/>
                  <w:noWrap w:val="0"/>
                  <w:vAlign w:val="center"/>
                </w:tcPr>
                <w:p w14:paraId="7C4F1825">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主体</w:t>
                  </w:r>
                </w:p>
                <w:p w14:paraId="02DC396E">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工程</w:t>
                  </w:r>
                </w:p>
              </w:tc>
              <w:tc>
                <w:tcPr>
                  <w:tcW w:w="544" w:type="pct"/>
                  <w:noWrap w:val="0"/>
                  <w:vAlign w:val="center"/>
                </w:tcPr>
                <w:p w14:paraId="400CD704">
                  <w:pPr>
                    <w:pStyle w:val="27"/>
                    <w:keepNext w:val="0"/>
                    <w:keepLines w:val="0"/>
                    <w:suppressLineNumbers w:val="0"/>
                    <w:bidi w:val="0"/>
                    <w:spacing w:before="0" w:beforeAutospacing="0" w:after="0" w:afterAutospacing="0"/>
                    <w:ind w:left="0" w:right="0"/>
                    <w:jc w:val="center"/>
                    <w:rPr>
                      <w:b/>
                      <w:bCs/>
                      <w:color w:val="auto"/>
                      <w:sz w:val="21"/>
                      <w:szCs w:val="21"/>
                      <w:highlight w:val="none"/>
                    </w:rPr>
                  </w:pPr>
                  <w:r>
                    <w:rPr>
                      <w:rFonts w:ascii="宋体" w:hAnsi="宋体"/>
                      <w:color w:val="auto"/>
                      <w:sz w:val="21"/>
                      <w:szCs w:val="21"/>
                      <w:highlight w:val="none"/>
                    </w:rPr>
                    <w:t>离子色谱室</w:t>
                  </w:r>
                </w:p>
              </w:tc>
              <w:tc>
                <w:tcPr>
                  <w:tcW w:w="3186" w:type="pct"/>
                  <w:noWrap w:val="0"/>
                  <w:vAlign w:val="center"/>
                </w:tcPr>
                <w:p w14:paraId="3F02B873">
                  <w:pPr>
                    <w:pStyle w:val="27"/>
                    <w:keepNext w:val="0"/>
                    <w:keepLines w:val="0"/>
                    <w:suppressLineNumbers w:val="0"/>
                    <w:bidi w:val="0"/>
                    <w:spacing w:before="0" w:beforeAutospacing="0" w:after="0" w:afterAutospacing="0"/>
                    <w:ind w:left="0" w:right="0"/>
                    <w:jc w:val="both"/>
                    <w:rPr>
                      <w:rFonts w:hint="eastAsia" w:eastAsia="宋体"/>
                      <w:b/>
                      <w:bCs/>
                      <w:color w:val="auto"/>
                      <w:sz w:val="21"/>
                      <w:szCs w:val="21"/>
                      <w:highlight w:val="none"/>
                      <w:vertAlign w:val="baseline"/>
                      <w:lang w:val="en-US" w:eastAsia="zh-CN"/>
                    </w:rPr>
                  </w:pPr>
                  <w:r>
                    <w:rPr>
                      <w:rFonts w:hint="eastAsia"/>
                      <w:b w:val="0"/>
                      <w:bCs w:val="0"/>
                      <w:color w:val="auto"/>
                      <w:sz w:val="21"/>
                      <w:szCs w:val="21"/>
                      <w:highlight w:val="none"/>
                      <w:lang w:val="en-US" w:eastAsia="zh-CN"/>
                    </w:rPr>
                    <w:t>位于楼层中部，建筑面积12</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b w:val="0"/>
                      <w:bCs w:val="0"/>
                      <w:color w:val="auto"/>
                      <w:sz w:val="21"/>
                      <w:szCs w:val="21"/>
                      <w:highlight w:val="none"/>
                      <w:vertAlign w:val="baseline"/>
                      <w:lang w:val="en-US" w:eastAsia="zh-CN"/>
                    </w:rPr>
                    <w:t>布设</w:t>
                  </w:r>
                  <w:r>
                    <w:rPr>
                      <w:rFonts w:hint="eastAsia"/>
                      <w:b w:val="0"/>
                      <w:bCs w:val="0"/>
                      <w:color w:val="auto"/>
                      <w:sz w:val="21"/>
                      <w:szCs w:val="21"/>
                      <w:highlight w:val="none"/>
                    </w:rPr>
                    <w:t>离子色谱仪</w:t>
                  </w:r>
                  <w:r>
                    <w:rPr>
                      <w:rFonts w:hint="eastAsia"/>
                      <w:b w:val="0"/>
                      <w:bCs w:val="0"/>
                      <w:color w:val="auto"/>
                      <w:sz w:val="21"/>
                      <w:szCs w:val="21"/>
                      <w:highlight w:val="none"/>
                      <w:lang w:eastAsia="zh-CN"/>
                    </w:rPr>
                    <w:t>，</w:t>
                  </w:r>
                  <w:r>
                    <w:rPr>
                      <w:color w:val="auto"/>
                      <w:sz w:val="21"/>
                      <w:szCs w:val="21"/>
                      <w:highlight w:val="none"/>
                    </w:rPr>
                    <w:t>主要进行</w:t>
                  </w:r>
                  <w:r>
                    <w:rPr>
                      <w:rFonts w:hint="eastAsia"/>
                      <w:color w:val="auto"/>
                      <w:sz w:val="21"/>
                      <w:szCs w:val="21"/>
                      <w:highlight w:val="none"/>
                      <w:lang w:val="en-US" w:eastAsia="zh-CN"/>
                    </w:rPr>
                    <w:t>离子分析</w:t>
                  </w:r>
                  <w:r>
                    <w:rPr>
                      <w:color w:val="auto"/>
                      <w:sz w:val="21"/>
                      <w:szCs w:val="21"/>
                      <w:highlight w:val="none"/>
                    </w:rPr>
                    <w:t>实验</w:t>
                  </w:r>
                  <w:r>
                    <w:rPr>
                      <w:rFonts w:hint="eastAsia"/>
                      <w:color w:val="auto"/>
                      <w:sz w:val="21"/>
                      <w:szCs w:val="21"/>
                      <w:highlight w:val="none"/>
                      <w:lang w:eastAsia="zh-CN"/>
                    </w:rPr>
                    <w:t>。</w:t>
                  </w:r>
                </w:p>
              </w:tc>
              <w:tc>
                <w:tcPr>
                  <w:tcW w:w="812" w:type="pct"/>
                  <w:vMerge w:val="restart"/>
                  <w:noWrap w:val="0"/>
                  <w:vAlign w:val="center"/>
                </w:tcPr>
                <w:p w14:paraId="1D3EC83A">
                  <w:pPr>
                    <w:pStyle w:val="27"/>
                    <w:keepNext w:val="0"/>
                    <w:keepLines w:val="0"/>
                    <w:suppressLineNumbers w:val="0"/>
                    <w:bidi w:val="0"/>
                    <w:spacing w:before="0" w:beforeAutospacing="0" w:after="0" w:afterAutospacing="0"/>
                    <w:ind w:left="0" w:right="0"/>
                    <w:jc w:val="center"/>
                    <w:rPr>
                      <w:rFonts w:hint="default"/>
                      <w:b/>
                      <w:bCs/>
                      <w:color w:val="auto"/>
                      <w:sz w:val="21"/>
                      <w:szCs w:val="21"/>
                      <w:highlight w:val="none"/>
                      <w:lang w:val="en-US" w:eastAsia="zh-CN"/>
                    </w:rPr>
                  </w:pPr>
                  <w:r>
                    <w:rPr>
                      <w:rFonts w:hint="eastAsia"/>
                      <w:color w:val="auto"/>
                      <w:sz w:val="21"/>
                      <w:szCs w:val="21"/>
                      <w:highlight w:val="none"/>
                      <w:lang w:val="en-US" w:eastAsia="zh-CN"/>
                    </w:rPr>
                    <w:t>租赁办公楼内部划分调整</w:t>
                  </w:r>
                </w:p>
              </w:tc>
            </w:tr>
            <w:tr w14:paraId="1ECC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2AAF2FBE">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1D3205D2">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ascii="宋体" w:hAnsi="宋体"/>
                      <w:color w:val="auto"/>
                      <w:sz w:val="21"/>
                      <w:szCs w:val="21"/>
                      <w:highlight w:val="none"/>
                    </w:rPr>
                    <w:t>天平室</w:t>
                  </w:r>
                </w:p>
              </w:tc>
              <w:tc>
                <w:tcPr>
                  <w:tcW w:w="3186" w:type="pct"/>
                  <w:noWrap w:val="0"/>
                  <w:vAlign w:val="center"/>
                </w:tcPr>
                <w:p w14:paraId="68D77090">
                  <w:pPr>
                    <w:pStyle w:val="27"/>
                    <w:keepNext w:val="0"/>
                    <w:keepLines w:val="0"/>
                    <w:suppressLineNumbers w:val="0"/>
                    <w:bidi w:val="0"/>
                    <w:spacing w:before="0" w:beforeAutospacing="0" w:after="0" w:afterAutospacing="0"/>
                    <w:ind w:left="0" w:right="0"/>
                    <w:jc w:val="both"/>
                    <w:rPr>
                      <w:rFonts w:hint="eastAsia"/>
                      <w:color w:val="auto"/>
                      <w:sz w:val="21"/>
                      <w:szCs w:val="21"/>
                      <w:highlight w:val="none"/>
                    </w:rPr>
                  </w:pPr>
                  <w:r>
                    <w:rPr>
                      <w:rFonts w:hint="eastAsia"/>
                      <w:b w:val="0"/>
                      <w:bCs w:val="0"/>
                      <w:color w:val="auto"/>
                      <w:sz w:val="21"/>
                      <w:szCs w:val="21"/>
                      <w:highlight w:val="none"/>
                      <w:lang w:val="en-US" w:eastAsia="zh-CN"/>
                    </w:rPr>
                    <w:t>位于楼层南部（嗅辨室北</w:t>
                  </w:r>
                  <w:r>
                    <w:rPr>
                      <w:rFonts w:hint="eastAsia" w:ascii="宋体" w:hAnsi="宋体"/>
                      <w:color w:val="auto"/>
                      <w:sz w:val="21"/>
                      <w:szCs w:val="21"/>
                      <w:highlight w:val="none"/>
                      <w:lang w:val="en-US" w:eastAsia="zh-CN"/>
                    </w:rPr>
                    <w:t>侧</w:t>
                  </w:r>
                  <w:r>
                    <w:rPr>
                      <w:rFonts w:hint="eastAsia"/>
                      <w:b w:val="0"/>
                      <w:bCs w:val="0"/>
                      <w:color w:val="auto"/>
                      <w:sz w:val="21"/>
                      <w:szCs w:val="21"/>
                      <w:highlight w:val="none"/>
                      <w:lang w:val="en-US" w:eastAsia="zh-CN"/>
                    </w:rPr>
                    <w:t>），建筑面积12</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布设</w:t>
                  </w:r>
                  <w:r>
                    <w:rPr>
                      <w:rFonts w:hint="eastAsia"/>
                      <w:color w:val="auto"/>
                      <w:sz w:val="21"/>
                      <w:szCs w:val="21"/>
                      <w:highlight w:val="none"/>
                    </w:rPr>
                    <w:t>电子分析天平</w:t>
                  </w:r>
                  <w:r>
                    <w:rPr>
                      <w:rFonts w:hint="eastAsia"/>
                      <w:color w:val="auto"/>
                      <w:sz w:val="21"/>
                      <w:szCs w:val="21"/>
                      <w:highlight w:val="none"/>
                      <w:lang w:val="en-US" w:eastAsia="zh-CN"/>
                    </w:rPr>
                    <w:t>3台，</w:t>
                  </w:r>
                  <w:r>
                    <w:rPr>
                      <w:rFonts w:hint="eastAsia"/>
                      <w:color w:val="auto"/>
                      <w:sz w:val="21"/>
                      <w:szCs w:val="21"/>
                      <w:highlight w:val="none"/>
                      <w:vertAlign w:val="baseline"/>
                      <w:lang w:eastAsia="zh-CN"/>
                    </w:rPr>
                    <w:t>主要用于实验样品的称量、定性分析。</w:t>
                  </w:r>
                </w:p>
              </w:tc>
              <w:tc>
                <w:tcPr>
                  <w:tcW w:w="812" w:type="pct"/>
                  <w:vMerge w:val="continue"/>
                  <w:noWrap w:val="0"/>
                  <w:vAlign w:val="center"/>
                </w:tcPr>
                <w:p w14:paraId="6357A7DC">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p>
              </w:tc>
            </w:tr>
            <w:tr w14:paraId="40DB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56" w:type="pct"/>
                  <w:vMerge w:val="continue"/>
                  <w:noWrap w:val="0"/>
                  <w:vAlign w:val="center"/>
                </w:tcPr>
                <w:p w14:paraId="2EB06F9F">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73F2A1D9">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ascii="宋体" w:hAnsi="宋体"/>
                      <w:color w:val="auto"/>
                      <w:sz w:val="21"/>
                      <w:szCs w:val="21"/>
                      <w:highlight w:val="none"/>
                      <w:lang w:val="en-US" w:eastAsia="zh-CN"/>
                    </w:rPr>
                    <w:t>无机</w:t>
                  </w:r>
                  <w:r>
                    <w:rPr>
                      <w:rFonts w:ascii="宋体" w:hAnsi="宋体"/>
                      <w:color w:val="auto"/>
                      <w:sz w:val="21"/>
                      <w:szCs w:val="21"/>
                      <w:highlight w:val="none"/>
                    </w:rPr>
                    <w:t>前处理室</w:t>
                  </w:r>
                </w:p>
              </w:tc>
              <w:tc>
                <w:tcPr>
                  <w:tcW w:w="3186" w:type="pct"/>
                  <w:noWrap w:val="0"/>
                  <w:vAlign w:val="center"/>
                </w:tcPr>
                <w:p w14:paraId="34B418FC">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b w:val="0"/>
                      <w:bCs w:val="0"/>
                      <w:color w:val="auto"/>
                      <w:sz w:val="21"/>
                      <w:szCs w:val="21"/>
                      <w:highlight w:val="none"/>
                      <w:lang w:val="en-US" w:eastAsia="zh-CN"/>
                    </w:rPr>
                    <w:t>位于楼层东侧，建筑面积25</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布设</w:t>
                  </w:r>
                  <w:r>
                    <w:rPr>
                      <w:rFonts w:hint="eastAsia"/>
                      <w:color w:val="auto"/>
                      <w:sz w:val="21"/>
                      <w:szCs w:val="21"/>
                      <w:highlight w:val="none"/>
                      <w:lang w:val="en-US" w:eastAsia="zh-CN"/>
                    </w:rPr>
                    <w:t>微波消解仪等设备，</w:t>
                  </w:r>
                  <w:r>
                    <w:rPr>
                      <w:rFonts w:hint="eastAsia"/>
                      <w:color w:val="auto"/>
                      <w:sz w:val="21"/>
                      <w:szCs w:val="21"/>
                      <w:highlight w:val="none"/>
                      <w:vertAlign w:val="baseline"/>
                      <w:lang w:eastAsia="zh-CN"/>
                    </w:rPr>
                    <w:t>以酸、碱、盐等无机试剂处理对样品进行前处理消解，一般主要进行加热、消煮、蒸馏、滴定等操作</w:t>
                  </w:r>
                </w:p>
              </w:tc>
              <w:tc>
                <w:tcPr>
                  <w:tcW w:w="812" w:type="pct"/>
                  <w:vMerge w:val="continue"/>
                  <w:noWrap w:val="0"/>
                  <w:vAlign w:val="center"/>
                </w:tcPr>
                <w:p w14:paraId="7A496D02">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0339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6" w:type="pct"/>
                  <w:vMerge w:val="continue"/>
                  <w:noWrap w:val="0"/>
                  <w:vAlign w:val="center"/>
                </w:tcPr>
                <w:p w14:paraId="54A2748E">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5D22750C">
                  <w:pPr>
                    <w:pStyle w:val="27"/>
                    <w:keepNext w:val="0"/>
                    <w:keepLines w:val="0"/>
                    <w:suppressLineNumbers w:val="0"/>
                    <w:bidi w:val="0"/>
                    <w:spacing w:before="0" w:beforeAutospacing="0" w:after="0" w:afterAutospacing="0"/>
                    <w:ind w:left="0" w:right="0"/>
                    <w:jc w:val="cente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分析</w:t>
                  </w:r>
                  <w:r>
                    <w:rPr>
                      <w:rFonts w:ascii="宋体" w:hAnsi="宋体"/>
                      <w:color w:val="auto"/>
                      <w:sz w:val="21"/>
                      <w:szCs w:val="21"/>
                      <w:highlight w:val="none"/>
                    </w:rPr>
                    <w:t>室</w:t>
                  </w:r>
                </w:p>
              </w:tc>
              <w:tc>
                <w:tcPr>
                  <w:tcW w:w="3186" w:type="pct"/>
                  <w:noWrap w:val="0"/>
                  <w:vAlign w:val="center"/>
                </w:tcPr>
                <w:p w14:paraId="3455FE44">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b w:val="0"/>
                      <w:bCs w:val="0"/>
                      <w:color w:val="auto"/>
                      <w:sz w:val="21"/>
                      <w:szCs w:val="21"/>
                      <w:highlight w:val="none"/>
                      <w:lang w:val="en-US" w:eastAsia="zh-CN"/>
                    </w:rPr>
                    <w:t>位于楼层中部，共计有7间分析室，其中分析室一面积35</w:t>
                  </w:r>
                  <w:r>
                    <w:rPr>
                      <w:color w:val="auto"/>
                      <w:sz w:val="21"/>
                      <w:szCs w:val="21"/>
                      <w:highlight w:val="none"/>
                    </w:rPr>
                    <w:t>m</w:t>
                  </w:r>
                  <w:r>
                    <w:rPr>
                      <w:color w:val="auto"/>
                      <w:sz w:val="21"/>
                      <w:szCs w:val="21"/>
                      <w:highlight w:val="none"/>
                      <w:vertAlign w:val="superscript"/>
                    </w:rPr>
                    <w:t>2</w:t>
                  </w:r>
                  <w:r>
                    <w:rPr>
                      <w:rFonts w:hint="eastAsia"/>
                      <w:b w:val="0"/>
                      <w:bCs w:val="0"/>
                      <w:color w:val="auto"/>
                      <w:sz w:val="21"/>
                      <w:szCs w:val="21"/>
                      <w:highlight w:val="none"/>
                      <w:lang w:val="en-US" w:eastAsia="zh-CN"/>
                    </w:rPr>
                    <w:t>、分析室二面积20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b w:val="0"/>
                      <w:bCs w:val="0"/>
                      <w:color w:val="auto"/>
                      <w:sz w:val="21"/>
                      <w:szCs w:val="21"/>
                      <w:highlight w:val="none"/>
                      <w:lang w:val="en-US" w:eastAsia="zh-CN"/>
                    </w:rPr>
                    <w:t>分析室三面积20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b w:val="0"/>
                      <w:bCs w:val="0"/>
                      <w:color w:val="auto"/>
                      <w:sz w:val="21"/>
                      <w:szCs w:val="21"/>
                      <w:highlight w:val="none"/>
                      <w:lang w:val="en-US" w:eastAsia="zh-CN"/>
                    </w:rPr>
                    <w:t>分析室四、五面积12</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b w:val="0"/>
                      <w:bCs w:val="0"/>
                      <w:color w:val="auto"/>
                      <w:sz w:val="21"/>
                      <w:szCs w:val="21"/>
                      <w:highlight w:val="none"/>
                      <w:lang w:val="en-US" w:eastAsia="zh-CN"/>
                    </w:rPr>
                    <w:t>分析室六、七面积12</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布设</w:t>
                  </w:r>
                  <w:r>
                    <w:rPr>
                      <w:rFonts w:hint="eastAsia"/>
                      <w:color w:val="auto"/>
                      <w:sz w:val="21"/>
                      <w:szCs w:val="21"/>
                      <w:highlight w:val="none"/>
                      <w:lang w:val="en-US" w:eastAsia="zh-CN"/>
                    </w:rPr>
                    <w:t>电导率仪、pH计等，主要进行理化试验。</w:t>
                  </w:r>
                </w:p>
              </w:tc>
              <w:tc>
                <w:tcPr>
                  <w:tcW w:w="812" w:type="pct"/>
                  <w:vMerge w:val="continue"/>
                  <w:noWrap w:val="0"/>
                  <w:vAlign w:val="center"/>
                </w:tcPr>
                <w:p w14:paraId="2A46DEE1">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156C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6" w:type="pct"/>
                  <w:vMerge w:val="continue"/>
                  <w:noWrap w:val="0"/>
                  <w:vAlign w:val="center"/>
                </w:tcPr>
                <w:p w14:paraId="7D0D92C5">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45CF9CB7">
                  <w:pPr>
                    <w:pStyle w:val="27"/>
                    <w:keepNext w:val="0"/>
                    <w:keepLines w:val="0"/>
                    <w:suppressLineNumbers w:val="0"/>
                    <w:bidi w:val="0"/>
                    <w:spacing w:before="0" w:beforeAutospacing="0" w:after="0" w:afterAutospacing="0"/>
                    <w:ind w:left="0" w:right="0"/>
                    <w:jc w:val="center"/>
                    <w:rPr>
                      <w:rFonts w:ascii="宋体" w:hAnsi="宋体"/>
                      <w:color w:val="auto"/>
                      <w:sz w:val="21"/>
                      <w:szCs w:val="21"/>
                      <w:highlight w:val="none"/>
                    </w:rPr>
                  </w:pPr>
                  <w:r>
                    <w:rPr>
                      <w:rFonts w:ascii="宋体" w:hAnsi="宋体"/>
                      <w:color w:val="auto"/>
                      <w:sz w:val="21"/>
                      <w:szCs w:val="21"/>
                      <w:highlight w:val="none"/>
                    </w:rPr>
                    <w:t>生物室</w:t>
                  </w:r>
                </w:p>
              </w:tc>
              <w:tc>
                <w:tcPr>
                  <w:tcW w:w="3186" w:type="pct"/>
                  <w:noWrap w:val="0"/>
                  <w:vAlign w:val="center"/>
                </w:tcPr>
                <w:p w14:paraId="2103CB88">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b w:val="0"/>
                      <w:bCs w:val="0"/>
                      <w:color w:val="auto"/>
                      <w:sz w:val="21"/>
                      <w:szCs w:val="21"/>
                      <w:highlight w:val="none"/>
                      <w:lang w:val="en-US" w:eastAsia="zh-CN"/>
                    </w:rPr>
                    <w:t>位于楼层东北角，建筑面积12</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布设</w:t>
                  </w:r>
                  <w:r>
                    <w:rPr>
                      <w:rFonts w:hint="eastAsia"/>
                      <w:color w:val="auto"/>
                      <w:sz w:val="21"/>
                      <w:szCs w:val="21"/>
                      <w:highlight w:val="none"/>
                    </w:rPr>
                    <w:t>生物显微镜</w:t>
                  </w:r>
                  <w:r>
                    <w:rPr>
                      <w:rFonts w:hint="eastAsia"/>
                      <w:color w:val="auto"/>
                      <w:sz w:val="21"/>
                      <w:szCs w:val="21"/>
                      <w:highlight w:val="none"/>
                      <w:lang w:eastAsia="zh-CN"/>
                    </w:rPr>
                    <w:t>，</w:t>
                  </w:r>
                  <w:r>
                    <w:rPr>
                      <w:rFonts w:hint="eastAsia"/>
                      <w:color w:val="auto"/>
                      <w:sz w:val="21"/>
                      <w:szCs w:val="21"/>
                      <w:highlight w:val="none"/>
                      <w:lang w:val="en-US" w:eastAsia="zh-CN"/>
                    </w:rPr>
                    <w:t>进行微生物检测</w:t>
                  </w:r>
                </w:p>
              </w:tc>
              <w:tc>
                <w:tcPr>
                  <w:tcW w:w="812" w:type="pct"/>
                  <w:vMerge w:val="continue"/>
                  <w:noWrap w:val="0"/>
                  <w:vAlign w:val="center"/>
                </w:tcPr>
                <w:p w14:paraId="738C4C45">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0345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456" w:type="pct"/>
                  <w:vMerge w:val="continue"/>
                  <w:noWrap w:val="0"/>
                  <w:vAlign w:val="center"/>
                </w:tcPr>
                <w:p w14:paraId="5BD1DE24">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14A7E3E2">
                  <w:pPr>
                    <w:pStyle w:val="27"/>
                    <w:keepNext w:val="0"/>
                    <w:keepLines w:val="0"/>
                    <w:suppressLineNumbers w:val="0"/>
                    <w:bidi w:val="0"/>
                    <w:spacing w:before="0" w:beforeAutospacing="0" w:after="0" w:afterAutospacing="0"/>
                    <w:ind w:left="0" w:right="0"/>
                    <w:jc w:val="center"/>
                    <w:rPr>
                      <w:rFonts w:ascii="宋体" w:hAnsi="宋体"/>
                      <w:color w:val="auto"/>
                      <w:sz w:val="21"/>
                      <w:szCs w:val="21"/>
                      <w:highlight w:val="none"/>
                    </w:rPr>
                  </w:pPr>
                  <w:r>
                    <w:rPr>
                      <w:rFonts w:hint="eastAsia" w:ascii="宋体" w:hAnsi="宋体"/>
                      <w:color w:val="auto"/>
                      <w:sz w:val="21"/>
                      <w:szCs w:val="21"/>
                      <w:highlight w:val="none"/>
                      <w:lang w:val="en-US" w:eastAsia="zh-CN"/>
                    </w:rPr>
                    <w:t>有机</w:t>
                  </w:r>
                  <w:r>
                    <w:rPr>
                      <w:rFonts w:ascii="宋体" w:hAnsi="宋体"/>
                      <w:color w:val="auto"/>
                      <w:sz w:val="21"/>
                      <w:szCs w:val="21"/>
                      <w:highlight w:val="none"/>
                    </w:rPr>
                    <w:t>前处理室</w:t>
                  </w:r>
                </w:p>
              </w:tc>
              <w:tc>
                <w:tcPr>
                  <w:tcW w:w="3186" w:type="pct"/>
                  <w:noWrap w:val="0"/>
                  <w:vAlign w:val="center"/>
                </w:tcPr>
                <w:p w14:paraId="2CBAB46E">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b w:val="0"/>
                      <w:bCs w:val="0"/>
                      <w:color w:val="auto"/>
                      <w:sz w:val="21"/>
                      <w:szCs w:val="21"/>
                      <w:highlight w:val="none"/>
                      <w:lang w:val="en-US" w:eastAsia="zh-CN"/>
                    </w:rPr>
                    <w:t>位于楼层东部，建筑面积18</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进行样品有机检测</w:t>
                  </w:r>
                </w:p>
              </w:tc>
              <w:tc>
                <w:tcPr>
                  <w:tcW w:w="812" w:type="pct"/>
                  <w:vMerge w:val="continue"/>
                  <w:noWrap w:val="0"/>
                  <w:vAlign w:val="center"/>
                </w:tcPr>
                <w:p w14:paraId="5BE27B8F">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13FD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6" w:type="pct"/>
                  <w:vMerge w:val="continue"/>
                  <w:noWrap w:val="0"/>
                  <w:vAlign w:val="center"/>
                </w:tcPr>
                <w:p w14:paraId="785C5323">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525FA1C0">
                  <w:pPr>
                    <w:pStyle w:val="27"/>
                    <w:keepNext w:val="0"/>
                    <w:keepLines w:val="0"/>
                    <w:suppressLineNumbers w:val="0"/>
                    <w:bidi w:val="0"/>
                    <w:spacing w:before="0" w:beforeAutospacing="0" w:after="0" w:afterAutospacing="0"/>
                    <w:ind w:left="0" w:right="0"/>
                    <w:jc w:val="center"/>
                    <w:rPr>
                      <w:rFonts w:hint="eastAsia" w:ascii="宋体" w:hAnsi="宋体"/>
                      <w:color w:val="auto"/>
                      <w:sz w:val="21"/>
                      <w:szCs w:val="21"/>
                      <w:highlight w:val="none"/>
                      <w:lang w:val="en-US" w:eastAsia="zh-CN"/>
                    </w:rPr>
                  </w:pPr>
                  <w:r>
                    <w:rPr>
                      <w:rFonts w:ascii="宋体" w:hAnsi="宋体"/>
                      <w:color w:val="auto"/>
                      <w:sz w:val="21"/>
                      <w:szCs w:val="21"/>
                      <w:highlight w:val="none"/>
                    </w:rPr>
                    <w:t>生物</w:t>
                  </w:r>
                  <w:r>
                    <w:rPr>
                      <w:rFonts w:hint="eastAsia" w:ascii="宋体" w:hAnsi="宋体"/>
                      <w:color w:val="auto"/>
                      <w:sz w:val="21"/>
                      <w:szCs w:val="21"/>
                      <w:highlight w:val="none"/>
                      <w:lang w:val="en-US" w:eastAsia="zh-CN"/>
                    </w:rPr>
                    <w:t>准备</w:t>
                  </w:r>
                  <w:r>
                    <w:rPr>
                      <w:rFonts w:ascii="宋体" w:hAnsi="宋体"/>
                      <w:color w:val="auto"/>
                      <w:sz w:val="21"/>
                      <w:szCs w:val="21"/>
                      <w:highlight w:val="none"/>
                    </w:rPr>
                    <w:t>室</w:t>
                  </w:r>
                </w:p>
              </w:tc>
              <w:tc>
                <w:tcPr>
                  <w:tcW w:w="3186" w:type="pct"/>
                  <w:noWrap w:val="0"/>
                  <w:vAlign w:val="center"/>
                </w:tcPr>
                <w:p w14:paraId="56DF1062">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b w:val="0"/>
                      <w:bCs w:val="0"/>
                      <w:color w:val="auto"/>
                      <w:sz w:val="21"/>
                      <w:szCs w:val="21"/>
                      <w:highlight w:val="none"/>
                      <w:lang w:val="en-US" w:eastAsia="zh-CN"/>
                    </w:rPr>
                    <w:t>位于楼层东北部（</w:t>
                  </w:r>
                  <w:r>
                    <w:rPr>
                      <w:rFonts w:hint="eastAsia" w:ascii="宋体" w:hAnsi="宋体"/>
                      <w:color w:val="auto"/>
                      <w:sz w:val="21"/>
                      <w:szCs w:val="21"/>
                      <w:highlight w:val="none"/>
                      <w:lang w:val="en-US" w:eastAsia="zh-CN"/>
                    </w:rPr>
                    <w:t>生物室南侧</w:t>
                  </w:r>
                  <w:r>
                    <w:rPr>
                      <w:rFonts w:hint="eastAsia"/>
                      <w:b w:val="0"/>
                      <w:bCs w:val="0"/>
                      <w:color w:val="auto"/>
                      <w:sz w:val="21"/>
                      <w:szCs w:val="21"/>
                      <w:highlight w:val="none"/>
                      <w:lang w:val="en-US" w:eastAsia="zh-CN"/>
                    </w:rPr>
                    <w:t>），建筑面积16</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布设</w:t>
                  </w:r>
                  <w:r>
                    <w:rPr>
                      <w:rFonts w:hint="eastAsia"/>
                      <w:color w:val="auto"/>
                      <w:sz w:val="21"/>
                      <w:szCs w:val="21"/>
                      <w:highlight w:val="none"/>
                    </w:rPr>
                    <w:t>霉菌培养箱</w:t>
                  </w:r>
                  <w:r>
                    <w:rPr>
                      <w:rFonts w:hint="eastAsia"/>
                      <w:color w:val="auto"/>
                      <w:sz w:val="21"/>
                      <w:szCs w:val="21"/>
                      <w:highlight w:val="none"/>
                      <w:lang w:eastAsia="zh-CN"/>
                    </w:rPr>
                    <w:t>、生化培养箱</w:t>
                  </w:r>
                  <w:r>
                    <w:rPr>
                      <w:rFonts w:hint="eastAsia"/>
                      <w:color w:val="auto"/>
                      <w:sz w:val="21"/>
                      <w:szCs w:val="21"/>
                      <w:highlight w:val="none"/>
                      <w:lang w:val="en-US" w:eastAsia="zh-CN"/>
                    </w:rPr>
                    <w:t>等设备，进行培养皿培养。</w:t>
                  </w:r>
                </w:p>
              </w:tc>
              <w:tc>
                <w:tcPr>
                  <w:tcW w:w="812" w:type="pct"/>
                  <w:vMerge w:val="continue"/>
                  <w:noWrap w:val="0"/>
                  <w:vAlign w:val="center"/>
                </w:tcPr>
                <w:p w14:paraId="75D69A68">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56B2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1BE02002">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7661C2B0">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ascii="宋体" w:hAnsi="宋体"/>
                      <w:color w:val="auto"/>
                      <w:sz w:val="21"/>
                      <w:szCs w:val="21"/>
                      <w:highlight w:val="none"/>
                    </w:rPr>
                    <w:t>样品</w:t>
                  </w:r>
                  <w:r>
                    <w:rPr>
                      <w:rFonts w:hint="eastAsia" w:ascii="宋体" w:hAnsi="宋体"/>
                      <w:color w:val="auto"/>
                      <w:sz w:val="21"/>
                      <w:szCs w:val="21"/>
                      <w:highlight w:val="none"/>
                      <w:lang w:val="en-US" w:eastAsia="zh-CN"/>
                    </w:rPr>
                    <w:t>交接</w:t>
                  </w:r>
                  <w:r>
                    <w:rPr>
                      <w:rFonts w:ascii="宋体" w:hAnsi="宋体"/>
                      <w:color w:val="auto"/>
                      <w:sz w:val="21"/>
                      <w:szCs w:val="21"/>
                      <w:highlight w:val="none"/>
                    </w:rPr>
                    <w:t>室</w:t>
                  </w:r>
                </w:p>
              </w:tc>
              <w:tc>
                <w:tcPr>
                  <w:tcW w:w="3186" w:type="pct"/>
                  <w:noWrap w:val="0"/>
                  <w:vAlign w:val="center"/>
                </w:tcPr>
                <w:p w14:paraId="611B75E5">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b w:val="0"/>
                      <w:bCs w:val="0"/>
                      <w:color w:val="auto"/>
                      <w:sz w:val="21"/>
                      <w:szCs w:val="21"/>
                      <w:highlight w:val="none"/>
                      <w:lang w:val="en-US" w:eastAsia="zh-CN"/>
                    </w:rPr>
                    <w:t>位于楼层中部，建筑面积10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r>
                    <w:rPr>
                      <w:color w:val="auto"/>
                      <w:sz w:val="21"/>
                      <w:szCs w:val="21"/>
                      <w:highlight w:val="none"/>
                    </w:rPr>
                    <w:t>内置包括冰箱、货架等</w:t>
                  </w:r>
                  <w:r>
                    <w:rPr>
                      <w:rFonts w:hint="eastAsia"/>
                      <w:color w:val="auto"/>
                      <w:sz w:val="21"/>
                      <w:szCs w:val="21"/>
                      <w:highlight w:val="none"/>
                      <w:lang w:eastAsia="zh-CN"/>
                    </w:rPr>
                    <w:t>，</w:t>
                  </w:r>
                  <w:r>
                    <w:rPr>
                      <w:rFonts w:hint="eastAsia"/>
                      <w:color w:val="auto"/>
                      <w:sz w:val="21"/>
                      <w:szCs w:val="21"/>
                      <w:highlight w:val="none"/>
                      <w:lang w:val="en-US" w:eastAsia="zh-CN"/>
                    </w:rPr>
                    <w:t>进行样品存放。</w:t>
                  </w:r>
                </w:p>
              </w:tc>
              <w:tc>
                <w:tcPr>
                  <w:tcW w:w="812" w:type="pct"/>
                  <w:vMerge w:val="continue"/>
                  <w:noWrap w:val="0"/>
                  <w:vAlign w:val="center"/>
                </w:tcPr>
                <w:p w14:paraId="6EDAD6C3">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p>
              </w:tc>
            </w:tr>
            <w:tr w14:paraId="5FB7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570E3A83">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0FC10967">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土壤风干室</w:t>
                  </w:r>
                </w:p>
              </w:tc>
              <w:tc>
                <w:tcPr>
                  <w:tcW w:w="3186" w:type="pct"/>
                  <w:noWrap w:val="0"/>
                  <w:vAlign w:val="center"/>
                </w:tcPr>
                <w:p w14:paraId="7B0D5E1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西侧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10</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ascii="Times New Roman" w:hAnsi="Times New Roman" w:eastAsia="宋体" w:cs="Times New Roman"/>
                      <w:color w:val="auto"/>
                      <w:kern w:val="2"/>
                      <w:sz w:val="21"/>
                      <w:szCs w:val="21"/>
                      <w:highlight w:val="none"/>
                      <w:vertAlign w:val="baseline"/>
                      <w:lang w:val="en-US" w:eastAsia="zh-CN" w:bidi="ar-SA"/>
                    </w:rPr>
                    <w:t>土壤干燥箱</w:t>
                  </w:r>
                  <w:r>
                    <w:rPr>
                      <w:rFonts w:hint="eastAsia" w:cs="Times New Roman"/>
                      <w:color w:val="auto"/>
                      <w:kern w:val="2"/>
                      <w:sz w:val="21"/>
                      <w:szCs w:val="21"/>
                      <w:highlight w:val="none"/>
                      <w:vertAlign w:val="baseline"/>
                      <w:lang w:val="en-US" w:eastAsia="zh-CN" w:bidi="ar-SA"/>
                    </w:rPr>
                    <w:t>，</w:t>
                  </w:r>
                  <w:r>
                    <w:rPr>
                      <w:rFonts w:hint="default"/>
                      <w:color w:val="auto"/>
                      <w:sz w:val="21"/>
                      <w:szCs w:val="21"/>
                      <w:highlight w:val="none"/>
                    </w:rPr>
                    <w:t>主要进行土壤风干</w:t>
                  </w:r>
                  <w:r>
                    <w:rPr>
                      <w:rFonts w:hint="eastAsia"/>
                      <w:color w:val="auto"/>
                      <w:sz w:val="21"/>
                      <w:szCs w:val="21"/>
                      <w:highlight w:val="none"/>
                      <w:lang w:eastAsia="zh-CN"/>
                    </w:rPr>
                    <w:t>。</w:t>
                  </w:r>
                </w:p>
              </w:tc>
              <w:tc>
                <w:tcPr>
                  <w:tcW w:w="812" w:type="pct"/>
                  <w:vMerge w:val="continue"/>
                  <w:noWrap w:val="0"/>
                  <w:vAlign w:val="center"/>
                </w:tcPr>
                <w:p w14:paraId="0E9B773A">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7211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381EC0D1">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0ADA8609">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土壤制备室</w:t>
                  </w:r>
                </w:p>
              </w:tc>
              <w:tc>
                <w:tcPr>
                  <w:tcW w:w="3186" w:type="pct"/>
                  <w:noWrap w:val="0"/>
                  <w:vAlign w:val="center"/>
                </w:tcPr>
                <w:p w14:paraId="2D1F635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西侧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10</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ascii="Times New Roman" w:hAnsi="Times New Roman" w:eastAsia="宋体" w:cs="Times New Roman"/>
                      <w:color w:val="auto"/>
                      <w:kern w:val="2"/>
                      <w:sz w:val="21"/>
                      <w:szCs w:val="21"/>
                      <w:highlight w:val="none"/>
                      <w:vertAlign w:val="baseline"/>
                      <w:lang w:val="en-US" w:eastAsia="zh-CN" w:bidi="ar-SA"/>
                    </w:rPr>
                    <w:t>土壤研磨仪</w:t>
                  </w:r>
                  <w:r>
                    <w:rPr>
                      <w:rFonts w:hint="eastAsia" w:cs="Times New Roman"/>
                      <w:color w:val="auto"/>
                      <w:kern w:val="2"/>
                      <w:sz w:val="21"/>
                      <w:szCs w:val="21"/>
                      <w:highlight w:val="none"/>
                      <w:vertAlign w:val="baseline"/>
                      <w:lang w:val="en-US" w:eastAsia="zh-CN" w:bidi="ar-SA"/>
                    </w:rPr>
                    <w:t>等仪器，</w:t>
                  </w:r>
                  <w:r>
                    <w:rPr>
                      <w:rFonts w:hint="default"/>
                      <w:color w:val="auto"/>
                      <w:sz w:val="21"/>
                      <w:szCs w:val="21"/>
                      <w:highlight w:val="none"/>
                    </w:rPr>
                    <w:t>主要进行</w:t>
                  </w:r>
                  <w:r>
                    <w:rPr>
                      <w:rFonts w:hint="eastAsia"/>
                      <w:color w:val="auto"/>
                      <w:sz w:val="21"/>
                      <w:szCs w:val="21"/>
                      <w:highlight w:val="none"/>
                      <w:lang w:val="en-US" w:eastAsia="zh-CN"/>
                    </w:rPr>
                    <w:t>研磨。</w:t>
                  </w:r>
                </w:p>
              </w:tc>
              <w:tc>
                <w:tcPr>
                  <w:tcW w:w="812" w:type="pct"/>
                  <w:vMerge w:val="continue"/>
                  <w:noWrap w:val="0"/>
                  <w:vAlign w:val="center"/>
                </w:tcPr>
                <w:p w14:paraId="7AE8A01D">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3237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50638C49">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5F765644">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ascii="宋体" w:hAnsi="宋体"/>
                      <w:color w:val="auto"/>
                      <w:sz w:val="21"/>
                      <w:szCs w:val="21"/>
                      <w:highlight w:val="none"/>
                    </w:rPr>
                    <w:t>高温室</w:t>
                  </w:r>
                </w:p>
              </w:tc>
              <w:tc>
                <w:tcPr>
                  <w:tcW w:w="3186" w:type="pct"/>
                  <w:noWrap w:val="0"/>
                  <w:vAlign w:val="center"/>
                </w:tcPr>
                <w:p w14:paraId="789B7EDF">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eastAsia" w:eastAsia="宋体"/>
                      <w:color w:val="auto"/>
                      <w:sz w:val="21"/>
                      <w:szCs w:val="21"/>
                      <w:highlight w:val="none"/>
                      <w:lang w:eastAsia="zh-CN"/>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西侧</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eastAsia"/>
                      <w:color w:val="auto"/>
                      <w:sz w:val="21"/>
                      <w:szCs w:val="21"/>
                      <w:highlight w:val="none"/>
                      <w:lang w:val="en-US" w:eastAsia="zh-CN"/>
                    </w:rPr>
                    <w:t>土壤室南侧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16</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color w:val="auto"/>
                      <w:sz w:val="21"/>
                      <w:szCs w:val="21"/>
                      <w:highlight w:val="none"/>
                    </w:rPr>
                    <w:t>电热恒温鼓风干燥箱</w:t>
                  </w:r>
                  <w:r>
                    <w:rPr>
                      <w:rFonts w:hint="eastAsia"/>
                      <w:color w:val="auto"/>
                      <w:sz w:val="21"/>
                      <w:szCs w:val="21"/>
                      <w:highlight w:val="none"/>
                      <w:lang w:eastAsia="zh-CN"/>
                    </w:rPr>
                    <w:t>，</w:t>
                  </w:r>
                  <w:r>
                    <w:rPr>
                      <w:color w:val="auto"/>
                      <w:sz w:val="21"/>
                      <w:szCs w:val="21"/>
                      <w:highlight w:val="none"/>
                    </w:rPr>
                    <w:t>主要是研究高温状态下物料的性质</w:t>
                  </w:r>
                  <w:r>
                    <w:rPr>
                      <w:rFonts w:hint="eastAsia"/>
                      <w:color w:val="auto"/>
                      <w:sz w:val="21"/>
                      <w:szCs w:val="21"/>
                      <w:highlight w:val="none"/>
                      <w:lang w:eastAsia="zh-CN"/>
                    </w:rPr>
                    <w:t>。</w:t>
                  </w:r>
                </w:p>
              </w:tc>
              <w:tc>
                <w:tcPr>
                  <w:tcW w:w="812" w:type="pct"/>
                  <w:vMerge w:val="continue"/>
                  <w:noWrap w:val="0"/>
                  <w:vAlign w:val="center"/>
                </w:tcPr>
                <w:p w14:paraId="1A7E5AF2">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76AD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4C900D40">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46DB7823">
                  <w:pPr>
                    <w:pStyle w:val="27"/>
                    <w:keepNext w:val="0"/>
                    <w:keepLines w:val="0"/>
                    <w:suppressLineNumbers w:val="0"/>
                    <w:bidi w:val="0"/>
                    <w:spacing w:before="0" w:beforeAutospacing="0" w:after="0" w:afterAutospacing="0"/>
                    <w:ind w:left="0" w:right="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配气室</w:t>
                  </w:r>
                </w:p>
              </w:tc>
              <w:tc>
                <w:tcPr>
                  <w:tcW w:w="3186" w:type="pct"/>
                  <w:noWrap w:val="0"/>
                  <w:vAlign w:val="center"/>
                </w:tcPr>
                <w:p w14:paraId="462CE19D">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right="0" w:firstLine="0" w:firstLineChars="0"/>
                    <w:jc w:val="left"/>
                    <w:textAlignment w:val="auto"/>
                    <w:rPr>
                      <w:rFonts w:hint="default"/>
                      <w:color w:val="auto"/>
                      <w:sz w:val="21"/>
                      <w:szCs w:val="21"/>
                      <w:highlight w:val="none"/>
                      <w:lang w:val="en-US"/>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南</w:t>
                  </w:r>
                  <w:r>
                    <w:rPr>
                      <w:rFonts w:hint="eastAsia" w:ascii="Times New Roman" w:hAnsi="Times New Roman" w:eastAsia="宋体" w:cs="Times New Roman"/>
                      <w:b w:val="0"/>
                      <w:bCs w:val="0"/>
                      <w:color w:val="auto"/>
                      <w:kern w:val="2"/>
                      <w:sz w:val="21"/>
                      <w:szCs w:val="21"/>
                      <w:highlight w:val="none"/>
                      <w:lang w:val="en-US" w:eastAsia="zh-CN" w:bidi="ar-SA"/>
                    </w:rPr>
                    <w:t>部（</w:t>
                  </w:r>
                  <w:r>
                    <w:rPr>
                      <w:rFonts w:hint="eastAsia" w:cs="Times New Roman"/>
                      <w:b w:val="0"/>
                      <w:bCs w:val="0"/>
                      <w:color w:val="auto"/>
                      <w:kern w:val="2"/>
                      <w:sz w:val="21"/>
                      <w:szCs w:val="21"/>
                      <w:highlight w:val="none"/>
                      <w:lang w:val="en-US" w:eastAsia="zh-CN" w:bidi="ar-SA"/>
                    </w:rPr>
                    <w:t>天平室南侧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12</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color w:val="auto"/>
                      <w:sz w:val="21"/>
                      <w:szCs w:val="21"/>
                      <w:highlight w:val="none"/>
                      <w:lang w:val="en-US" w:eastAsia="zh-CN"/>
                    </w:rPr>
                    <w:t>配气仪，进行臭气配置。</w:t>
                  </w:r>
                </w:p>
              </w:tc>
              <w:tc>
                <w:tcPr>
                  <w:tcW w:w="812" w:type="pct"/>
                  <w:vMerge w:val="continue"/>
                  <w:noWrap w:val="0"/>
                  <w:vAlign w:val="center"/>
                </w:tcPr>
                <w:p w14:paraId="576DE376">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40B7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56" w:type="pct"/>
                  <w:vMerge w:val="continue"/>
                  <w:noWrap w:val="0"/>
                  <w:vAlign w:val="center"/>
                </w:tcPr>
                <w:p w14:paraId="0CEB4369">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1DFEF4D2">
                  <w:pPr>
                    <w:pStyle w:val="27"/>
                    <w:keepNext w:val="0"/>
                    <w:keepLines w:val="0"/>
                    <w:suppressLineNumbers w:val="0"/>
                    <w:bidi w:val="0"/>
                    <w:spacing w:before="0" w:beforeAutospacing="0" w:after="0" w:afterAutospacing="0"/>
                    <w:ind w:left="0" w:leftChars="0" w:right="0" w:rightChars="0" w:firstLine="0" w:firstLineChars="0"/>
                    <w:jc w:val="cente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嗅辨</w:t>
                  </w:r>
                  <w:r>
                    <w:rPr>
                      <w:rFonts w:ascii="宋体" w:hAnsi="宋体"/>
                      <w:color w:val="auto"/>
                      <w:sz w:val="21"/>
                      <w:szCs w:val="21"/>
                      <w:highlight w:val="none"/>
                    </w:rPr>
                    <w:t>室</w:t>
                  </w:r>
                </w:p>
              </w:tc>
              <w:tc>
                <w:tcPr>
                  <w:tcW w:w="3186" w:type="pct"/>
                  <w:noWrap w:val="0"/>
                  <w:vAlign w:val="center"/>
                </w:tcPr>
                <w:p w14:paraId="774263FD">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tLeast"/>
                    <w:ind w:left="0" w:leftChars="0" w:right="0" w:rightChars="0" w:firstLine="0" w:firstLineChars="0"/>
                    <w:jc w:val="left"/>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南</w:t>
                  </w:r>
                  <w:r>
                    <w:rPr>
                      <w:rFonts w:hint="eastAsia" w:ascii="Times New Roman" w:hAnsi="Times New Roman" w:eastAsia="宋体" w:cs="Times New Roman"/>
                      <w:b w:val="0"/>
                      <w:bCs w:val="0"/>
                      <w:color w:val="auto"/>
                      <w:kern w:val="2"/>
                      <w:sz w:val="21"/>
                      <w:szCs w:val="21"/>
                      <w:highlight w:val="none"/>
                      <w:lang w:val="en-US" w:eastAsia="zh-CN" w:bidi="ar-SA"/>
                    </w:rPr>
                    <w:t>部（</w:t>
                  </w:r>
                  <w:r>
                    <w:rPr>
                      <w:rFonts w:hint="eastAsia" w:cs="Times New Roman"/>
                      <w:b w:val="0"/>
                      <w:bCs w:val="0"/>
                      <w:color w:val="auto"/>
                      <w:kern w:val="2"/>
                      <w:sz w:val="21"/>
                      <w:szCs w:val="21"/>
                      <w:highlight w:val="none"/>
                      <w:lang w:val="en-US" w:eastAsia="zh-CN" w:bidi="ar-SA"/>
                    </w:rPr>
                    <w:t>天平室南侧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12</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，布设嗅辨仪</w:t>
                  </w:r>
                  <w:r>
                    <w:rPr>
                      <w:rFonts w:hint="eastAsia"/>
                      <w:color w:val="auto"/>
                      <w:sz w:val="21"/>
                      <w:szCs w:val="21"/>
                      <w:highlight w:val="none"/>
                      <w:lang w:val="en-US" w:eastAsia="zh-CN"/>
                    </w:rPr>
                    <w:t>进行臭气浓度检测。</w:t>
                  </w:r>
                </w:p>
              </w:tc>
              <w:tc>
                <w:tcPr>
                  <w:tcW w:w="812" w:type="pct"/>
                  <w:vMerge w:val="continue"/>
                  <w:noWrap w:val="0"/>
                  <w:vAlign w:val="center"/>
                </w:tcPr>
                <w:p w14:paraId="0C2B4D83">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4256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14FD54C8">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6DEDB01B">
                  <w:pPr>
                    <w:pStyle w:val="27"/>
                    <w:keepNext w:val="0"/>
                    <w:keepLines w:val="0"/>
                    <w:suppressLineNumbers w:val="0"/>
                    <w:bidi w:val="0"/>
                    <w:spacing w:before="0" w:beforeAutospacing="0" w:after="0" w:afterAutospacing="0"/>
                    <w:ind w:left="0" w:leftChars="0" w:right="0" w:rightChars="0" w:firstLine="0" w:firstLineChars="0"/>
                    <w:jc w:val="center"/>
                    <w:rPr>
                      <w:rFonts w:ascii="宋体" w:hAnsi="宋体"/>
                      <w:color w:val="auto"/>
                      <w:sz w:val="21"/>
                      <w:szCs w:val="21"/>
                      <w:highlight w:val="none"/>
                    </w:rPr>
                  </w:pPr>
                  <w:r>
                    <w:rPr>
                      <w:rFonts w:ascii="宋体" w:hAnsi="宋体"/>
                      <w:color w:val="auto"/>
                      <w:sz w:val="21"/>
                      <w:szCs w:val="21"/>
                      <w:highlight w:val="none"/>
                    </w:rPr>
                    <w:t>比色室</w:t>
                  </w:r>
                </w:p>
              </w:tc>
              <w:tc>
                <w:tcPr>
                  <w:tcW w:w="3186" w:type="pct"/>
                  <w:noWrap w:val="0"/>
                  <w:vAlign w:val="center"/>
                </w:tcPr>
                <w:p w14:paraId="7112E443">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中</w:t>
                  </w:r>
                  <w:r>
                    <w:rPr>
                      <w:rFonts w:hint="eastAsia" w:ascii="Times New Roman" w:hAnsi="Times New Roman" w:eastAsia="宋体" w:cs="Times New Roman"/>
                      <w:b w:val="0"/>
                      <w:bCs w:val="0"/>
                      <w:color w:val="auto"/>
                      <w:kern w:val="2"/>
                      <w:sz w:val="21"/>
                      <w:szCs w:val="21"/>
                      <w:highlight w:val="none"/>
                      <w:lang w:val="en-US" w:eastAsia="zh-CN" w:bidi="ar-SA"/>
                    </w:rPr>
                    <w:t>部（</w:t>
                  </w:r>
                  <w:r>
                    <w:rPr>
                      <w:rFonts w:hint="eastAsia" w:cs="Times New Roman"/>
                      <w:b w:val="0"/>
                      <w:bCs w:val="0"/>
                      <w:color w:val="auto"/>
                      <w:kern w:val="2"/>
                      <w:sz w:val="21"/>
                      <w:szCs w:val="21"/>
                      <w:highlight w:val="none"/>
                      <w:lang w:val="en-US" w:eastAsia="zh-CN" w:bidi="ar-SA"/>
                    </w:rPr>
                    <w:t>无机前处理东侧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10</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color w:val="auto"/>
                      <w:sz w:val="21"/>
                      <w:szCs w:val="21"/>
                      <w:highlight w:val="none"/>
                    </w:rPr>
                    <w:t>紫外可见分光光度计</w:t>
                  </w:r>
                  <w:r>
                    <w:rPr>
                      <w:rFonts w:hint="eastAsia"/>
                      <w:color w:val="auto"/>
                      <w:sz w:val="21"/>
                      <w:szCs w:val="21"/>
                      <w:highlight w:val="none"/>
                      <w:lang w:eastAsia="zh-CN"/>
                    </w:rPr>
                    <w:t>、</w:t>
                  </w:r>
                  <w:r>
                    <w:rPr>
                      <w:rFonts w:hint="eastAsia"/>
                      <w:color w:val="auto"/>
                      <w:sz w:val="21"/>
                      <w:szCs w:val="21"/>
                      <w:highlight w:val="none"/>
                      <w:lang w:val="en-US" w:eastAsia="zh-CN"/>
                    </w:rPr>
                    <w:t>红外分光测油仪等仪器</w:t>
                  </w:r>
                </w:p>
              </w:tc>
              <w:tc>
                <w:tcPr>
                  <w:tcW w:w="812" w:type="pct"/>
                  <w:vMerge w:val="continue"/>
                  <w:noWrap w:val="0"/>
                  <w:vAlign w:val="center"/>
                </w:tcPr>
                <w:p w14:paraId="10591DAA">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62FF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03A0A5D5">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6F6475D4">
                  <w:pPr>
                    <w:pStyle w:val="27"/>
                    <w:keepNext w:val="0"/>
                    <w:keepLines w:val="0"/>
                    <w:suppressLineNumbers w:val="0"/>
                    <w:bidi w:val="0"/>
                    <w:spacing w:before="0" w:beforeAutospacing="0" w:after="0" w:afterAutospacing="0"/>
                    <w:ind w:left="0" w:leftChars="0" w:right="0" w:rightChars="0" w:firstLine="0" w:firstLineChars="0"/>
                    <w:jc w:val="center"/>
                    <w:rPr>
                      <w:rFonts w:ascii="宋体" w:hAnsi="宋体"/>
                      <w:color w:val="auto"/>
                      <w:sz w:val="21"/>
                      <w:szCs w:val="21"/>
                      <w:highlight w:val="none"/>
                    </w:rPr>
                  </w:pPr>
                  <w:r>
                    <w:rPr>
                      <w:rFonts w:ascii="宋体" w:hAnsi="宋体"/>
                      <w:color w:val="auto"/>
                      <w:sz w:val="21"/>
                      <w:szCs w:val="21"/>
                      <w:highlight w:val="none"/>
                    </w:rPr>
                    <w:t>气相色谱室</w:t>
                  </w:r>
                </w:p>
              </w:tc>
              <w:tc>
                <w:tcPr>
                  <w:tcW w:w="3186" w:type="pct"/>
                  <w:noWrap w:val="0"/>
                  <w:vAlign w:val="center"/>
                </w:tcPr>
                <w:p w14:paraId="3612962C">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东北侧</w:t>
                  </w:r>
                  <w:r>
                    <w:rPr>
                      <w:rFonts w:hint="eastAsia" w:ascii="Times New Roman" w:hAnsi="Times New Roman" w:eastAsia="宋体" w:cs="Times New Roman"/>
                      <w:b w:val="0"/>
                      <w:bCs w:val="0"/>
                      <w:color w:val="auto"/>
                      <w:kern w:val="2"/>
                      <w:sz w:val="21"/>
                      <w:szCs w:val="21"/>
                      <w:highlight w:val="none"/>
                      <w:lang w:val="en-US" w:eastAsia="zh-CN" w:bidi="ar-SA"/>
                    </w:rPr>
                    <w:t>（</w:t>
                  </w:r>
                  <w:r>
                    <w:rPr>
                      <w:rFonts w:ascii="宋体" w:hAnsi="宋体"/>
                      <w:color w:val="auto"/>
                      <w:sz w:val="21"/>
                      <w:szCs w:val="21"/>
                      <w:highlight w:val="none"/>
                    </w:rPr>
                    <w:t>比色室</w:t>
                  </w:r>
                  <w:r>
                    <w:rPr>
                      <w:rFonts w:hint="eastAsia"/>
                      <w:color w:val="auto"/>
                      <w:sz w:val="21"/>
                      <w:szCs w:val="21"/>
                      <w:highlight w:val="none"/>
                      <w:lang w:val="en-US" w:eastAsia="zh-CN"/>
                    </w:rPr>
                    <w:t>东侧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20</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olor w:val="auto"/>
                      <w:sz w:val="21"/>
                      <w:szCs w:val="21"/>
                      <w:highlight w:val="none"/>
                      <w:lang w:val="en-US" w:eastAsia="zh-CN"/>
                    </w:rPr>
                    <w:t>布设</w:t>
                  </w:r>
                  <w:r>
                    <w:rPr>
                      <w:rFonts w:hint="eastAsia"/>
                      <w:color w:val="auto"/>
                      <w:sz w:val="21"/>
                      <w:szCs w:val="21"/>
                      <w:highlight w:val="none"/>
                    </w:rPr>
                    <w:t>相色谱仪</w:t>
                  </w:r>
                </w:p>
              </w:tc>
              <w:tc>
                <w:tcPr>
                  <w:tcW w:w="812" w:type="pct"/>
                  <w:vMerge w:val="continue"/>
                  <w:noWrap w:val="0"/>
                  <w:vAlign w:val="center"/>
                </w:tcPr>
                <w:p w14:paraId="38378012">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22B2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56" w:type="pct"/>
                  <w:vMerge w:val="continue"/>
                  <w:noWrap w:val="0"/>
                  <w:vAlign w:val="center"/>
                </w:tcPr>
                <w:p w14:paraId="5CD556A5">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0ACA7AF0">
                  <w:pPr>
                    <w:pStyle w:val="27"/>
                    <w:keepNext w:val="0"/>
                    <w:keepLines w:val="0"/>
                    <w:suppressLineNumbers w:val="0"/>
                    <w:bidi w:val="0"/>
                    <w:spacing w:before="0" w:beforeAutospacing="0" w:after="0" w:afterAutospacing="0"/>
                    <w:ind w:left="0" w:leftChars="0" w:right="0" w:rightChars="0" w:firstLine="0" w:firstLineChars="0"/>
                    <w:jc w:val="center"/>
                    <w:rPr>
                      <w:rFonts w:ascii="宋体" w:hAnsi="宋体"/>
                      <w:color w:val="auto"/>
                      <w:sz w:val="21"/>
                      <w:szCs w:val="21"/>
                      <w:highlight w:val="none"/>
                    </w:rPr>
                  </w:pPr>
                  <w:r>
                    <w:rPr>
                      <w:rFonts w:ascii="宋体" w:hAnsi="宋体"/>
                      <w:color w:val="auto"/>
                      <w:sz w:val="21"/>
                      <w:szCs w:val="21"/>
                      <w:highlight w:val="none"/>
                    </w:rPr>
                    <w:t>光谱室</w:t>
                  </w:r>
                </w:p>
              </w:tc>
              <w:tc>
                <w:tcPr>
                  <w:tcW w:w="3186" w:type="pct"/>
                  <w:noWrap w:val="0"/>
                  <w:vAlign w:val="center"/>
                </w:tcPr>
                <w:p w14:paraId="7470A682">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ascii="Times New Roman" w:hAnsi="Times New Roman" w:eastAsia="宋体" w:cs="Times New Roman"/>
                      <w:b w:val="0"/>
                      <w:bCs w:val="0"/>
                      <w:color w:val="auto"/>
                      <w:kern w:val="2"/>
                      <w:sz w:val="21"/>
                      <w:szCs w:val="21"/>
                      <w:highlight w:val="none"/>
                      <w:lang w:val="en-US" w:eastAsia="zh-CN" w:bidi="ar-SA"/>
                    </w:rPr>
                    <w:t>位于楼层</w:t>
                  </w:r>
                  <w:r>
                    <w:rPr>
                      <w:rFonts w:hint="eastAsia" w:cs="Times New Roman"/>
                      <w:b w:val="0"/>
                      <w:bCs w:val="0"/>
                      <w:color w:val="auto"/>
                      <w:kern w:val="2"/>
                      <w:sz w:val="21"/>
                      <w:szCs w:val="21"/>
                      <w:highlight w:val="none"/>
                      <w:lang w:val="en-US" w:eastAsia="zh-CN" w:bidi="ar-SA"/>
                    </w:rPr>
                    <w:t>北侧</w:t>
                  </w:r>
                  <w:r>
                    <w:rPr>
                      <w:rFonts w:hint="eastAsia" w:ascii="Times New Roman" w:hAnsi="Times New Roman" w:eastAsia="宋体" w:cs="Times New Roman"/>
                      <w:b w:val="0"/>
                      <w:bCs w:val="0"/>
                      <w:color w:val="auto"/>
                      <w:kern w:val="2"/>
                      <w:sz w:val="21"/>
                      <w:szCs w:val="21"/>
                      <w:highlight w:val="none"/>
                      <w:lang w:val="en-US" w:eastAsia="zh-CN" w:bidi="ar-SA"/>
                    </w:rPr>
                    <w:t>（</w:t>
                  </w:r>
                  <w:r>
                    <w:rPr>
                      <w:rFonts w:ascii="宋体" w:hAnsi="宋体"/>
                      <w:color w:val="auto"/>
                      <w:sz w:val="21"/>
                      <w:szCs w:val="21"/>
                      <w:highlight w:val="none"/>
                    </w:rPr>
                    <w:t>气相色谱室</w:t>
                  </w:r>
                  <w:r>
                    <w:rPr>
                      <w:rFonts w:hint="eastAsia"/>
                      <w:color w:val="auto"/>
                      <w:sz w:val="21"/>
                      <w:szCs w:val="21"/>
                      <w:highlight w:val="none"/>
                      <w:lang w:val="en-US" w:eastAsia="zh-CN"/>
                    </w:rPr>
                    <w:t>东侧</w:t>
                  </w:r>
                  <w:r>
                    <w:rPr>
                      <w:rFonts w:hint="eastAsia" w:ascii="Times New Roman" w:hAnsi="Times New Roman" w:eastAsia="宋体" w:cs="Times New Roman"/>
                      <w:b w:val="0"/>
                      <w:bCs w:val="0"/>
                      <w:color w:val="auto"/>
                      <w:kern w:val="2"/>
                      <w:sz w:val="21"/>
                      <w:szCs w:val="21"/>
                      <w:highlight w:val="none"/>
                      <w:lang w:val="en-US" w:eastAsia="zh-CN" w:bidi="ar-SA"/>
                    </w:rPr>
                    <w:t>），建筑面积</w:t>
                  </w:r>
                  <w:r>
                    <w:rPr>
                      <w:rFonts w:hint="eastAsia" w:cs="Times New Roman"/>
                      <w:b w:val="0"/>
                      <w:bCs w:val="0"/>
                      <w:color w:val="auto"/>
                      <w:kern w:val="2"/>
                      <w:sz w:val="21"/>
                      <w:szCs w:val="21"/>
                      <w:highlight w:val="none"/>
                      <w:lang w:val="en-US" w:eastAsia="zh-CN" w:bidi="ar-SA"/>
                    </w:rPr>
                    <w:t>20</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布设</w:t>
                  </w:r>
                  <w:r>
                    <w:rPr>
                      <w:rFonts w:hint="eastAsia"/>
                      <w:color w:val="auto"/>
                      <w:sz w:val="21"/>
                      <w:szCs w:val="21"/>
                      <w:highlight w:val="none"/>
                    </w:rPr>
                    <w:t>原子吸收分光光度计</w:t>
                  </w:r>
                  <w:r>
                    <w:rPr>
                      <w:rFonts w:hint="eastAsia"/>
                      <w:color w:val="auto"/>
                      <w:sz w:val="21"/>
                      <w:szCs w:val="21"/>
                      <w:highlight w:val="none"/>
                      <w:lang w:eastAsia="zh-CN"/>
                    </w:rPr>
                    <w:t>、原子荧光光度计</w:t>
                  </w:r>
                  <w:r>
                    <w:rPr>
                      <w:rFonts w:hint="eastAsia"/>
                      <w:color w:val="auto"/>
                      <w:sz w:val="21"/>
                      <w:szCs w:val="21"/>
                      <w:highlight w:val="none"/>
                      <w:lang w:val="en-US" w:eastAsia="zh-CN"/>
                    </w:rPr>
                    <w:t>等仪器</w:t>
                  </w:r>
                </w:p>
              </w:tc>
              <w:tc>
                <w:tcPr>
                  <w:tcW w:w="812" w:type="pct"/>
                  <w:vMerge w:val="continue"/>
                  <w:noWrap w:val="0"/>
                  <w:vAlign w:val="center"/>
                </w:tcPr>
                <w:p w14:paraId="6B42B4AD">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604F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56" w:type="pct"/>
                  <w:vMerge w:val="restart"/>
                  <w:noWrap w:val="0"/>
                  <w:vAlign w:val="center"/>
                </w:tcPr>
                <w:p w14:paraId="7F84AB8B">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辅助</w:t>
                  </w:r>
                </w:p>
                <w:p w14:paraId="76611F16">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工程</w:t>
                  </w:r>
                </w:p>
              </w:tc>
              <w:tc>
                <w:tcPr>
                  <w:tcW w:w="544" w:type="pct"/>
                  <w:noWrap w:val="0"/>
                  <w:vAlign w:val="center"/>
                </w:tcPr>
                <w:p w14:paraId="5A4327C4">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办公室</w:t>
                  </w:r>
                </w:p>
              </w:tc>
              <w:tc>
                <w:tcPr>
                  <w:tcW w:w="3186" w:type="pct"/>
                  <w:noWrap w:val="0"/>
                  <w:vAlign w:val="center"/>
                </w:tcPr>
                <w:p w14:paraId="42E785E3">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位于二楼，</w:t>
                  </w:r>
                  <w:r>
                    <w:rPr>
                      <w:rFonts w:hint="eastAsia"/>
                      <w:color w:val="auto"/>
                      <w:sz w:val="21"/>
                      <w:szCs w:val="21"/>
                      <w:highlight w:val="none"/>
                    </w:rPr>
                    <w:t>用于生产人员办公</w:t>
                  </w:r>
                  <w:r>
                    <w:rPr>
                      <w:rFonts w:hint="eastAsia"/>
                      <w:color w:val="auto"/>
                      <w:sz w:val="21"/>
                      <w:szCs w:val="21"/>
                      <w:highlight w:val="none"/>
                      <w:lang w:eastAsia="zh-CN"/>
                    </w:rPr>
                    <w:t>，</w:t>
                  </w:r>
                  <w:r>
                    <w:rPr>
                      <w:rFonts w:hint="eastAsia"/>
                      <w:color w:val="auto"/>
                      <w:sz w:val="21"/>
                      <w:szCs w:val="21"/>
                      <w:highlight w:val="none"/>
                    </w:rPr>
                    <w:t>建筑面积约</w:t>
                  </w:r>
                  <w:r>
                    <w:rPr>
                      <w:rFonts w:hint="eastAsia"/>
                      <w:color w:val="auto"/>
                      <w:sz w:val="21"/>
                      <w:szCs w:val="21"/>
                      <w:highlight w:val="none"/>
                      <w:lang w:val="en-US" w:eastAsia="zh-CN"/>
                    </w:rPr>
                    <w:t>814.15</w:t>
                  </w:r>
                  <w:r>
                    <w:rPr>
                      <w:color w:val="auto"/>
                      <w:sz w:val="21"/>
                      <w:szCs w:val="21"/>
                      <w:highlight w:val="none"/>
                    </w:rPr>
                    <w:t>m</w:t>
                  </w:r>
                  <w:r>
                    <w:rPr>
                      <w:color w:val="auto"/>
                      <w:sz w:val="21"/>
                      <w:szCs w:val="21"/>
                      <w:highlight w:val="none"/>
                      <w:vertAlign w:val="superscript"/>
                    </w:rPr>
                    <w:t>2</w:t>
                  </w:r>
                </w:p>
              </w:tc>
              <w:tc>
                <w:tcPr>
                  <w:tcW w:w="812" w:type="pct"/>
                  <w:noWrap w:val="0"/>
                  <w:vAlign w:val="center"/>
                </w:tcPr>
                <w:p w14:paraId="1CA62DF8">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租赁</w:t>
                  </w:r>
                </w:p>
              </w:tc>
            </w:tr>
            <w:tr w14:paraId="3839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Merge w:val="continue"/>
                  <w:noWrap w:val="0"/>
                  <w:vAlign w:val="center"/>
                </w:tcPr>
                <w:p w14:paraId="61FDA43E">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3EFD2C30">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样品冷藏室</w:t>
                  </w:r>
                </w:p>
              </w:tc>
              <w:tc>
                <w:tcPr>
                  <w:tcW w:w="3186" w:type="pct"/>
                  <w:noWrap w:val="0"/>
                  <w:vAlign w:val="center"/>
                </w:tcPr>
                <w:p w14:paraId="4D407C15">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位于三楼，</w:t>
                  </w:r>
                  <w:r>
                    <w:rPr>
                      <w:rFonts w:hint="eastAsia"/>
                      <w:color w:val="auto"/>
                      <w:sz w:val="21"/>
                      <w:szCs w:val="21"/>
                      <w:highlight w:val="none"/>
                    </w:rPr>
                    <w:t>用于</w:t>
                  </w:r>
                  <w:r>
                    <w:rPr>
                      <w:rFonts w:hint="eastAsia"/>
                      <w:color w:val="auto"/>
                      <w:sz w:val="21"/>
                      <w:szCs w:val="21"/>
                      <w:highlight w:val="none"/>
                      <w:lang w:val="en-US" w:eastAsia="zh-CN"/>
                    </w:rPr>
                    <w:t>样品冷藏（0~4℃）</w:t>
                  </w:r>
                  <w:r>
                    <w:rPr>
                      <w:rFonts w:hint="eastAsia"/>
                      <w:color w:val="auto"/>
                      <w:sz w:val="21"/>
                      <w:szCs w:val="21"/>
                      <w:highlight w:val="none"/>
                      <w:lang w:eastAsia="zh-CN"/>
                    </w:rPr>
                    <w:t>，</w:t>
                  </w:r>
                  <w:r>
                    <w:rPr>
                      <w:rFonts w:hint="default" w:ascii="Times New Roman" w:hAnsi="Times New Roman" w:eastAsia="宋体" w:cs="Times New Roman"/>
                      <w:color w:val="auto"/>
                      <w:highlight w:val="none"/>
                    </w:rPr>
                    <w:t>项目制冷系统采用制冷剂R404A作为制冷系统的制冷工质</w:t>
                  </w:r>
                  <w:r>
                    <w:rPr>
                      <w:rFonts w:hint="eastAsia" w:ascii="Times New Roman" w:hAnsi="Times New Roman" w:eastAsia="宋体" w:cs="Times New Roman"/>
                      <w:color w:val="auto"/>
                      <w:highlight w:val="none"/>
                      <w:lang w:eastAsia="zh-CN"/>
                    </w:rPr>
                    <w:t>，</w:t>
                  </w:r>
                  <w:r>
                    <w:rPr>
                      <w:rFonts w:hint="eastAsia"/>
                      <w:color w:val="auto"/>
                      <w:sz w:val="21"/>
                      <w:szCs w:val="21"/>
                      <w:highlight w:val="none"/>
                    </w:rPr>
                    <w:t>建筑面积约</w:t>
                  </w:r>
                  <w:r>
                    <w:rPr>
                      <w:rFonts w:hint="eastAsia"/>
                      <w:color w:val="auto"/>
                      <w:sz w:val="21"/>
                      <w:szCs w:val="21"/>
                      <w:highlight w:val="none"/>
                      <w:lang w:val="en-US" w:eastAsia="zh-CN"/>
                    </w:rPr>
                    <w:t>10</w:t>
                  </w:r>
                  <w:r>
                    <w:rPr>
                      <w:color w:val="auto"/>
                      <w:sz w:val="21"/>
                      <w:szCs w:val="21"/>
                      <w:highlight w:val="none"/>
                    </w:rPr>
                    <w:t>m</w:t>
                  </w:r>
                  <w:r>
                    <w:rPr>
                      <w:color w:val="auto"/>
                      <w:sz w:val="21"/>
                      <w:szCs w:val="21"/>
                      <w:highlight w:val="none"/>
                      <w:vertAlign w:val="superscript"/>
                    </w:rPr>
                    <w:t>2</w:t>
                  </w:r>
                  <w:r>
                    <w:rPr>
                      <w:rFonts w:hint="eastAsia"/>
                      <w:color w:val="auto"/>
                      <w:sz w:val="21"/>
                      <w:szCs w:val="21"/>
                      <w:highlight w:val="none"/>
                      <w:vertAlign w:val="baseline"/>
                      <w:lang w:eastAsia="zh-CN"/>
                    </w:rPr>
                    <w:t>。</w:t>
                  </w:r>
                </w:p>
              </w:tc>
              <w:tc>
                <w:tcPr>
                  <w:tcW w:w="812" w:type="pct"/>
                  <w:noWrap w:val="0"/>
                  <w:vAlign w:val="center"/>
                </w:tcPr>
                <w:p w14:paraId="36AB73B6">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租赁</w:t>
                  </w:r>
                </w:p>
              </w:tc>
            </w:tr>
            <w:tr w14:paraId="68CE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restart"/>
                  <w:noWrap w:val="0"/>
                  <w:vAlign w:val="center"/>
                </w:tcPr>
                <w:p w14:paraId="18589B35">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公用</w:t>
                  </w:r>
                </w:p>
                <w:p w14:paraId="42B49DC3">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工程</w:t>
                  </w:r>
                </w:p>
              </w:tc>
              <w:tc>
                <w:tcPr>
                  <w:tcW w:w="544" w:type="pct"/>
                  <w:noWrap w:val="0"/>
                  <w:vAlign w:val="center"/>
                </w:tcPr>
                <w:p w14:paraId="1339F682">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供配电</w:t>
                  </w:r>
                </w:p>
              </w:tc>
              <w:tc>
                <w:tcPr>
                  <w:tcW w:w="3186" w:type="pct"/>
                  <w:noWrap w:val="0"/>
                  <w:vAlign w:val="center"/>
                </w:tcPr>
                <w:p w14:paraId="3DF4A8EA">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来自市政供电电网</w:t>
                  </w:r>
                  <w:r>
                    <w:rPr>
                      <w:rFonts w:hint="eastAsia"/>
                      <w:color w:val="auto"/>
                      <w:sz w:val="21"/>
                      <w:szCs w:val="21"/>
                      <w:highlight w:val="none"/>
                      <w:lang w:eastAsia="zh-CN"/>
                    </w:rPr>
                    <w:t>，</w:t>
                  </w:r>
                  <w:r>
                    <w:rPr>
                      <w:rFonts w:hint="eastAsia"/>
                      <w:color w:val="auto"/>
                      <w:sz w:val="21"/>
                      <w:szCs w:val="21"/>
                      <w:highlight w:val="none"/>
                    </w:rPr>
                    <w:t>年用电量</w:t>
                  </w:r>
                  <w:r>
                    <w:rPr>
                      <w:rFonts w:hint="eastAsia"/>
                      <w:color w:val="auto"/>
                      <w:sz w:val="21"/>
                      <w:szCs w:val="21"/>
                      <w:highlight w:val="none"/>
                      <w:lang w:val="en-US" w:eastAsia="zh-CN"/>
                    </w:rPr>
                    <w:t>0.5</w:t>
                  </w:r>
                  <w:r>
                    <w:rPr>
                      <w:rFonts w:hint="eastAsia"/>
                      <w:color w:val="auto"/>
                      <w:sz w:val="21"/>
                      <w:szCs w:val="21"/>
                      <w:highlight w:val="none"/>
                    </w:rPr>
                    <w:t>万</w:t>
                  </w:r>
                  <w:r>
                    <w:rPr>
                      <w:rFonts w:hint="default" w:ascii="Times New Roman" w:hAnsi="Times New Roman" w:cs="Times New Roman"/>
                      <w:color w:val="auto"/>
                      <w:sz w:val="21"/>
                      <w:szCs w:val="21"/>
                      <w:highlight w:val="none"/>
                    </w:rPr>
                    <w:t>k•Wh</w:t>
                  </w:r>
                </w:p>
              </w:tc>
              <w:tc>
                <w:tcPr>
                  <w:tcW w:w="812" w:type="pct"/>
                  <w:noWrap w:val="0"/>
                  <w:vAlign w:val="center"/>
                </w:tcPr>
                <w:p w14:paraId="795CC652">
                  <w:pPr>
                    <w:pStyle w:val="27"/>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利用现有供配电管网</w:t>
                  </w:r>
                </w:p>
              </w:tc>
            </w:tr>
            <w:tr w14:paraId="1920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6E50A177">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02DDBC3A">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供水</w:t>
                  </w:r>
                </w:p>
              </w:tc>
              <w:tc>
                <w:tcPr>
                  <w:tcW w:w="3186" w:type="pct"/>
                  <w:noWrap w:val="0"/>
                  <w:vAlign w:val="center"/>
                </w:tcPr>
                <w:p w14:paraId="7458E835">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来自</w:t>
                  </w:r>
                  <w:r>
                    <w:rPr>
                      <w:color w:val="auto"/>
                      <w:sz w:val="21"/>
                      <w:szCs w:val="21"/>
                      <w:highlight w:val="none"/>
                    </w:rPr>
                    <w:t>市政供水系统提供</w:t>
                  </w:r>
                  <w:r>
                    <w:rPr>
                      <w:rFonts w:hint="eastAsia"/>
                      <w:color w:val="auto"/>
                      <w:sz w:val="21"/>
                      <w:szCs w:val="21"/>
                      <w:highlight w:val="none"/>
                      <w:lang w:eastAsia="zh-CN"/>
                    </w:rPr>
                    <w:t>，</w:t>
                  </w:r>
                  <w:r>
                    <w:rPr>
                      <w:color w:val="auto"/>
                      <w:sz w:val="21"/>
                      <w:szCs w:val="21"/>
                      <w:highlight w:val="none"/>
                    </w:rPr>
                    <w:t>用水量</w:t>
                  </w:r>
                  <w:r>
                    <w:rPr>
                      <w:rFonts w:hint="eastAsia"/>
                      <w:color w:val="auto"/>
                      <w:sz w:val="21"/>
                      <w:szCs w:val="21"/>
                      <w:highlight w:val="none"/>
                      <w:lang w:val="en-US" w:eastAsia="zh-CN"/>
                    </w:rPr>
                    <w:t>1826.1</w:t>
                  </w:r>
                  <w:r>
                    <w:rPr>
                      <w:color w:val="auto"/>
                      <w:sz w:val="21"/>
                      <w:szCs w:val="21"/>
                      <w:highlight w:val="none"/>
                    </w:rPr>
                    <w:t>t/a</w:t>
                  </w:r>
                </w:p>
              </w:tc>
              <w:tc>
                <w:tcPr>
                  <w:tcW w:w="812" w:type="pct"/>
                  <w:noWrap w:val="0"/>
                  <w:vAlign w:val="center"/>
                </w:tcPr>
                <w:p w14:paraId="57D8B816">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利用现有供水管网</w:t>
                  </w:r>
                </w:p>
              </w:tc>
            </w:tr>
            <w:tr w14:paraId="52A7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56" w:type="pct"/>
                  <w:vMerge w:val="continue"/>
                  <w:noWrap w:val="0"/>
                  <w:vAlign w:val="center"/>
                </w:tcPr>
                <w:p w14:paraId="7D471E7A">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4BC8C986">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排水</w:t>
                  </w:r>
                </w:p>
              </w:tc>
              <w:tc>
                <w:tcPr>
                  <w:tcW w:w="3186" w:type="pct"/>
                  <w:noWrap w:val="0"/>
                  <w:vAlign w:val="center"/>
                </w:tcPr>
                <w:p w14:paraId="7DEF481E">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color w:val="auto"/>
                      <w:sz w:val="21"/>
                      <w:szCs w:val="21"/>
                      <w:highlight w:val="none"/>
                    </w:rPr>
                    <w:t>雨污分流，雨水接管雨水管网，</w:t>
                  </w:r>
                  <w:r>
                    <w:rPr>
                      <w:rFonts w:hint="eastAsia"/>
                      <w:color w:val="auto"/>
                      <w:sz w:val="21"/>
                      <w:szCs w:val="21"/>
                      <w:highlight w:val="none"/>
                    </w:rPr>
                    <w:t>生活污水</w:t>
                  </w:r>
                  <w:r>
                    <w:rPr>
                      <w:rFonts w:hint="eastAsia"/>
                      <w:color w:val="auto"/>
                      <w:sz w:val="21"/>
                      <w:szCs w:val="21"/>
                      <w:highlight w:val="none"/>
                      <w:lang w:eastAsia="zh-CN"/>
                    </w:rPr>
                    <w:t>、</w:t>
                  </w:r>
                  <w:r>
                    <w:rPr>
                      <w:rFonts w:hint="eastAsia"/>
                      <w:color w:val="auto"/>
                      <w:sz w:val="21"/>
                      <w:szCs w:val="21"/>
                      <w:highlight w:val="none"/>
                      <w:lang w:val="en-US" w:eastAsia="zh-CN"/>
                    </w:rPr>
                    <w:t>保洁废水</w:t>
                  </w:r>
                  <w:r>
                    <w:rPr>
                      <w:rFonts w:hint="eastAsia"/>
                      <w:color w:val="auto"/>
                      <w:sz w:val="21"/>
                      <w:szCs w:val="21"/>
                      <w:highlight w:val="none"/>
                    </w:rPr>
                    <w:t>经化粪池</w:t>
                  </w:r>
                  <w:r>
                    <w:rPr>
                      <w:rFonts w:hint="eastAsia"/>
                      <w:color w:val="auto"/>
                      <w:sz w:val="21"/>
                      <w:szCs w:val="21"/>
                      <w:highlight w:val="none"/>
                      <w:lang w:val="en-US" w:eastAsia="zh-CN"/>
                    </w:rPr>
                    <w:t>收集</w:t>
                  </w:r>
                  <w:r>
                    <w:rPr>
                      <w:rFonts w:hint="eastAsia"/>
                      <w:color w:val="auto"/>
                      <w:sz w:val="21"/>
                      <w:szCs w:val="21"/>
                      <w:highlight w:val="none"/>
                    </w:rPr>
                    <w:t>接入园区污水管网</w:t>
                  </w:r>
                  <w:r>
                    <w:rPr>
                      <w:rFonts w:hint="eastAsia"/>
                      <w:color w:val="auto"/>
                      <w:sz w:val="21"/>
                      <w:szCs w:val="21"/>
                      <w:highlight w:val="none"/>
                      <w:lang w:val="en-US" w:eastAsia="zh-CN"/>
                    </w:rPr>
                    <w:t>进入市政污水管网，实验废水经实验室污水处理设备（位于实验区，建筑面积约为3m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，处理能力可达1.0t/d）处理，达到污水处理厂集中处理接管标准后进入市政污水管网，纯水制备产生浓水直接进入园区污水管网，污水经市政污水管网排入</w:t>
                  </w:r>
                  <w:r>
                    <w:rPr>
                      <w:rFonts w:hint="default"/>
                      <w:color w:val="auto"/>
                      <w:highlight w:val="none"/>
                    </w:rPr>
                    <w:t>山南新区污水处理厂处理，尾水排入高塘湖</w:t>
                  </w:r>
                  <w:r>
                    <w:rPr>
                      <w:rFonts w:hint="eastAsia"/>
                      <w:color w:val="auto"/>
                      <w:sz w:val="21"/>
                      <w:szCs w:val="21"/>
                      <w:highlight w:val="none"/>
                      <w:lang w:eastAsia="zh-CN"/>
                    </w:rPr>
                    <w:t>，</w:t>
                  </w:r>
                  <w:r>
                    <w:rPr>
                      <w:color w:val="auto"/>
                      <w:sz w:val="21"/>
                      <w:szCs w:val="21"/>
                      <w:highlight w:val="none"/>
                    </w:rPr>
                    <w:t>废水排放量为</w:t>
                  </w:r>
                  <w:r>
                    <w:rPr>
                      <w:rFonts w:hint="eastAsia"/>
                      <w:color w:val="auto"/>
                      <w:sz w:val="21"/>
                      <w:szCs w:val="21"/>
                      <w:highlight w:val="none"/>
                      <w:lang w:val="en-US" w:eastAsia="zh-CN"/>
                    </w:rPr>
                    <w:t>1585.325</w:t>
                  </w:r>
                  <w:r>
                    <w:rPr>
                      <w:color w:val="auto"/>
                      <w:sz w:val="21"/>
                      <w:szCs w:val="21"/>
                      <w:highlight w:val="none"/>
                    </w:rPr>
                    <w:t>t/a</w:t>
                  </w:r>
                  <w:r>
                    <w:rPr>
                      <w:rFonts w:hint="eastAsia"/>
                      <w:color w:val="auto"/>
                      <w:sz w:val="21"/>
                      <w:szCs w:val="21"/>
                      <w:highlight w:val="none"/>
                      <w:lang w:eastAsia="zh-CN"/>
                    </w:rPr>
                    <w:t>。</w:t>
                  </w:r>
                </w:p>
              </w:tc>
              <w:tc>
                <w:tcPr>
                  <w:tcW w:w="812" w:type="pct"/>
                  <w:noWrap w:val="0"/>
                  <w:vAlign w:val="center"/>
                </w:tcPr>
                <w:p w14:paraId="1C6CB3B4">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利用现有完善雨污管网</w:t>
                  </w:r>
                </w:p>
              </w:tc>
            </w:tr>
            <w:tr w14:paraId="2364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restart"/>
                  <w:noWrap w:val="0"/>
                  <w:vAlign w:val="center"/>
                </w:tcPr>
                <w:p w14:paraId="76723ACF">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储运</w:t>
                  </w:r>
                </w:p>
                <w:p w14:paraId="396948B4">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工程</w:t>
                  </w:r>
                </w:p>
              </w:tc>
              <w:tc>
                <w:tcPr>
                  <w:tcW w:w="544" w:type="pct"/>
                  <w:noWrap w:val="0"/>
                  <w:vAlign w:val="center"/>
                </w:tcPr>
                <w:p w14:paraId="3552C233">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试剂库</w:t>
                  </w:r>
                </w:p>
              </w:tc>
              <w:tc>
                <w:tcPr>
                  <w:tcW w:w="3186" w:type="pct"/>
                  <w:noWrap w:val="0"/>
                  <w:vAlign w:val="center"/>
                </w:tcPr>
                <w:p w14:paraId="4C828D1A">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val="en-US" w:eastAsia="zh-CN" w:bidi="ar-SA"/>
                    </w:rPr>
                    <w:t>位于</w:t>
                  </w:r>
                  <w:r>
                    <w:rPr>
                      <w:rFonts w:hint="eastAsia" w:cs="Times New Roman"/>
                      <w:b w:val="0"/>
                      <w:bCs w:val="0"/>
                      <w:color w:val="auto"/>
                      <w:kern w:val="2"/>
                      <w:sz w:val="21"/>
                      <w:szCs w:val="21"/>
                      <w:highlight w:val="none"/>
                      <w:lang w:val="en-US" w:eastAsia="zh-CN" w:bidi="ar-SA"/>
                    </w:rPr>
                    <w:t>三楼</w:t>
                  </w:r>
                  <w:r>
                    <w:rPr>
                      <w:rFonts w:hint="default" w:ascii="Times New Roman" w:hAnsi="Times New Roman" w:eastAsia="宋体" w:cs="Times New Roman"/>
                      <w:b w:val="0"/>
                      <w:bCs w:val="0"/>
                      <w:color w:val="auto"/>
                      <w:kern w:val="2"/>
                      <w:sz w:val="21"/>
                      <w:szCs w:val="21"/>
                      <w:highlight w:val="none"/>
                      <w:lang w:val="en-US" w:eastAsia="zh-CN" w:bidi="ar-SA"/>
                    </w:rPr>
                    <w:t>楼层</w:t>
                  </w:r>
                  <w:r>
                    <w:rPr>
                      <w:rFonts w:hint="eastAsia" w:cs="Times New Roman"/>
                      <w:b w:val="0"/>
                      <w:bCs w:val="0"/>
                      <w:color w:val="auto"/>
                      <w:kern w:val="2"/>
                      <w:sz w:val="21"/>
                      <w:szCs w:val="21"/>
                      <w:highlight w:val="none"/>
                      <w:lang w:val="en-US" w:eastAsia="zh-CN" w:bidi="ar-SA"/>
                    </w:rPr>
                    <w:t>中部，设置两间试剂库，面积均为12</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分别为</w:t>
                  </w:r>
                  <w:r>
                    <w:rPr>
                      <w:rFonts w:hint="eastAsia" w:ascii="Times New Roman" w:hAnsi="Times New Roman" w:eastAsia="宋体" w:cs="Times New Roman"/>
                      <w:color w:val="auto"/>
                      <w:kern w:val="2"/>
                      <w:sz w:val="21"/>
                      <w:szCs w:val="21"/>
                      <w:highlight w:val="none"/>
                      <w:vertAlign w:val="baseline"/>
                      <w:lang w:val="en-US" w:eastAsia="zh-CN" w:bidi="ar-SA"/>
                    </w:rPr>
                    <w:t>粉试剂和液体试剂，</w:t>
                  </w:r>
                  <w:r>
                    <w:rPr>
                      <w:rFonts w:hint="default" w:ascii="Times New Roman" w:hAnsi="Times New Roman" w:cs="Times New Roman"/>
                      <w:color w:val="auto"/>
                      <w:kern w:val="2"/>
                      <w:sz w:val="21"/>
                      <w:szCs w:val="21"/>
                      <w:highlight w:val="none"/>
                      <w:vertAlign w:val="baseline"/>
                      <w:lang w:val="en-US" w:eastAsia="zh-CN" w:bidi="ar-SA"/>
                    </w:rPr>
                    <w:t>主要用于检测试剂的存储</w:t>
                  </w:r>
                  <w:r>
                    <w:rPr>
                      <w:rFonts w:hint="eastAsia" w:cs="Times New Roman"/>
                      <w:color w:val="auto"/>
                      <w:kern w:val="2"/>
                      <w:sz w:val="21"/>
                      <w:szCs w:val="21"/>
                      <w:highlight w:val="none"/>
                      <w:vertAlign w:val="baseline"/>
                      <w:lang w:val="en-US" w:eastAsia="zh-CN" w:bidi="ar-SA"/>
                    </w:rPr>
                    <w:t>。</w:t>
                  </w:r>
                </w:p>
              </w:tc>
              <w:tc>
                <w:tcPr>
                  <w:tcW w:w="812" w:type="pct"/>
                  <w:vMerge w:val="restart"/>
                  <w:noWrap w:val="0"/>
                  <w:vAlign w:val="center"/>
                </w:tcPr>
                <w:p w14:paraId="3976AE88">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r>
                    <w:rPr>
                      <w:rFonts w:hint="eastAsia"/>
                      <w:color w:val="auto"/>
                      <w:sz w:val="21"/>
                      <w:szCs w:val="21"/>
                      <w:highlight w:val="none"/>
                      <w:lang w:val="en-US" w:eastAsia="zh-CN"/>
                    </w:rPr>
                    <w:t>租赁办公楼内部划分调整</w:t>
                  </w:r>
                </w:p>
              </w:tc>
            </w:tr>
            <w:tr w14:paraId="15CA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4603429C">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5EA3B22B">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采样设备室</w:t>
                  </w:r>
                </w:p>
              </w:tc>
              <w:tc>
                <w:tcPr>
                  <w:tcW w:w="3186" w:type="pct"/>
                  <w:noWrap w:val="0"/>
                  <w:vAlign w:val="center"/>
                </w:tcPr>
                <w:p w14:paraId="12C657E5">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位于一楼楼层西侧，建筑面积</w:t>
                  </w:r>
                  <w:r>
                    <w:rPr>
                      <w:rFonts w:hint="default" w:ascii="Times New Roman" w:hAnsi="Times New Roman" w:cs="Times New Roman"/>
                      <w:b w:val="0"/>
                      <w:bCs w:val="0"/>
                      <w:color w:val="auto"/>
                      <w:kern w:val="2"/>
                      <w:sz w:val="21"/>
                      <w:szCs w:val="21"/>
                      <w:highlight w:val="none"/>
                      <w:lang w:val="en-US" w:eastAsia="zh-CN" w:bidi="ar-SA"/>
                    </w:rPr>
                    <w:t>1</w:t>
                  </w:r>
                  <w:r>
                    <w:rPr>
                      <w:rFonts w:hint="eastAsia" w:cs="Times New Roman"/>
                      <w:b w:val="0"/>
                      <w:bCs w:val="0"/>
                      <w:color w:val="auto"/>
                      <w:kern w:val="2"/>
                      <w:sz w:val="21"/>
                      <w:szCs w:val="21"/>
                      <w:highlight w:val="none"/>
                      <w:lang w:val="en-US" w:eastAsia="zh-CN" w:bidi="ar-SA"/>
                    </w:rPr>
                    <w:t>30</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cs="Times New Roman"/>
                      <w:color w:val="auto"/>
                      <w:kern w:val="2"/>
                      <w:sz w:val="21"/>
                      <w:szCs w:val="21"/>
                      <w:highlight w:val="none"/>
                      <w:vertAlign w:val="baseline"/>
                      <w:lang w:val="en-US" w:eastAsia="zh-CN" w:bidi="ar-SA"/>
                    </w:rPr>
                    <w:t>主要用于</w:t>
                  </w:r>
                  <w:r>
                    <w:rPr>
                      <w:rFonts w:hint="eastAsia" w:cs="Times New Roman"/>
                      <w:color w:val="auto"/>
                      <w:kern w:val="2"/>
                      <w:sz w:val="21"/>
                      <w:szCs w:val="21"/>
                      <w:highlight w:val="none"/>
                      <w:vertAlign w:val="baseline"/>
                      <w:lang w:val="en-US" w:eastAsia="zh-CN" w:bidi="ar-SA"/>
                    </w:rPr>
                    <w:t>采样</w:t>
                  </w:r>
                  <w:r>
                    <w:rPr>
                      <w:rFonts w:hint="default" w:ascii="Times New Roman" w:hAnsi="Times New Roman" w:cs="Times New Roman"/>
                      <w:color w:val="auto"/>
                      <w:kern w:val="2"/>
                      <w:sz w:val="21"/>
                      <w:szCs w:val="21"/>
                      <w:highlight w:val="none"/>
                      <w:vertAlign w:val="baseline"/>
                      <w:lang w:val="en-US" w:eastAsia="zh-CN" w:bidi="ar-SA"/>
                    </w:rPr>
                    <w:t>检测</w:t>
                  </w:r>
                  <w:r>
                    <w:rPr>
                      <w:rFonts w:hint="eastAsia" w:cs="Times New Roman"/>
                      <w:color w:val="auto"/>
                      <w:kern w:val="2"/>
                      <w:sz w:val="21"/>
                      <w:szCs w:val="21"/>
                      <w:highlight w:val="none"/>
                      <w:vertAlign w:val="baseline"/>
                      <w:lang w:val="en-US" w:eastAsia="zh-CN" w:bidi="ar-SA"/>
                    </w:rPr>
                    <w:t>设备的</w:t>
                  </w:r>
                  <w:r>
                    <w:rPr>
                      <w:rFonts w:hint="default" w:ascii="Times New Roman" w:hAnsi="Times New Roman" w:cs="Times New Roman"/>
                      <w:color w:val="auto"/>
                      <w:kern w:val="2"/>
                      <w:sz w:val="21"/>
                      <w:szCs w:val="21"/>
                      <w:highlight w:val="none"/>
                      <w:vertAlign w:val="baseline"/>
                      <w:lang w:val="en-US" w:eastAsia="zh-CN" w:bidi="ar-SA"/>
                    </w:rPr>
                    <w:t>存储</w:t>
                  </w:r>
                  <w:r>
                    <w:rPr>
                      <w:rFonts w:hint="eastAsia" w:cs="Times New Roman"/>
                      <w:color w:val="auto"/>
                      <w:kern w:val="2"/>
                      <w:sz w:val="21"/>
                      <w:szCs w:val="21"/>
                      <w:highlight w:val="none"/>
                      <w:vertAlign w:val="baseline"/>
                      <w:lang w:val="en-US" w:eastAsia="zh-CN" w:bidi="ar-SA"/>
                    </w:rPr>
                    <w:t>。</w:t>
                  </w:r>
                </w:p>
              </w:tc>
              <w:tc>
                <w:tcPr>
                  <w:tcW w:w="812" w:type="pct"/>
                  <w:vMerge w:val="continue"/>
                  <w:noWrap w:val="0"/>
                  <w:vAlign w:val="center"/>
                </w:tcPr>
                <w:p w14:paraId="0AE3EA69">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p>
              </w:tc>
            </w:tr>
            <w:tr w14:paraId="61EA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6" w:type="pct"/>
                  <w:vMerge w:val="continue"/>
                  <w:noWrap w:val="0"/>
                  <w:vAlign w:val="center"/>
                </w:tcPr>
                <w:p w14:paraId="552A1977">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63927778">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档案室</w:t>
                  </w:r>
                </w:p>
              </w:tc>
              <w:tc>
                <w:tcPr>
                  <w:tcW w:w="3186" w:type="pct"/>
                  <w:noWrap w:val="0"/>
                  <w:vAlign w:val="center"/>
                </w:tcPr>
                <w:p w14:paraId="240C7BF3">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color w:val="auto"/>
                      <w:sz w:val="21"/>
                      <w:szCs w:val="21"/>
                      <w:highlight w:val="none"/>
                      <w:lang w:val="en-US" w:eastAsia="zh-CN"/>
                    </w:rPr>
                    <w:t>位于二楼楼层北部中侧，建筑面积</w:t>
                  </w:r>
                  <w:r>
                    <w:rPr>
                      <w:rFonts w:hint="eastAsia" w:cs="Times New Roman"/>
                      <w:b w:val="0"/>
                      <w:bCs w:val="0"/>
                      <w:color w:val="auto"/>
                      <w:kern w:val="2"/>
                      <w:sz w:val="21"/>
                      <w:szCs w:val="21"/>
                      <w:highlight w:val="none"/>
                      <w:lang w:val="en-US" w:eastAsia="zh-CN" w:bidi="ar-SA"/>
                    </w:rPr>
                    <w:t>22</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default" w:ascii="Times New Roman" w:hAnsi="Times New Roman" w:cs="Times New Roman"/>
                      <w:color w:val="auto"/>
                      <w:kern w:val="2"/>
                      <w:sz w:val="21"/>
                      <w:szCs w:val="21"/>
                      <w:highlight w:val="none"/>
                      <w:vertAlign w:val="baseline"/>
                      <w:lang w:val="en-US" w:eastAsia="zh-CN" w:bidi="ar-SA"/>
                    </w:rPr>
                    <w:t>主要用于</w:t>
                  </w:r>
                  <w:r>
                    <w:rPr>
                      <w:rFonts w:hint="eastAsia" w:cs="Times New Roman"/>
                      <w:color w:val="auto"/>
                      <w:kern w:val="2"/>
                      <w:sz w:val="21"/>
                      <w:szCs w:val="21"/>
                      <w:highlight w:val="none"/>
                      <w:vertAlign w:val="baseline"/>
                      <w:lang w:val="en-US" w:eastAsia="zh-CN" w:bidi="ar-SA"/>
                    </w:rPr>
                    <w:t>档案保存。</w:t>
                  </w:r>
                </w:p>
              </w:tc>
              <w:tc>
                <w:tcPr>
                  <w:tcW w:w="812" w:type="pct"/>
                  <w:vMerge w:val="continue"/>
                  <w:noWrap w:val="0"/>
                  <w:vAlign w:val="center"/>
                </w:tcPr>
                <w:p w14:paraId="41E2DBCD">
                  <w:pPr>
                    <w:pStyle w:val="27"/>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7E48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restart"/>
                  <w:noWrap w:val="0"/>
                  <w:vAlign w:val="center"/>
                </w:tcPr>
                <w:p w14:paraId="07477378">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环保</w:t>
                  </w:r>
                </w:p>
                <w:p w14:paraId="4B83B0EA">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工程</w:t>
                  </w:r>
                </w:p>
              </w:tc>
              <w:tc>
                <w:tcPr>
                  <w:tcW w:w="544" w:type="pct"/>
                  <w:noWrap w:val="0"/>
                  <w:vAlign w:val="center"/>
                </w:tcPr>
                <w:p w14:paraId="25CB9E13">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废水</w:t>
                  </w:r>
                </w:p>
                <w:p w14:paraId="5CE9BEB3">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治理</w:t>
                  </w:r>
                </w:p>
              </w:tc>
              <w:tc>
                <w:tcPr>
                  <w:tcW w:w="3186" w:type="pct"/>
                  <w:noWrap w:val="0"/>
                  <w:vAlign w:val="center"/>
                </w:tcPr>
                <w:p w14:paraId="2C57DDE5">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雨污分流，雨水接管雨水管网，</w:t>
                  </w:r>
                  <w:r>
                    <w:rPr>
                      <w:rFonts w:hint="eastAsia"/>
                      <w:color w:val="auto"/>
                      <w:sz w:val="21"/>
                      <w:szCs w:val="21"/>
                      <w:highlight w:val="none"/>
                    </w:rPr>
                    <w:t>样品标定、水样、器皿清洗等部分废水涉重、涉有机溶剂，企业不具备处理能力的作为危废处置，剩余进入污水处理设施处理后进入园区污水管网；喷淋废水周期性排放，进入污水处理设施处理后进入园区污水管网；纯水机反冲洗废水接管园区污水管网进入市政污水管网；</w:t>
                  </w:r>
                  <w:r>
                    <w:rPr>
                      <w:rFonts w:hint="eastAsia"/>
                      <w:color w:val="0000FF"/>
                      <w:sz w:val="21"/>
                      <w:szCs w:val="21"/>
                      <w:highlight w:val="none"/>
                    </w:rPr>
                    <w:t>生活污水</w:t>
                  </w:r>
                  <w:r>
                    <w:rPr>
                      <w:rFonts w:hint="eastAsia"/>
                      <w:color w:val="0000FF"/>
                      <w:sz w:val="21"/>
                      <w:szCs w:val="21"/>
                      <w:highlight w:val="none"/>
                      <w:lang w:eastAsia="zh-CN"/>
                    </w:rPr>
                    <w:t>、</w:t>
                  </w:r>
                  <w:r>
                    <w:rPr>
                      <w:rFonts w:hint="eastAsia"/>
                      <w:color w:val="0000FF"/>
                      <w:sz w:val="21"/>
                      <w:szCs w:val="21"/>
                      <w:highlight w:val="none"/>
                    </w:rPr>
                    <w:t>保洁废水</w:t>
                  </w:r>
                  <w:r>
                    <w:rPr>
                      <w:rFonts w:hint="eastAsia"/>
                      <w:color w:val="auto"/>
                      <w:sz w:val="21"/>
                      <w:szCs w:val="21"/>
                      <w:highlight w:val="none"/>
                    </w:rPr>
                    <w:t>经现有化粪池收集后接管市政污水管网</w:t>
                  </w:r>
                  <w:r>
                    <w:rPr>
                      <w:rFonts w:hint="eastAsia"/>
                      <w:color w:val="auto"/>
                      <w:sz w:val="21"/>
                      <w:szCs w:val="21"/>
                      <w:highlight w:val="none"/>
                      <w:lang w:eastAsia="zh-CN"/>
                    </w:rPr>
                    <w:t>，</w:t>
                  </w:r>
                  <w:r>
                    <w:rPr>
                      <w:rFonts w:hint="eastAsia"/>
                      <w:color w:val="auto"/>
                      <w:sz w:val="21"/>
                      <w:szCs w:val="21"/>
                      <w:highlight w:val="none"/>
                      <w:lang w:val="en-US" w:eastAsia="zh-CN"/>
                    </w:rPr>
                    <w:t>污水经市政污水管网排入</w:t>
                  </w:r>
                  <w:r>
                    <w:rPr>
                      <w:rFonts w:hint="default"/>
                      <w:color w:val="auto"/>
                      <w:highlight w:val="none"/>
                    </w:rPr>
                    <w:t>山南新区污水处理厂</w:t>
                  </w:r>
                  <w:r>
                    <w:rPr>
                      <w:rFonts w:hint="eastAsia"/>
                      <w:color w:val="auto"/>
                      <w:sz w:val="21"/>
                      <w:szCs w:val="21"/>
                      <w:highlight w:val="none"/>
                    </w:rPr>
                    <w:t>集中处理</w:t>
                  </w:r>
                  <w:r>
                    <w:rPr>
                      <w:rFonts w:hint="eastAsia"/>
                      <w:color w:val="auto"/>
                      <w:sz w:val="21"/>
                      <w:szCs w:val="21"/>
                      <w:highlight w:val="none"/>
                      <w:lang w:eastAsia="zh-CN"/>
                    </w:rPr>
                    <w:t>，</w:t>
                  </w:r>
                  <w:r>
                    <w:rPr>
                      <w:color w:val="auto"/>
                      <w:sz w:val="21"/>
                      <w:szCs w:val="21"/>
                      <w:highlight w:val="none"/>
                    </w:rPr>
                    <w:t>废水排放量为</w:t>
                  </w:r>
                  <w:r>
                    <w:rPr>
                      <w:rFonts w:hint="eastAsia"/>
                      <w:color w:val="auto"/>
                      <w:sz w:val="21"/>
                      <w:szCs w:val="21"/>
                      <w:highlight w:val="none"/>
                      <w:lang w:val="en-US" w:eastAsia="zh-CN"/>
                    </w:rPr>
                    <w:t>1585.325</w:t>
                  </w:r>
                  <w:r>
                    <w:rPr>
                      <w:color w:val="auto"/>
                      <w:sz w:val="21"/>
                      <w:szCs w:val="21"/>
                      <w:highlight w:val="none"/>
                    </w:rPr>
                    <w:t>t/a</w:t>
                  </w:r>
                </w:p>
              </w:tc>
              <w:tc>
                <w:tcPr>
                  <w:tcW w:w="812" w:type="pct"/>
                  <w:noWrap w:val="0"/>
                  <w:vAlign w:val="center"/>
                </w:tcPr>
                <w:p w14:paraId="3BA91316">
                  <w:pPr>
                    <w:pStyle w:val="27"/>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污水管网依托租赁园区现有污水管网，实验废水处理设备新建</w:t>
                  </w:r>
                </w:p>
              </w:tc>
            </w:tr>
            <w:tr w14:paraId="1269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5AAA4DF0">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3B6D756E">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噪声</w:t>
                  </w:r>
                </w:p>
                <w:p w14:paraId="0556A27F">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治理</w:t>
                  </w:r>
                </w:p>
              </w:tc>
              <w:tc>
                <w:tcPr>
                  <w:tcW w:w="3186" w:type="pct"/>
                  <w:noWrap w:val="0"/>
                  <w:vAlign w:val="center"/>
                </w:tcPr>
                <w:p w14:paraId="059632F2">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高噪声</w:t>
                  </w:r>
                  <w:r>
                    <w:rPr>
                      <w:color w:val="auto"/>
                      <w:sz w:val="21"/>
                      <w:szCs w:val="21"/>
                      <w:highlight w:val="none"/>
                    </w:rPr>
                    <w:t>设备配备基础减振装置</w:t>
                  </w:r>
                  <w:r>
                    <w:rPr>
                      <w:rFonts w:hint="eastAsia"/>
                      <w:color w:val="auto"/>
                      <w:sz w:val="21"/>
                      <w:szCs w:val="21"/>
                      <w:highlight w:val="none"/>
                    </w:rPr>
                    <w:t>，车间生产期间门窗关闭，厂房隔声，风机配备消声措施，各类生产设备选用低噪声</w:t>
                  </w:r>
                  <w:r>
                    <w:rPr>
                      <w:rFonts w:hint="eastAsia"/>
                      <w:color w:val="auto"/>
                      <w:sz w:val="21"/>
                      <w:szCs w:val="21"/>
                      <w:highlight w:val="none"/>
                      <w:lang w:val="en-US" w:eastAsia="zh-CN"/>
                    </w:rPr>
                    <w:t>设备</w:t>
                  </w:r>
                </w:p>
              </w:tc>
              <w:tc>
                <w:tcPr>
                  <w:tcW w:w="812" w:type="pct"/>
                  <w:noWrap w:val="0"/>
                  <w:vAlign w:val="center"/>
                </w:tcPr>
                <w:p w14:paraId="7AE09855">
                  <w:pPr>
                    <w:pStyle w:val="27"/>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48F7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45C5DE34">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vMerge w:val="restart"/>
                  <w:noWrap w:val="0"/>
                  <w:vAlign w:val="center"/>
                </w:tcPr>
                <w:p w14:paraId="4F06297D">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废气</w:t>
                  </w:r>
                </w:p>
                <w:p w14:paraId="4009900A">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治理</w:t>
                  </w:r>
                </w:p>
              </w:tc>
              <w:tc>
                <w:tcPr>
                  <w:tcW w:w="3186" w:type="pct"/>
                  <w:noWrap w:val="0"/>
                  <w:vAlign w:val="center"/>
                </w:tcPr>
                <w:p w14:paraId="6684FAE9">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eastAsia="zh-CN"/>
                    </w:rPr>
                  </w:pPr>
                  <w:r>
                    <w:rPr>
                      <w:rFonts w:hint="eastAsia" w:ascii="Times New Roman" w:hAnsi="Times New Roman" w:eastAsia="宋体" w:cs="Times New Roman"/>
                      <w:color w:val="auto"/>
                      <w:sz w:val="21"/>
                      <w:szCs w:val="21"/>
                      <w:highlight w:val="none"/>
                    </w:rPr>
                    <w:t>酸雾气体经通风橱收集后经碱液喷淋装置处理后通过</w:t>
                  </w:r>
                  <w:r>
                    <w:rPr>
                      <w:rFonts w:hint="eastAsia"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rPr>
                    <w:t>m高（DA001）排气筒排放。</w:t>
                  </w:r>
                </w:p>
              </w:tc>
              <w:tc>
                <w:tcPr>
                  <w:tcW w:w="812" w:type="pct"/>
                  <w:noWrap w:val="0"/>
                  <w:vAlign w:val="center"/>
                </w:tcPr>
                <w:p w14:paraId="0D12D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w:t>
                  </w:r>
                </w:p>
              </w:tc>
            </w:tr>
            <w:tr w14:paraId="7345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vMerge w:val="continue"/>
                  <w:noWrap w:val="0"/>
                  <w:vAlign w:val="center"/>
                </w:tcPr>
                <w:p w14:paraId="46CE3CA3">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vMerge w:val="continue"/>
                  <w:noWrap w:val="0"/>
                  <w:vAlign w:val="center"/>
                </w:tcPr>
                <w:p w14:paraId="6B7313AE">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3186" w:type="pct"/>
                  <w:noWrap w:val="0"/>
                  <w:vAlign w:val="center"/>
                </w:tcPr>
                <w:p w14:paraId="0011CDE0">
                  <w:pPr>
                    <w:pStyle w:val="27"/>
                    <w:keepNext w:val="0"/>
                    <w:keepLines w:val="0"/>
                    <w:suppressLineNumbers w:val="0"/>
                    <w:bidi w:val="0"/>
                    <w:spacing w:before="0" w:beforeAutospacing="0" w:after="0" w:afterAutospacing="0"/>
                    <w:ind w:left="0" w:right="0"/>
                    <w:jc w:val="center"/>
                    <w:rPr>
                      <w:color w:val="auto"/>
                      <w:sz w:val="21"/>
                      <w:szCs w:val="21"/>
                      <w:highlight w:val="none"/>
                    </w:rPr>
                  </w:pPr>
                  <w:r>
                    <w:rPr>
                      <w:rFonts w:hint="eastAsia" w:ascii="Times New Roman" w:hAnsi="Times New Roman" w:eastAsia="宋体" w:cs="Times New Roman"/>
                      <w:color w:val="auto"/>
                      <w:sz w:val="21"/>
                      <w:szCs w:val="21"/>
                      <w:highlight w:val="none"/>
                    </w:rPr>
                    <w:t>有机废气经集气罩收集，通过二级活性炭吸附处理，最后通过</w:t>
                  </w:r>
                  <w:r>
                    <w:rPr>
                      <w:rFonts w:hint="eastAsia"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rPr>
                    <w:t>m高（DA00</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）排气筒排放</w:t>
                  </w:r>
                </w:p>
              </w:tc>
              <w:tc>
                <w:tcPr>
                  <w:tcW w:w="812" w:type="pct"/>
                  <w:noWrap w:val="0"/>
                  <w:vAlign w:val="center"/>
                </w:tcPr>
                <w:p w14:paraId="22EA5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4985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797DB53E">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vMerge w:val="restart"/>
                  <w:noWrap w:val="0"/>
                  <w:vAlign w:val="center"/>
                </w:tcPr>
                <w:p w14:paraId="30916256">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color w:val="auto"/>
                      <w:sz w:val="21"/>
                      <w:szCs w:val="21"/>
                      <w:highlight w:val="none"/>
                    </w:rPr>
                    <w:t>固废</w:t>
                  </w:r>
                </w:p>
                <w:p w14:paraId="2106673E">
                  <w:pPr>
                    <w:pStyle w:val="27"/>
                    <w:keepNext w:val="0"/>
                    <w:keepLines w:val="0"/>
                    <w:suppressLineNumbers w:val="0"/>
                    <w:bidi w:val="0"/>
                    <w:spacing w:before="0" w:beforeAutospacing="0" w:after="0" w:afterAutospacing="0"/>
                    <w:ind w:left="0" w:right="0"/>
                    <w:jc w:val="center"/>
                    <w:rPr>
                      <w:color w:val="auto"/>
                      <w:sz w:val="21"/>
                      <w:szCs w:val="21"/>
                      <w:highlight w:val="none"/>
                    </w:rPr>
                  </w:pPr>
                  <w:r>
                    <w:rPr>
                      <w:color w:val="auto"/>
                      <w:sz w:val="21"/>
                      <w:szCs w:val="21"/>
                      <w:highlight w:val="none"/>
                    </w:rPr>
                    <w:t>治理</w:t>
                  </w:r>
                </w:p>
              </w:tc>
              <w:tc>
                <w:tcPr>
                  <w:tcW w:w="3186" w:type="pct"/>
                  <w:noWrap w:val="0"/>
                  <w:vAlign w:val="center"/>
                </w:tcPr>
                <w:p w14:paraId="45CCCC82">
                  <w:pPr>
                    <w:pStyle w:val="6"/>
                    <w:keepNext w:val="0"/>
                    <w:keepLines w:val="0"/>
                    <w:suppressLineNumbers w:val="0"/>
                    <w:spacing w:before="0" w:beforeAutospacing="0" w:after="0" w:afterAutospacing="0" w:line="320" w:lineRule="exact"/>
                    <w:ind w:left="0" w:right="0" w:firstLine="420" w:firstLineChars="200"/>
                    <w:jc w:val="center"/>
                    <w:rPr>
                      <w:rFonts w:hint="eastAsia"/>
                      <w:color w:val="auto"/>
                      <w:sz w:val="21"/>
                      <w:szCs w:val="21"/>
                      <w:highlight w:val="none"/>
                    </w:rPr>
                  </w:pPr>
                  <w:r>
                    <w:rPr>
                      <w:rFonts w:hint="default"/>
                      <w:color w:val="auto"/>
                      <w:sz w:val="21"/>
                      <w:szCs w:val="21"/>
                      <w:highlight w:val="none"/>
                    </w:rPr>
                    <w:t>生活垃圾委托环卫部门统一处理</w:t>
                  </w:r>
                </w:p>
              </w:tc>
              <w:tc>
                <w:tcPr>
                  <w:tcW w:w="812" w:type="pct"/>
                  <w:noWrap w:val="0"/>
                  <w:vAlign w:val="center"/>
                </w:tcPr>
                <w:p w14:paraId="7D852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6E3C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2511F257">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vMerge w:val="continue"/>
                  <w:noWrap w:val="0"/>
                  <w:vAlign w:val="center"/>
                </w:tcPr>
                <w:p w14:paraId="3073410A">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3186" w:type="pct"/>
                  <w:noWrap w:val="0"/>
                  <w:vAlign w:val="center"/>
                </w:tcPr>
                <w:p w14:paraId="27D0386A">
                  <w:pPr>
                    <w:pStyle w:val="6"/>
                    <w:keepNext w:val="0"/>
                    <w:keepLines w:val="0"/>
                    <w:suppressLineNumbers w:val="0"/>
                    <w:spacing w:before="0" w:beforeAutospacing="0" w:after="0" w:afterAutospacing="0" w:line="320" w:lineRule="exact"/>
                    <w:ind w:left="0" w:right="0" w:firstLine="420" w:firstLineChars="200"/>
                    <w:jc w:val="center"/>
                    <w:rPr>
                      <w:rFonts w:hint="default" w:eastAsia="宋体"/>
                      <w:color w:val="auto"/>
                      <w:sz w:val="21"/>
                      <w:szCs w:val="21"/>
                      <w:highlight w:val="none"/>
                      <w:lang w:val="en-US" w:eastAsia="zh-CN"/>
                    </w:rPr>
                  </w:pPr>
                  <w:r>
                    <w:rPr>
                      <w:rFonts w:hint="default"/>
                      <w:color w:val="auto"/>
                      <w:sz w:val="21"/>
                      <w:szCs w:val="21"/>
                      <w:highlight w:val="none"/>
                    </w:rPr>
                    <w:t>废过滤膜定期由厂家回收</w:t>
                  </w:r>
                  <w:r>
                    <w:rPr>
                      <w:rFonts w:hint="eastAsia"/>
                      <w:color w:val="auto"/>
                      <w:sz w:val="21"/>
                      <w:szCs w:val="21"/>
                      <w:highlight w:val="none"/>
                      <w:lang w:eastAsia="zh-CN"/>
                    </w:rPr>
                    <w:t>，</w:t>
                  </w:r>
                  <w:r>
                    <w:rPr>
                      <w:rFonts w:hint="eastAsia"/>
                      <w:color w:val="auto"/>
                      <w:sz w:val="21"/>
                      <w:szCs w:val="21"/>
                      <w:highlight w:val="none"/>
                      <w:lang w:val="en-US" w:eastAsia="zh-CN"/>
                    </w:rPr>
                    <w:t>废包装材料收集后外售，一般土样收集用于绿化用土</w:t>
                  </w:r>
                </w:p>
              </w:tc>
              <w:tc>
                <w:tcPr>
                  <w:tcW w:w="812" w:type="pct"/>
                  <w:noWrap w:val="0"/>
                  <w:vAlign w:val="center"/>
                </w:tcPr>
                <w:p w14:paraId="3D076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89F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456" w:type="pct"/>
                  <w:vMerge w:val="continue"/>
                  <w:noWrap w:val="0"/>
                  <w:vAlign w:val="center"/>
                </w:tcPr>
                <w:p w14:paraId="33D98172">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vMerge w:val="continue"/>
                  <w:noWrap w:val="0"/>
                  <w:vAlign w:val="center"/>
                </w:tcPr>
                <w:p w14:paraId="57DC9979">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3186" w:type="pct"/>
                  <w:noWrap w:val="0"/>
                  <w:vAlign w:val="center"/>
                </w:tcPr>
                <w:p w14:paraId="72C99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420" w:firstLineChars="200"/>
                    <w:jc w:val="both"/>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实验室废物（</w:t>
                  </w:r>
                  <w:r>
                    <w:rPr>
                      <w:rFonts w:hint="default"/>
                      <w:color w:val="auto"/>
                      <w:sz w:val="21"/>
                      <w:szCs w:val="21"/>
                      <w:highlight w:val="none"/>
                    </w:rPr>
                    <w:t>废酸碱、有机废液、重金属废液、</w:t>
                  </w:r>
                  <w:r>
                    <w:rPr>
                      <w:rFonts w:hint="eastAsia"/>
                      <w:color w:val="auto"/>
                      <w:sz w:val="21"/>
                      <w:szCs w:val="21"/>
                      <w:highlight w:val="none"/>
                      <w:lang w:val="en-US" w:eastAsia="zh-CN"/>
                    </w:rPr>
                    <w:t>润洗水</w:t>
                  </w:r>
                  <w:r>
                    <w:rPr>
                      <w:rFonts w:hint="default"/>
                      <w:color w:val="auto"/>
                      <w:sz w:val="21"/>
                      <w:szCs w:val="21"/>
                      <w:highlight w:val="none"/>
                    </w:rPr>
                    <w:t>、废试剂、废试剂空瓶和实验废渣等，沾染试剂的废实验器皿、废手套</w:t>
                  </w:r>
                  <w:r>
                    <w:rPr>
                      <w:rFonts w:hint="eastAsia"/>
                      <w:color w:val="auto"/>
                      <w:sz w:val="21"/>
                      <w:szCs w:val="21"/>
                      <w:highlight w:val="none"/>
                      <w:lang w:val="en-US" w:eastAsia="zh-CN"/>
                    </w:rPr>
                    <w:t>）</w:t>
                  </w:r>
                  <w:r>
                    <w:rPr>
                      <w:rFonts w:hint="eastAsia"/>
                      <w:color w:val="auto"/>
                      <w:sz w:val="21"/>
                      <w:szCs w:val="21"/>
                      <w:highlight w:val="none"/>
                      <w:lang w:eastAsia="zh-CN"/>
                    </w:rPr>
                    <w:t>、废紫外线灯管、污水处理设施污泥、</w:t>
                  </w:r>
                  <w:r>
                    <w:rPr>
                      <w:rFonts w:hint="default"/>
                      <w:color w:val="auto"/>
                      <w:sz w:val="21"/>
                      <w:szCs w:val="21"/>
                      <w:highlight w:val="none"/>
                    </w:rPr>
                    <w:t>更换的废活性炭</w:t>
                  </w:r>
                  <w:r>
                    <w:rPr>
                      <w:rFonts w:hint="eastAsia"/>
                      <w:color w:val="auto"/>
                      <w:sz w:val="21"/>
                      <w:szCs w:val="21"/>
                      <w:highlight w:val="none"/>
                      <w:lang w:eastAsia="zh-CN"/>
                    </w:rPr>
                    <w:t>、实验室剩余土壤样品（</w:t>
                  </w:r>
                  <w:r>
                    <w:rPr>
                      <w:rFonts w:hint="eastAsia"/>
                      <w:color w:val="auto"/>
                      <w:sz w:val="21"/>
                      <w:szCs w:val="21"/>
                      <w:highlight w:val="none"/>
                      <w:lang w:val="en-US" w:eastAsia="zh-CN"/>
                    </w:rPr>
                    <w:t>涉重</w:t>
                  </w:r>
                  <w:r>
                    <w:rPr>
                      <w:rFonts w:hint="eastAsia"/>
                      <w:color w:val="auto"/>
                      <w:sz w:val="21"/>
                      <w:szCs w:val="21"/>
                      <w:highlight w:val="none"/>
                      <w:lang w:eastAsia="zh-CN"/>
                    </w:rPr>
                    <w:t>）</w:t>
                  </w:r>
                  <w:r>
                    <w:rPr>
                      <w:rFonts w:hint="default"/>
                      <w:color w:val="auto"/>
                      <w:sz w:val="21"/>
                      <w:szCs w:val="21"/>
                      <w:highlight w:val="none"/>
                    </w:rPr>
                    <w:t>属于危险废物，在</w:t>
                  </w:r>
                  <w:r>
                    <w:rPr>
                      <w:rFonts w:hint="eastAsia"/>
                      <w:color w:val="auto"/>
                      <w:sz w:val="21"/>
                      <w:szCs w:val="21"/>
                      <w:highlight w:val="none"/>
                      <w:lang w:val="en-US" w:eastAsia="zh-CN"/>
                    </w:rPr>
                    <w:t>实验室一楼西北角</w:t>
                  </w:r>
                  <w:r>
                    <w:rPr>
                      <w:rFonts w:hint="default"/>
                      <w:color w:val="auto"/>
                      <w:sz w:val="21"/>
                      <w:szCs w:val="21"/>
                      <w:highlight w:val="none"/>
                    </w:rPr>
                    <w:t>设置5m</w:t>
                  </w:r>
                  <w:r>
                    <w:rPr>
                      <w:rFonts w:hint="default"/>
                      <w:color w:val="auto"/>
                      <w:sz w:val="21"/>
                      <w:szCs w:val="21"/>
                      <w:highlight w:val="none"/>
                      <w:vertAlign w:val="superscript"/>
                    </w:rPr>
                    <w:t>2</w:t>
                  </w:r>
                  <w:r>
                    <w:rPr>
                      <w:rFonts w:hint="default"/>
                      <w:color w:val="auto"/>
                      <w:sz w:val="21"/>
                      <w:szCs w:val="21"/>
                      <w:highlight w:val="none"/>
                    </w:rPr>
                    <w:t>危废暂存间，对项目产生的危废进行暂存，委托有资质单位处置</w:t>
                  </w:r>
                  <w:r>
                    <w:rPr>
                      <w:rFonts w:hint="eastAsia"/>
                      <w:color w:val="auto"/>
                      <w:sz w:val="21"/>
                      <w:szCs w:val="21"/>
                      <w:highlight w:val="none"/>
                      <w:lang w:eastAsia="zh-CN"/>
                    </w:rPr>
                    <w:t>。</w:t>
                  </w:r>
                </w:p>
              </w:tc>
              <w:tc>
                <w:tcPr>
                  <w:tcW w:w="812" w:type="pct"/>
                  <w:noWrap w:val="0"/>
                  <w:vAlign w:val="center"/>
                </w:tcPr>
                <w:p w14:paraId="4EE1A466">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42D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6" w:type="pct"/>
                  <w:vMerge w:val="continue"/>
                  <w:noWrap w:val="0"/>
                  <w:vAlign w:val="center"/>
                </w:tcPr>
                <w:p w14:paraId="34345065">
                  <w:pPr>
                    <w:pStyle w:val="27"/>
                    <w:keepNext w:val="0"/>
                    <w:keepLines w:val="0"/>
                    <w:suppressLineNumbers w:val="0"/>
                    <w:bidi w:val="0"/>
                    <w:spacing w:before="0" w:beforeAutospacing="0" w:after="0" w:afterAutospacing="0"/>
                    <w:ind w:left="0" w:right="0"/>
                    <w:jc w:val="center"/>
                    <w:rPr>
                      <w:color w:val="auto"/>
                      <w:sz w:val="21"/>
                      <w:szCs w:val="21"/>
                      <w:highlight w:val="none"/>
                    </w:rPr>
                  </w:pPr>
                </w:p>
              </w:tc>
              <w:tc>
                <w:tcPr>
                  <w:tcW w:w="544" w:type="pct"/>
                  <w:noWrap w:val="0"/>
                  <w:vAlign w:val="center"/>
                </w:tcPr>
                <w:p w14:paraId="5263EE89">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环境</w:t>
                  </w:r>
                </w:p>
                <w:p w14:paraId="0AAA258A">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风险</w:t>
                  </w:r>
                </w:p>
              </w:tc>
              <w:tc>
                <w:tcPr>
                  <w:tcW w:w="3186" w:type="pct"/>
                  <w:noWrap w:val="0"/>
                  <w:vAlign w:val="center"/>
                </w:tcPr>
                <w:p w14:paraId="7FBFD4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420" w:firstLineChars="200"/>
                    <w:jc w:val="left"/>
                    <w:textAlignment w:val="auto"/>
                    <w:rPr>
                      <w:rFonts w:hint="default"/>
                      <w:bCs/>
                      <w:color w:val="auto"/>
                      <w:sz w:val="21"/>
                      <w:szCs w:val="21"/>
                      <w:highlight w:val="none"/>
                    </w:rPr>
                  </w:pPr>
                  <w:r>
                    <w:rPr>
                      <w:rFonts w:hint="default"/>
                      <w:bCs/>
                      <w:color w:val="auto"/>
                      <w:sz w:val="21"/>
                      <w:szCs w:val="21"/>
                      <w:highlight w:val="none"/>
                    </w:rPr>
                    <w:t>（1）风险物质贮存过程中应加强管理工作</w:t>
                  </w:r>
                </w:p>
                <w:p w14:paraId="0F1C73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420" w:firstLineChars="200"/>
                    <w:jc w:val="left"/>
                    <w:textAlignment w:val="auto"/>
                    <w:rPr>
                      <w:rFonts w:hint="default"/>
                      <w:bCs/>
                      <w:color w:val="auto"/>
                      <w:sz w:val="21"/>
                      <w:szCs w:val="21"/>
                      <w:highlight w:val="none"/>
                    </w:rPr>
                  </w:pPr>
                  <w:r>
                    <w:rPr>
                      <w:rFonts w:hint="default"/>
                      <w:bCs/>
                      <w:color w:val="auto"/>
                      <w:sz w:val="21"/>
                      <w:szCs w:val="21"/>
                      <w:highlight w:val="none"/>
                    </w:rPr>
                    <w:t>①采用优质包装材料；②加强风险物质的管理，建立出入库台账；③管理人员应了解贮存物质的性质，将可能发生反应的物料分区分类存放；④加强定期巡查监管力度，定期检查贮存物质包装是否泄露；⑤加强运输过程中的规范化设置，</w:t>
                  </w:r>
                  <w:r>
                    <w:rPr>
                      <w:rFonts w:hint="eastAsia"/>
                      <w:bCs/>
                      <w:color w:val="auto"/>
                      <w:sz w:val="21"/>
                      <w:szCs w:val="21"/>
                      <w:highlight w:val="none"/>
                      <w:lang w:eastAsia="zh-CN"/>
                    </w:rPr>
                    <w:t>防止</w:t>
                  </w:r>
                  <w:r>
                    <w:rPr>
                      <w:rFonts w:hint="default"/>
                      <w:bCs/>
                      <w:color w:val="auto"/>
                      <w:sz w:val="21"/>
                      <w:szCs w:val="21"/>
                      <w:highlight w:val="none"/>
                    </w:rPr>
                    <w:t>运输过程中发生磕碰导致</w:t>
                  </w:r>
                  <w:r>
                    <w:rPr>
                      <w:rFonts w:hint="eastAsia"/>
                      <w:bCs/>
                      <w:color w:val="auto"/>
                      <w:sz w:val="21"/>
                      <w:szCs w:val="21"/>
                      <w:highlight w:val="none"/>
                      <w:lang w:eastAsia="zh-CN"/>
                    </w:rPr>
                    <w:t>泄漏</w:t>
                  </w:r>
                  <w:r>
                    <w:rPr>
                      <w:rFonts w:hint="default"/>
                      <w:bCs/>
                      <w:color w:val="auto"/>
                      <w:sz w:val="21"/>
                      <w:szCs w:val="21"/>
                      <w:highlight w:val="none"/>
                    </w:rPr>
                    <w:t>。</w:t>
                  </w:r>
                </w:p>
                <w:p w14:paraId="69392F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420" w:firstLineChars="200"/>
                    <w:jc w:val="left"/>
                    <w:textAlignment w:val="auto"/>
                    <w:rPr>
                      <w:rFonts w:hint="default"/>
                      <w:bCs/>
                      <w:color w:val="auto"/>
                      <w:sz w:val="21"/>
                      <w:szCs w:val="21"/>
                      <w:highlight w:val="none"/>
                    </w:rPr>
                  </w:pPr>
                  <w:r>
                    <w:rPr>
                      <w:rFonts w:hint="default"/>
                      <w:bCs/>
                      <w:color w:val="auto"/>
                      <w:sz w:val="21"/>
                      <w:szCs w:val="21"/>
                      <w:highlight w:val="none"/>
                    </w:rPr>
                    <w:t>（2）若现场发生泄漏，应及时进行覆盖、吸收，使泄漏物得到安全可靠的处置，防止二次事故的发生，按环保的要求处理泄漏的风险物质。</w:t>
                  </w:r>
                </w:p>
                <w:p w14:paraId="5239A3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420" w:firstLineChars="200"/>
                    <w:jc w:val="left"/>
                    <w:textAlignment w:val="auto"/>
                    <w:rPr>
                      <w:rFonts w:hint="default"/>
                      <w:bCs/>
                      <w:color w:val="auto"/>
                      <w:sz w:val="21"/>
                      <w:szCs w:val="21"/>
                      <w:highlight w:val="none"/>
                    </w:rPr>
                  </w:pPr>
                  <w:r>
                    <w:rPr>
                      <w:rFonts w:hint="eastAsia"/>
                      <w:bCs/>
                      <w:color w:val="auto"/>
                      <w:sz w:val="21"/>
                      <w:szCs w:val="21"/>
                      <w:highlight w:val="none"/>
                      <w:lang w:eastAsia="zh-CN"/>
                    </w:rPr>
                    <w:t>（</w:t>
                  </w:r>
                  <w:r>
                    <w:rPr>
                      <w:rFonts w:hint="default"/>
                      <w:bCs/>
                      <w:color w:val="auto"/>
                      <w:sz w:val="21"/>
                      <w:szCs w:val="21"/>
                      <w:highlight w:val="none"/>
                    </w:rPr>
                    <w:t>3）应急资源要重点做好堵漏工具和泄漏物料处理工具的配备及维修保护，个人应急防护及应急通信设备的维护，堵漏工具应包括粘贴式堵漏工具、阀门堵漏套具等。泄漏物料处理工具应包括溢流围堰、铁锹、消防应急砂棉等。</w:t>
                  </w:r>
                </w:p>
                <w:p w14:paraId="35CCEC3D">
                  <w:pPr>
                    <w:pStyle w:val="27"/>
                    <w:keepNext w:val="0"/>
                    <w:keepLines w:val="0"/>
                    <w:pageBreakBefore w:val="0"/>
                    <w:suppressLineNumbers w:val="0"/>
                    <w:kinsoku/>
                    <w:wordWrap/>
                    <w:overflowPunct/>
                    <w:topLinePunct w:val="0"/>
                    <w:autoSpaceDE/>
                    <w:autoSpaceDN/>
                    <w:bidi w:val="0"/>
                    <w:spacing w:before="0" w:beforeAutospacing="0" w:after="0" w:afterAutospacing="0"/>
                    <w:ind w:left="0" w:right="0" w:firstLine="420" w:firstLineChars="200"/>
                    <w:jc w:val="left"/>
                    <w:textAlignment w:val="auto"/>
                    <w:rPr>
                      <w:rFonts w:hint="eastAsia"/>
                      <w:color w:val="auto"/>
                      <w:sz w:val="21"/>
                      <w:szCs w:val="21"/>
                      <w:highlight w:val="none"/>
                    </w:rPr>
                  </w:pPr>
                  <w:r>
                    <w:rPr>
                      <w:bCs/>
                      <w:color w:val="auto"/>
                      <w:sz w:val="21"/>
                      <w:szCs w:val="21"/>
                      <w:highlight w:val="none"/>
                    </w:rPr>
                    <w:t>（4）建设单位应设置应急救援队伍，应急救援队伍各人员要定岗定位，各岗位人员还必须有备份，出现事故时依次上岗，保证事故发生后，能有人及时启动应急救援，防止恶性事故发生后无人操作。</w:t>
                  </w:r>
                </w:p>
              </w:tc>
              <w:tc>
                <w:tcPr>
                  <w:tcW w:w="812" w:type="pct"/>
                  <w:noWrap w:val="0"/>
                  <w:vAlign w:val="center"/>
                </w:tcPr>
                <w:p w14:paraId="409D0895">
                  <w:pPr>
                    <w:pStyle w:val="27"/>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w:t>
                  </w:r>
                </w:p>
              </w:tc>
            </w:tr>
          </w:tbl>
          <w:p w14:paraId="253F36EE">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3</w:t>
            </w:r>
            <w:r>
              <w:rPr>
                <w:rFonts w:hint="default"/>
                <w:b/>
                <w:bCs/>
                <w:color w:val="auto"/>
                <w:highlight w:val="none"/>
              </w:rPr>
              <w:t>产品方案</w:t>
            </w:r>
          </w:p>
          <w:p w14:paraId="15C36EC4">
            <w:pPr>
              <w:keepNext w:val="0"/>
              <w:keepLines w:val="0"/>
              <w:suppressLineNumbers w:val="0"/>
              <w:spacing w:before="0" w:beforeAutospacing="0" w:after="0" w:afterAutospacing="0"/>
              <w:ind w:left="0" w:right="0" w:firstLine="480" w:firstLineChars="200"/>
              <w:rPr>
                <w:rFonts w:hint="default"/>
                <w:b/>
                <w:color w:val="auto"/>
                <w:sz w:val="24"/>
                <w:szCs w:val="24"/>
                <w:highlight w:val="none"/>
              </w:rPr>
            </w:pPr>
            <w:r>
              <w:rPr>
                <w:rFonts w:hint="default"/>
                <w:color w:val="auto"/>
                <w:sz w:val="24"/>
                <w:szCs w:val="24"/>
                <w:highlight w:val="none"/>
              </w:rPr>
              <w:t>项目建成后检测范围包括：主要进行水和废水、空气和废气、土壤、生活饮用水、噪声、室内空气、固体废物、公共卫生等方面的检测。其具体检测内容及监测方法见下表。</w:t>
            </w:r>
          </w:p>
          <w:p w14:paraId="2AC813FB">
            <w:pPr>
              <w:keepNext w:val="0"/>
              <w:keepLines w:val="0"/>
              <w:suppressLineNumbers w:val="0"/>
              <w:spacing w:before="0" w:beforeAutospacing="0" w:after="0" w:afterAutospacing="0"/>
              <w:ind w:left="0" w:right="0" w:firstLine="422" w:firstLineChars="2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实验室检测能力范围及对应标准</w:t>
            </w:r>
          </w:p>
          <w:tbl>
            <w:tblPr>
              <w:tblStyle w:val="18"/>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37"/>
              <w:gridCol w:w="839"/>
              <w:gridCol w:w="1476"/>
              <w:gridCol w:w="5187"/>
            </w:tblGrid>
            <w:tr w14:paraId="5705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bottom w:val="single" w:color="auto" w:sz="4" w:space="0"/>
                    <w:right w:val="single" w:color="auto" w:sz="4" w:space="0"/>
                  </w:tcBorders>
                  <w:noWrap w:val="0"/>
                  <w:vAlign w:val="center"/>
                </w:tcPr>
                <w:p w14:paraId="7FC01EB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类别</w:t>
                  </w:r>
                </w:p>
              </w:tc>
              <w:tc>
                <w:tcPr>
                  <w:tcW w:w="2315" w:type="dxa"/>
                  <w:gridSpan w:val="2"/>
                  <w:tcBorders>
                    <w:top w:val="single" w:color="auto" w:sz="4" w:space="0"/>
                    <w:left w:val="single" w:color="auto" w:sz="4" w:space="0"/>
                    <w:bottom w:val="single" w:color="auto" w:sz="4" w:space="0"/>
                    <w:right w:val="single" w:color="auto" w:sz="4" w:space="0"/>
                  </w:tcBorders>
                  <w:noWrap w:val="0"/>
                  <w:vAlign w:val="center"/>
                </w:tcPr>
                <w:p w14:paraId="61DD25D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项目/参数</w:t>
                  </w:r>
                </w:p>
              </w:tc>
              <w:tc>
                <w:tcPr>
                  <w:tcW w:w="5187" w:type="dxa"/>
                  <w:vMerge w:val="restart"/>
                  <w:tcBorders>
                    <w:top w:val="single" w:color="auto" w:sz="4" w:space="0"/>
                    <w:left w:val="single" w:color="auto" w:sz="4" w:space="0"/>
                    <w:bottom w:val="single" w:color="auto" w:sz="4" w:space="0"/>
                    <w:right w:val="single" w:color="auto" w:sz="4" w:space="0"/>
                  </w:tcBorders>
                  <w:noWrap w:val="0"/>
                  <w:vAlign w:val="center"/>
                </w:tcPr>
                <w:p w14:paraId="4DA5B7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依据的标准（方法）名称及编号（含年号）</w:t>
                  </w:r>
                </w:p>
              </w:tc>
            </w:tr>
            <w:tr w14:paraId="2B54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7A5062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9B032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序号</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5D3A14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名称</w:t>
                  </w:r>
                </w:p>
              </w:tc>
              <w:tc>
                <w:tcPr>
                  <w:tcW w:w="5187" w:type="dxa"/>
                  <w:vMerge w:val="continue"/>
                  <w:tcBorders>
                    <w:top w:val="single" w:color="auto" w:sz="4" w:space="0"/>
                    <w:left w:val="single" w:color="auto" w:sz="4" w:space="0"/>
                    <w:bottom w:val="single" w:color="auto" w:sz="4" w:space="0"/>
                    <w:right w:val="single" w:color="auto" w:sz="4" w:space="0"/>
                  </w:tcBorders>
                  <w:noWrap w:val="0"/>
                  <w:vAlign w:val="center"/>
                </w:tcPr>
                <w:p w14:paraId="71B23CCE">
                  <w:pPr>
                    <w:keepNext w:val="0"/>
                    <w:keepLines w:val="0"/>
                    <w:pageBreakBefore w:val="0"/>
                    <w:suppressLineNumbers w:val="0"/>
                    <w:tabs>
                      <w:tab w:val="left" w:pos="855"/>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2FF1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right w:val="single" w:color="auto" w:sz="4" w:space="0"/>
                  </w:tcBorders>
                  <w:noWrap w:val="0"/>
                  <w:vAlign w:val="center"/>
                </w:tcPr>
                <w:p w14:paraId="606F17F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水和废水</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6032A9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CCD10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CAE0C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水质水温的测定温度计或颠倒温度计测定法GB13195-1991</w:t>
                  </w:r>
                </w:p>
              </w:tc>
            </w:tr>
            <w:tr w14:paraId="3D1D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53042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2FAA28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5E7278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外观</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CD993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外观 描述法《水和废水监测分析方法》（第三版）国家环境保护总局（1989年）</w:t>
                  </w:r>
                </w:p>
              </w:tc>
            </w:tr>
            <w:tr w14:paraId="705F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4DF7F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599EBE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B1515C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pH值</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13EA7A8">
                  <w:pPr>
                    <w:keepNext w:val="0"/>
                    <w:keepLines w:val="0"/>
                    <w:pageBreakBefore w:val="0"/>
                    <w:suppressLineNumbers w:val="0"/>
                    <w:tabs>
                      <w:tab w:val="left" w:pos="117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水质pH值的测定玻璃电极法GB6920-1986</w:t>
                  </w:r>
                </w:p>
              </w:tc>
            </w:tr>
            <w:tr w14:paraId="4703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5DCF9C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6FFCC5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4</w:t>
                  </w:r>
                </w:p>
              </w:tc>
              <w:tc>
                <w:tcPr>
                  <w:tcW w:w="1476" w:type="dxa"/>
                  <w:vMerge w:val="restart"/>
                  <w:tcBorders>
                    <w:top w:val="single" w:color="auto" w:sz="4" w:space="0"/>
                    <w:left w:val="single" w:color="auto" w:sz="4" w:space="0"/>
                    <w:right w:val="single" w:color="auto" w:sz="4" w:space="0"/>
                  </w:tcBorders>
                  <w:noWrap w:val="0"/>
                  <w:vAlign w:val="center"/>
                </w:tcPr>
                <w:p w14:paraId="6BB39AF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电导率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65D04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电导率实验室电导率仪法《水和废水监测分析方法》(第四版)国家环境保护总局(2002年)</w:t>
                  </w:r>
                </w:p>
              </w:tc>
            </w:tr>
            <w:tr w14:paraId="7EF8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15FF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57B750D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10A226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2478FC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便携式电导率仪法《</w:t>
                  </w:r>
                  <w:r>
                    <w:rPr>
                      <w:rFonts w:hint="default"/>
                      <w:bCs/>
                      <w:color w:val="auto"/>
                      <w:sz w:val="21"/>
                      <w:szCs w:val="21"/>
                      <w:highlight w:val="none"/>
                    </w:rPr>
                    <w:t>水和废水监测分析方法》(第四版)国家环境保护总局(2002年)</w:t>
                  </w:r>
                </w:p>
              </w:tc>
            </w:tr>
            <w:tr w14:paraId="67E7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FF453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B82A0F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w:t>
                  </w:r>
                </w:p>
              </w:tc>
              <w:tc>
                <w:tcPr>
                  <w:tcW w:w="1476" w:type="dxa"/>
                  <w:tcBorders>
                    <w:left w:val="single" w:color="auto" w:sz="4" w:space="0"/>
                    <w:bottom w:val="single" w:color="auto" w:sz="4" w:space="0"/>
                    <w:right w:val="single" w:color="auto" w:sz="4" w:space="0"/>
                  </w:tcBorders>
                  <w:noWrap w:val="0"/>
                  <w:vAlign w:val="center"/>
                </w:tcPr>
                <w:p w14:paraId="4D20B1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悬浮物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666ED3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r>
                    <w:rPr>
                      <w:rFonts w:hint="default"/>
                      <w:bCs/>
                      <w:color w:val="auto"/>
                      <w:sz w:val="21"/>
                      <w:szCs w:val="21"/>
                      <w:highlight w:val="none"/>
                    </w:rPr>
                    <w:t>水质</w:t>
                  </w:r>
                  <w:r>
                    <w:rPr>
                      <w:rFonts w:hint="eastAsia"/>
                      <w:bCs/>
                      <w:color w:val="auto"/>
                      <w:sz w:val="21"/>
                      <w:szCs w:val="21"/>
                      <w:highlight w:val="none"/>
                      <w:lang w:val="en-US" w:eastAsia="zh-CN"/>
                    </w:rPr>
                    <w:t xml:space="preserve"> 悬浮物的测定重量法</w:t>
                  </w:r>
                  <w:r>
                    <w:rPr>
                      <w:rFonts w:hint="default"/>
                      <w:bCs/>
                      <w:color w:val="auto"/>
                      <w:sz w:val="21"/>
                      <w:szCs w:val="21"/>
                      <w:highlight w:val="none"/>
                    </w:rPr>
                    <w:t>GB</w:t>
                  </w:r>
                  <w:r>
                    <w:rPr>
                      <w:rFonts w:hint="eastAsia"/>
                      <w:bCs/>
                      <w:color w:val="auto"/>
                      <w:sz w:val="21"/>
                      <w:szCs w:val="21"/>
                      <w:highlight w:val="none"/>
                      <w:lang w:val="en-US" w:eastAsia="zh-CN"/>
                    </w:rPr>
                    <w:t>11901-1989</w:t>
                  </w:r>
                </w:p>
              </w:tc>
            </w:tr>
            <w:tr w14:paraId="737B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671C2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645A65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6</w:t>
                  </w:r>
                </w:p>
              </w:tc>
              <w:tc>
                <w:tcPr>
                  <w:tcW w:w="1476" w:type="dxa"/>
                  <w:tcBorders>
                    <w:left w:val="single" w:color="auto" w:sz="4" w:space="0"/>
                    <w:bottom w:val="single" w:color="auto" w:sz="4" w:space="0"/>
                    <w:right w:val="single" w:color="auto" w:sz="4" w:space="0"/>
                  </w:tcBorders>
                  <w:noWrap w:val="0"/>
                  <w:vAlign w:val="center"/>
                </w:tcPr>
                <w:p w14:paraId="7B8D0EF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砷</w:t>
                  </w:r>
                </w:p>
              </w:tc>
              <w:tc>
                <w:tcPr>
                  <w:tcW w:w="5187" w:type="dxa"/>
                  <w:vMerge w:val="restart"/>
                  <w:tcBorders>
                    <w:top w:val="single" w:color="auto" w:sz="4" w:space="0"/>
                    <w:left w:val="single" w:color="auto" w:sz="4" w:space="0"/>
                    <w:right w:val="single" w:color="auto" w:sz="4" w:space="0"/>
                  </w:tcBorders>
                  <w:noWrap w:val="0"/>
                  <w:vAlign w:val="center"/>
                </w:tcPr>
                <w:p w14:paraId="086AAD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汞、砷、硒、铋和锑的测定 原子荧光法HJ694-2014</w:t>
                  </w:r>
                </w:p>
              </w:tc>
            </w:tr>
            <w:tr w14:paraId="7536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E40A7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52986E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7</w:t>
                  </w:r>
                </w:p>
              </w:tc>
              <w:tc>
                <w:tcPr>
                  <w:tcW w:w="1476" w:type="dxa"/>
                  <w:tcBorders>
                    <w:left w:val="single" w:color="auto" w:sz="4" w:space="0"/>
                    <w:bottom w:val="single" w:color="auto" w:sz="4" w:space="0"/>
                    <w:right w:val="single" w:color="auto" w:sz="4" w:space="0"/>
                  </w:tcBorders>
                  <w:noWrap w:val="0"/>
                  <w:vAlign w:val="center"/>
                </w:tcPr>
                <w:p w14:paraId="2D0EB94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汞</w:t>
                  </w:r>
                </w:p>
              </w:tc>
              <w:tc>
                <w:tcPr>
                  <w:tcW w:w="5187" w:type="dxa"/>
                  <w:vMerge w:val="continue"/>
                  <w:tcBorders>
                    <w:left w:val="single" w:color="auto" w:sz="4" w:space="0"/>
                    <w:right w:val="single" w:color="auto" w:sz="4" w:space="0"/>
                  </w:tcBorders>
                  <w:noWrap w:val="0"/>
                  <w:vAlign w:val="center"/>
                </w:tcPr>
                <w:p w14:paraId="5C3E9A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422A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193D67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8FB016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8</w:t>
                  </w:r>
                </w:p>
              </w:tc>
              <w:tc>
                <w:tcPr>
                  <w:tcW w:w="1476" w:type="dxa"/>
                  <w:tcBorders>
                    <w:left w:val="single" w:color="auto" w:sz="4" w:space="0"/>
                    <w:bottom w:val="single" w:color="auto" w:sz="4" w:space="0"/>
                    <w:right w:val="single" w:color="auto" w:sz="4" w:space="0"/>
                  </w:tcBorders>
                  <w:noWrap w:val="0"/>
                  <w:vAlign w:val="center"/>
                </w:tcPr>
                <w:p w14:paraId="3C4D66D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硒</w:t>
                  </w:r>
                </w:p>
              </w:tc>
              <w:tc>
                <w:tcPr>
                  <w:tcW w:w="5187" w:type="dxa"/>
                  <w:vMerge w:val="continue"/>
                  <w:tcBorders>
                    <w:left w:val="single" w:color="auto" w:sz="4" w:space="0"/>
                    <w:right w:val="single" w:color="auto" w:sz="4" w:space="0"/>
                  </w:tcBorders>
                  <w:noWrap w:val="0"/>
                  <w:vAlign w:val="center"/>
                </w:tcPr>
                <w:p w14:paraId="001EBA4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02D8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05F28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A25624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9</w:t>
                  </w:r>
                </w:p>
              </w:tc>
              <w:tc>
                <w:tcPr>
                  <w:tcW w:w="1476" w:type="dxa"/>
                  <w:tcBorders>
                    <w:left w:val="single" w:color="auto" w:sz="4" w:space="0"/>
                    <w:bottom w:val="single" w:color="auto" w:sz="4" w:space="0"/>
                    <w:right w:val="single" w:color="auto" w:sz="4" w:space="0"/>
                  </w:tcBorders>
                  <w:noWrap w:val="0"/>
                  <w:vAlign w:val="center"/>
                </w:tcPr>
                <w:p w14:paraId="2F3452B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锑</w:t>
                  </w:r>
                </w:p>
              </w:tc>
              <w:tc>
                <w:tcPr>
                  <w:tcW w:w="5187" w:type="dxa"/>
                  <w:vMerge w:val="continue"/>
                  <w:tcBorders>
                    <w:left w:val="single" w:color="auto" w:sz="4" w:space="0"/>
                    <w:right w:val="single" w:color="auto" w:sz="4" w:space="0"/>
                  </w:tcBorders>
                  <w:noWrap w:val="0"/>
                  <w:vAlign w:val="center"/>
                </w:tcPr>
                <w:p w14:paraId="322ED3B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3621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1F6136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48B7F93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10</w:t>
                  </w:r>
                </w:p>
              </w:tc>
              <w:tc>
                <w:tcPr>
                  <w:tcW w:w="1476" w:type="dxa"/>
                  <w:tcBorders>
                    <w:left w:val="single" w:color="auto" w:sz="4" w:space="0"/>
                    <w:bottom w:val="single" w:color="auto" w:sz="4" w:space="0"/>
                    <w:right w:val="single" w:color="auto" w:sz="4" w:space="0"/>
                  </w:tcBorders>
                  <w:noWrap w:val="0"/>
                  <w:vAlign w:val="center"/>
                </w:tcPr>
                <w:p w14:paraId="65B5676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铋</w:t>
                  </w:r>
                </w:p>
              </w:tc>
              <w:tc>
                <w:tcPr>
                  <w:tcW w:w="5187" w:type="dxa"/>
                  <w:vMerge w:val="continue"/>
                  <w:tcBorders>
                    <w:left w:val="single" w:color="auto" w:sz="4" w:space="0"/>
                    <w:bottom w:val="single" w:color="auto" w:sz="4" w:space="0"/>
                    <w:right w:val="single" w:color="auto" w:sz="4" w:space="0"/>
                  </w:tcBorders>
                  <w:noWrap w:val="0"/>
                  <w:vAlign w:val="center"/>
                </w:tcPr>
                <w:p w14:paraId="1EE5156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601D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933351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450EFA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11</w:t>
                  </w:r>
                </w:p>
              </w:tc>
              <w:tc>
                <w:tcPr>
                  <w:tcW w:w="1476" w:type="dxa"/>
                  <w:tcBorders>
                    <w:left w:val="single" w:color="auto" w:sz="4" w:space="0"/>
                    <w:bottom w:val="single" w:color="auto" w:sz="4" w:space="0"/>
                    <w:right w:val="single" w:color="auto" w:sz="4" w:space="0"/>
                  </w:tcBorders>
                  <w:noWrap w:val="0"/>
                  <w:vAlign w:val="center"/>
                </w:tcPr>
                <w:p w14:paraId="4F60B4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default"/>
                      <w:bCs/>
                      <w:color w:val="auto"/>
                      <w:sz w:val="21"/>
                      <w:szCs w:val="21"/>
                      <w:highlight w:val="none"/>
                    </w:rPr>
                    <w:t>氨氮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C48BC4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水质氨氮的测定纳氏试剂分光光度法HJ535-2009</w:t>
                  </w:r>
                </w:p>
              </w:tc>
            </w:tr>
            <w:tr w14:paraId="098B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D91390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2A75C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12</w:t>
                  </w:r>
                </w:p>
              </w:tc>
              <w:tc>
                <w:tcPr>
                  <w:tcW w:w="1476" w:type="dxa"/>
                  <w:tcBorders>
                    <w:left w:val="single" w:color="auto" w:sz="4" w:space="0"/>
                    <w:bottom w:val="single" w:color="auto" w:sz="4" w:space="0"/>
                    <w:right w:val="single" w:color="auto" w:sz="4" w:space="0"/>
                  </w:tcBorders>
                  <w:noWrap w:val="0"/>
                  <w:vAlign w:val="center"/>
                </w:tcPr>
                <w:p w14:paraId="0E0A70A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石油类</w:t>
                  </w:r>
                </w:p>
                <w:p w14:paraId="11982F6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动植物油类</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625A1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w:t>
                  </w:r>
                  <w:r>
                    <w:rPr>
                      <w:rFonts w:hint="default"/>
                      <w:bCs/>
                      <w:color w:val="auto"/>
                      <w:sz w:val="21"/>
                      <w:szCs w:val="21"/>
                      <w:highlight w:val="none"/>
                    </w:rPr>
                    <w:t>石油类和动植物油的测定</w:t>
                  </w:r>
                  <w:r>
                    <w:rPr>
                      <w:rFonts w:hint="eastAsia"/>
                      <w:bCs/>
                      <w:color w:val="auto"/>
                      <w:sz w:val="21"/>
                      <w:szCs w:val="21"/>
                      <w:highlight w:val="none"/>
                      <w:lang w:val="en-US" w:eastAsia="zh-CN"/>
                    </w:rPr>
                    <w:t xml:space="preserve"> </w:t>
                  </w:r>
                  <w:r>
                    <w:rPr>
                      <w:rFonts w:hint="default"/>
                      <w:bCs/>
                      <w:color w:val="auto"/>
                      <w:sz w:val="21"/>
                      <w:szCs w:val="21"/>
                      <w:highlight w:val="none"/>
                    </w:rPr>
                    <w:t>红外分光光度法HJ637-201</w:t>
                  </w:r>
                  <w:r>
                    <w:rPr>
                      <w:rFonts w:hint="eastAsia"/>
                      <w:bCs/>
                      <w:color w:val="auto"/>
                      <w:sz w:val="21"/>
                      <w:szCs w:val="21"/>
                      <w:highlight w:val="none"/>
                      <w:lang w:val="en-US" w:eastAsia="zh-CN"/>
                    </w:rPr>
                    <w:t>8</w:t>
                  </w:r>
                </w:p>
              </w:tc>
            </w:tr>
            <w:tr w14:paraId="4E10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39EE75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E24B7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13</w:t>
                  </w:r>
                </w:p>
              </w:tc>
              <w:tc>
                <w:tcPr>
                  <w:tcW w:w="1476" w:type="dxa"/>
                  <w:tcBorders>
                    <w:left w:val="single" w:color="auto" w:sz="4" w:space="0"/>
                    <w:bottom w:val="single" w:color="auto" w:sz="4" w:space="0"/>
                    <w:right w:val="single" w:color="auto" w:sz="4" w:space="0"/>
                  </w:tcBorders>
                  <w:noWrap w:val="0"/>
                  <w:vAlign w:val="center"/>
                </w:tcPr>
                <w:p w14:paraId="718AE70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生化需氧量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421B8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水质五日生化需氧量(BOD</w:t>
                  </w:r>
                  <w:r>
                    <w:rPr>
                      <w:rFonts w:hint="default"/>
                      <w:bCs/>
                      <w:color w:val="auto"/>
                      <w:sz w:val="21"/>
                      <w:szCs w:val="21"/>
                      <w:highlight w:val="none"/>
                      <w:vertAlign w:val="subscript"/>
                    </w:rPr>
                    <w:t>5</w:t>
                  </w:r>
                  <w:r>
                    <w:rPr>
                      <w:rFonts w:hint="default"/>
                      <w:bCs/>
                      <w:color w:val="auto"/>
                      <w:sz w:val="21"/>
                      <w:szCs w:val="21"/>
                      <w:highlight w:val="none"/>
                    </w:rPr>
                    <w:t>)的测定稀释与接种法HJ505-2009</w:t>
                  </w:r>
                </w:p>
              </w:tc>
            </w:tr>
            <w:tr w14:paraId="0CA0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0CC6B9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7B2362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14</w:t>
                  </w:r>
                </w:p>
              </w:tc>
              <w:tc>
                <w:tcPr>
                  <w:tcW w:w="1476" w:type="dxa"/>
                  <w:tcBorders>
                    <w:left w:val="single" w:color="auto" w:sz="4" w:space="0"/>
                    <w:bottom w:val="single" w:color="auto" w:sz="4" w:space="0"/>
                    <w:right w:val="single" w:color="auto" w:sz="4" w:space="0"/>
                  </w:tcBorders>
                  <w:noWrap w:val="0"/>
                  <w:vAlign w:val="center"/>
                </w:tcPr>
                <w:p w14:paraId="2272C98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氟化物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AA3937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水质氟化物的测定离子选择电极法GB7484-1987</w:t>
                  </w:r>
                </w:p>
              </w:tc>
            </w:tr>
            <w:tr w14:paraId="57F3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5BE82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8F678A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15</w:t>
                  </w:r>
                </w:p>
              </w:tc>
              <w:tc>
                <w:tcPr>
                  <w:tcW w:w="1476" w:type="dxa"/>
                  <w:tcBorders>
                    <w:left w:val="single" w:color="auto" w:sz="4" w:space="0"/>
                    <w:bottom w:val="single" w:color="auto" w:sz="4" w:space="0"/>
                    <w:right w:val="single" w:color="auto" w:sz="4" w:space="0"/>
                  </w:tcBorders>
                  <w:noWrap w:val="0"/>
                  <w:vAlign w:val="center"/>
                </w:tcPr>
                <w:p w14:paraId="04AF80E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氯化物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9C20F28">
                  <w:pPr>
                    <w:keepNext w:val="0"/>
                    <w:keepLines w:val="0"/>
                    <w:pageBreakBefore w:val="0"/>
                    <w:suppressLineNumbers w:val="0"/>
                    <w:tabs>
                      <w:tab w:val="left" w:pos="141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水质氯化物的测定硝酸银滴定法GB11896-1989</w:t>
                  </w:r>
                </w:p>
              </w:tc>
            </w:tr>
            <w:tr w14:paraId="5E90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8CBC05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891982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16</w:t>
                  </w:r>
                </w:p>
              </w:tc>
              <w:tc>
                <w:tcPr>
                  <w:tcW w:w="1476" w:type="dxa"/>
                  <w:tcBorders>
                    <w:left w:val="single" w:color="auto" w:sz="4" w:space="0"/>
                    <w:bottom w:val="single" w:color="auto" w:sz="4" w:space="0"/>
                    <w:right w:val="single" w:color="auto" w:sz="4" w:space="0"/>
                  </w:tcBorders>
                  <w:noWrap w:val="0"/>
                  <w:vAlign w:val="center"/>
                </w:tcPr>
                <w:p w14:paraId="7B32EF0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硝酸盐(氮)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7003A9B">
                  <w:pPr>
                    <w:keepNext w:val="0"/>
                    <w:keepLines w:val="0"/>
                    <w:pageBreakBefore w:val="0"/>
                    <w:suppressLineNumbers w:val="0"/>
                    <w:tabs>
                      <w:tab w:val="left" w:pos="141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w:t>
                  </w:r>
                  <w:r>
                    <w:rPr>
                      <w:rFonts w:hint="default"/>
                      <w:bCs/>
                      <w:color w:val="auto"/>
                      <w:sz w:val="21"/>
                      <w:szCs w:val="21"/>
                      <w:highlight w:val="none"/>
                    </w:rPr>
                    <w:t>硝酸盐氮的测定</w:t>
                  </w:r>
                  <w:r>
                    <w:rPr>
                      <w:rFonts w:hint="eastAsia"/>
                      <w:bCs/>
                      <w:color w:val="auto"/>
                      <w:sz w:val="21"/>
                      <w:szCs w:val="21"/>
                      <w:highlight w:val="none"/>
                      <w:lang w:val="en-US" w:eastAsia="zh-CN"/>
                    </w:rPr>
                    <w:t xml:space="preserve"> 紫外分光光度法HJ/T346-2007</w:t>
                  </w:r>
                </w:p>
              </w:tc>
            </w:tr>
            <w:tr w14:paraId="3906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3FAD4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95FA01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17</w:t>
                  </w:r>
                </w:p>
              </w:tc>
              <w:tc>
                <w:tcPr>
                  <w:tcW w:w="1476" w:type="dxa"/>
                  <w:tcBorders>
                    <w:left w:val="single" w:color="auto" w:sz="4" w:space="0"/>
                    <w:bottom w:val="single" w:color="auto" w:sz="4" w:space="0"/>
                    <w:right w:val="single" w:color="auto" w:sz="4" w:space="0"/>
                  </w:tcBorders>
                  <w:noWrap w:val="0"/>
                  <w:vAlign w:val="center"/>
                </w:tcPr>
                <w:p w14:paraId="30E451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亚硝酸盐(氮)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3F56FEE">
                  <w:pPr>
                    <w:keepNext w:val="0"/>
                    <w:keepLines w:val="0"/>
                    <w:pageBreakBefore w:val="0"/>
                    <w:suppressLineNumbers w:val="0"/>
                    <w:tabs>
                      <w:tab w:val="left" w:pos="141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rPr>
                  </w:pPr>
                  <w:r>
                    <w:rPr>
                      <w:rFonts w:hint="default"/>
                      <w:bCs/>
                      <w:color w:val="auto"/>
                      <w:sz w:val="21"/>
                      <w:szCs w:val="21"/>
                      <w:highlight w:val="none"/>
                    </w:rPr>
                    <w:t>水质</w:t>
                  </w:r>
                  <w:r>
                    <w:rPr>
                      <w:rFonts w:hint="eastAsia"/>
                      <w:bCs/>
                      <w:color w:val="auto"/>
                      <w:sz w:val="21"/>
                      <w:szCs w:val="21"/>
                      <w:highlight w:val="none"/>
                      <w:lang w:val="en-US" w:eastAsia="zh-CN"/>
                    </w:rPr>
                    <w:t xml:space="preserve"> 亚</w:t>
                  </w:r>
                  <w:r>
                    <w:rPr>
                      <w:rFonts w:hint="default"/>
                      <w:bCs/>
                      <w:color w:val="auto"/>
                      <w:sz w:val="21"/>
                      <w:szCs w:val="21"/>
                      <w:highlight w:val="none"/>
                    </w:rPr>
                    <w:t>硝酸盐氮的测定</w:t>
                  </w:r>
                  <w:r>
                    <w:rPr>
                      <w:rFonts w:hint="eastAsia"/>
                      <w:bCs/>
                      <w:color w:val="auto"/>
                      <w:sz w:val="21"/>
                      <w:szCs w:val="21"/>
                      <w:highlight w:val="none"/>
                      <w:lang w:val="en-US" w:eastAsia="zh-CN"/>
                    </w:rPr>
                    <w:t xml:space="preserve"> 分光光度法GB7493-1987</w:t>
                  </w:r>
                </w:p>
              </w:tc>
            </w:tr>
            <w:tr w14:paraId="4D81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02C0ED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01A26C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18</w:t>
                  </w:r>
                </w:p>
              </w:tc>
              <w:tc>
                <w:tcPr>
                  <w:tcW w:w="1476" w:type="dxa"/>
                  <w:tcBorders>
                    <w:left w:val="single" w:color="auto" w:sz="4" w:space="0"/>
                    <w:bottom w:val="single" w:color="auto" w:sz="4" w:space="0"/>
                    <w:right w:val="single" w:color="auto" w:sz="4" w:space="0"/>
                  </w:tcBorders>
                  <w:noWrap w:val="0"/>
                  <w:vAlign w:val="center"/>
                </w:tcPr>
                <w:p w14:paraId="02006D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硫酸盐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F329080">
                  <w:pPr>
                    <w:keepNext w:val="0"/>
                    <w:keepLines w:val="0"/>
                    <w:pageBreakBefore w:val="0"/>
                    <w:suppressLineNumbers w:val="0"/>
                    <w:tabs>
                      <w:tab w:val="left" w:pos="141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硫酸盐</w:t>
                  </w:r>
                  <w:r>
                    <w:rPr>
                      <w:rFonts w:hint="default"/>
                      <w:bCs/>
                      <w:color w:val="auto"/>
                      <w:sz w:val="21"/>
                      <w:szCs w:val="21"/>
                      <w:highlight w:val="none"/>
                    </w:rPr>
                    <w:t>的测定</w:t>
                  </w:r>
                  <w:r>
                    <w:rPr>
                      <w:rFonts w:hint="eastAsia"/>
                      <w:bCs/>
                      <w:color w:val="auto"/>
                      <w:sz w:val="21"/>
                      <w:szCs w:val="21"/>
                      <w:highlight w:val="none"/>
                      <w:lang w:val="en-US" w:eastAsia="zh-CN"/>
                    </w:rPr>
                    <w:t xml:space="preserve"> 硫酸钡分光光度法HJ/T342-2007</w:t>
                  </w:r>
                </w:p>
              </w:tc>
            </w:tr>
            <w:tr w14:paraId="5B75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455B78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21C01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19</w:t>
                  </w:r>
                </w:p>
              </w:tc>
              <w:tc>
                <w:tcPr>
                  <w:tcW w:w="1476" w:type="dxa"/>
                  <w:tcBorders>
                    <w:left w:val="single" w:color="auto" w:sz="4" w:space="0"/>
                    <w:bottom w:val="single" w:color="auto" w:sz="4" w:space="0"/>
                    <w:right w:val="single" w:color="auto" w:sz="4" w:space="0"/>
                  </w:tcBorders>
                  <w:noWrap w:val="0"/>
                  <w:vAlign w:val="center"/>
                </w:tcPr>
                <w:p w14:paraId="7979DE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r>
                    <w:rPr>
                      <w:rFonts w:hint="default"/>
                      <w:bCs/>
                      <w:color w:val="auto"/>
                      <w:sz w:val="21"/>
                      <w:szCs w:val="21"/>
                      <w:highlight w:val="none"/>
                    </w:rPr>
                    <w:t>化学需氧量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6F224D2">
                  <w:pPr>
                    <w:keepNext w:val="0"/>
                    <w:keepLines w:val="0"/>
                    <w:pageBreakBefore w:val="0"/>
                    <w:suppressLineNumbers w:val="0"/>
                    <w:tabs>
                      <w:tab w:val="left" w:pos="141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w:t>
                  </w:r>
                  <w:r>
                    <w:rPr>
                      <w:rFonts w:hint="default"/>
                      <w:bCs/>
                      <w:color w:val="auto"/>
                      <w:sz w:val="21"/>
                      <w:szCs w:val="21"/>
                      <w:highlight w:val="none"/>
                    </w:rPr>
                    <w:t>化学需氧量的测定</w:t>
                  </w:r>
                  <w:r>
                    <w:rPr>
                      <w:rFonts w:hint="eastAsia"/>
                      <w:bCs/>
                      <w:color w:val="auto"/>
                      <w:sz w:val="21"/>
                      <w:szCs w:val="21"/>
                      <w:highlight w:val="none"/>
                      <w:lang w:val="en-US" w:eastAsia="zh-CN"/>
                    </w:rPr>
                    <w:t xml:space="preserve"> </w:t>
                  </w:r>
                  <w:r>
                    <w:rPr>
                      <w:rFonts w:hint="default"/>
                      <w:bCs/>
                      <w:color w:val="auto"/>
                      <w:sz w:val="21"/>
                      <w:szCs w:val="21"/>
                      <w:highlight w:val="none"/>
                    </w:rPr>
                    <w:t>重铬酸盐法</w:t>
                  </w:r>
                  <w:r>
                    <w:rPr>
                      <w:rFonts w:hint="eastAsia"/>
                      <w:bCs/>
                      <w:color w:val="auto"/>
                      <w:sz w:val="21"/>
                      <w:szCs w:val="21"/>
                      <w:highlight w:val="none"/>
                      <w:lang w:val="en-US" w:eastAsia="zh-CN"/>
                    </w:rPr>
                    <w:t>HJ828-2017</w:t>
                  </w:r>
                </w:p>
              </w:tc>
            </w:tr>
            <w:tr w14:paraId="41BA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83327F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15F83B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20</w:t>
                  </w:r>
                </w:p>
              </w:tc>
              <w:tc>
                <w:tcPr>
                  <w:tcW w:w="1476" w:type="dxa"/>
                  <w:tcBorders>
                    <w:left w:val="single" w:color="auto" w:sz="4" w:space="0"/>
                    <w:bottom w:val="single" w:color="auto" w:sz="4" w:space="0"/>
                    <w:right w:val="single" w:color="auto" w:sz="4" w:space="0"/>
                  </w:tcBorders>
                  <w:noWrap w:val="0"/>
                  <w:vAlign w:val="center"/>
                </w:tcPr>
                <w:p w14:paraId="09158FA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高锰酸盐指数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52F92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水质高锰酸盐指数的测定GB11892-1989</w:t>
                  </w:r>
                </w:p>
              </w:tc>
            </w:tr>
            <w:tr w14:paraId="4E0A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44D02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16049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21</w:t>
                  </w:r>
                </w:p>
              </w:tc>
              <w:tc>
                <w:tcPr>
                  <w:tcW w:w="1476" w:type="dxa"/>
                  <w:tcBorders>
                    <w:left w:val="single" w:color="auto" w:sz="4" w:space="0"/>
                    <w:bottom w:val="single" w:color="auto" w:sz="4" w:space="0"/>
                    <w:right w:val="single" w:color="auto" w:sz="4" w:space="0"/>
                  </w:tcBorders>
                  <w:noWrap w:val="0"/>
                  <w:vAlign w:val="center"/>
                </w:tcPr>
                <w:p w14:paraId="38EEAB8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六价铬</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ED7508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水质六价铬的测定二苯碳酰二肼分光光度法GB7467-1987</w:t>
                  </w:r>
                </w:p>
              </w:tc>
            </w:tr>
            <w:tr w14:paraId="7556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BA0CE3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C228C2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22</w:t>
                  </w:r>
                </w:p>
              </w:tc>
              <w:tc>
                <w:tcPr>
                  <w:tcW w:w="1476" w:type="dxa"/>
                  <w:tcBorders>
                    <w:left w:val="single" w:color="auto" w:sz="4" w:space="0"/>
                    <w:bottom w:val="single" w:color="auto" w:sz="4" w:space="0"/>
                    <w:right w:val="single" w:color="auto" w:sz="4" w:space="0"/>
                  </w:tcBorders>
                  <w:noWrap w:val="0"/>
                  <w:vAlign w:val="center"/>
                </w:tcPr>
                <w:p w14:paraId="3FFA4DF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挥发酚</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1B18D2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水质挥发酚的测定4-氨基安替比林分光光度法HJ503-2009</w:t>
                  </w:r>
                </w:p>
              </w:tc>
            </w:tr>
            <w:tr w14:paraId="49B7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56ED78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F3C17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23</w:t>
                  </w:r>
                </w:p>
              </w:tc>
              <w:tc>
                <w:tcPr>
                  <w:tcW w:w="1476" w:type="dxa"/>
                  <w:tcBorders>
                    <w:left w:val="single" w:color="auto" w:sz="4" w:space="0"/>
                    <w:bottom w:val="single" w:color="auto" w:sz="4" w:space="0"/>
                    <w:right w:val="single" w:color="auto" w:sz="4" w:space="0"/>
                  </w:tcBorders>
                  <w:noWrap w:val="0"/>
                  <w:vAlign w:val="center"/>
                </w:tcPr>
                <w:p w14:paraId="537BB5A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甲醛</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E7EE46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水质甲醛的测定乙酰丙酮分光光度法HJ601-2011</w:t>
                  </w:r>
                </w:p>
              </w:tc>
            </w:tr>
            <w:tr w14:paraId="0F99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4B349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CC4438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24</w:t>
                  </w:r>
                </w:p>
              </w:tc>
              <w:tc>
                <w:tcPr>
                  <w:tcW w:w="1476" w:type="dxa"/>
                  <w:tcBorders>
                    <w:left w:val="single" w:color="auto" w:sz="4" w:space="0"/>
                    <w:bottom w:val="single" w:color="auto" w:sz="4" w:space="0"/>
                    <w:right w:val="single" w:color="auto" w:sz="4" w:space="0"/>
                  </w:tcBorders>
                  <w:noWrap w:val="0"/>
                  <w:vAlign w:val="center"/>
                </w:tcPr>
                <w:p w14:paraId="755C2E4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阴离子表面活性剂</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7E4F2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w:t>
                  </w:r>
                  <w:r>
                    <w:rPr>
                      <w:rFonts w:hint="default"/>
                      <w:bCs/>
                      <w:color w:val="auto"/>
                      <w:sz w:val="21"/>
                      <w:szCs w:val="21"/>
                      <w:highlight w:val="none"/>
                    </w:rPr>
                    <w:t>阴离子表面活性剂的测定</w:t>
                  </w:r>
                  <w:r>
                    <w:rPr>
                      <w:rFonts w:hint="eastAsia"/>
                      <w:bCs/>
                      <w:color w:val="auto"/>
                      <w:sz w:val="21"/>
                      <w:szCs w:val="21"/>
                      <w:highlight w:val="none"/>
                      <w:lang w:val="en-US" w:eastAsia="zh-CN"/>
                    </w:rPr>
                    <w:t xml:space="preserve"> </w:t>
                  </w:r>
                  <w:r>
                    <w:rPr>
                      <w:rFonts w:hint="default"/>
                      <w:bCs/>
                      <w:color w:val="auto"/>
                      <w:sz w:val="21"/>
                      <w:szCs w:val="21"/>
                      <w:highlight w:val="none"/>
                    </w:rPr>
                    <w:t>亚甲蓝分光光度法GB7494-1987</w:t>
                  </w:r>
                </w:p>
              </w:tc>
            </w:tr>
            <w:tr w14:paraId="7199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870F8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58405B3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25</w:t>
                  </w:r>
                </w:p>
              </w:tc>
              <w:tc>
                <w:tcPr>
                  <w:tcW w:w="1476" w:type="dxa"/>
                  <w:tcBorders>
                    <w:left w:val="single" w:color="auto" w:sz="4" w:space="0"/>
                    <w:bottom w:val="single" w:color="auto" w:sz="4" w:space="0"/>
                    <w:right w:val="single" w:color="auto" w:sz="4" w:space="0"/>
                  </w:tcBorders>
                  <w:noWrap w:val="0"/>
                  <w:vAlign w:val="center"/>
                </w:tcPr>
                <w:p w14:paraId="5706FCA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氰化物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59659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w:t>
                  </w:r>
                  <w:r>
                    <w:rPr>
                      <w:rFonts w:hint="eastAsia"/>
                      <w:bCs/>
                      <w:color w:val="auto"/>
                      <w:sz w:val="21"/>
                      <w:szCs w:val="21"/>
                      <w:highlight w:val="none"/>
                      <w:lang w:val="en-US" w:eastAsia="zh-CN"/>
                    </w:rPr>
                    <w:t xml:space="preserve"> </w:t>
                  </w:r>
                  <w:r>
                    <w:rPr>
                      <w:rFonts w:hint="default"/>
                      <w:bCs/>
                      <w:color w:val="auto"/>
                      <w:sz w:val="21"/>
                      <w:szCs w:val="21"/>
                      <w:highlight w:val="none"/>
                    </w:rPr>
                    <w:t>氰化物的测定</w:t>
                  </w:r>
                  <w:r>
                    <w:rPr>
                      <w:rFonts w:hint="eastAsia"/>
                      <w:bCs/>
                      <w:color w:val="auto"/>
                      <w:sz w:val="21"/>
                      <w:szCs w:val="21"/>
                      <w:highlight w:val="none"/>
                      <w:lang w:val="en-US" w:eastAsia="zh-CN"/>
                    </w:rPr>
                    <w:t xml:space="preserve"> </w:t>
                  </w:r>
                  <w:r>
                    <w:rPr>
                      <w:rFonts w:hint="default"/>
                      <w:bCs/>
                      <w:color w:val="auto"/>
                      <w:sz w:val="21"/>
                      <w:szCs w:val="21"/>
                      <w:highlight w:val="none"/>
                    </w:rPr>
                    <w:t>容量法和分光光度法HJ484-2009</w:t>
                  </w:r>
                </w:p>
              </w:tc>
            </w:tr>
            <w:tr w14:paraId="4ABC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D54C9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78DE7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26</w:t>
                  </w:r>
                </w:p>
              </w:tc>
              <w:tc>
                <w:tcPr>
                  <w:tcW w:w="1476" w:type="dxa"/>
                  <w:tcBorders>
                    <w:left w:val="single" w:color="auto" w:sz="4" w:space="0"/>
                    <w:bottom w:val="single" w:color="auto" w:sz="4" w:space="0"/>
                    <w:right w:val="single" w:color="auto" w:sz="4" w:space="0"/>
                  </w:tcBorders>
                  <w:noWrap w:val="0"/>
                  <w:vAlign w:val="center"/>
                </w:tcPr>
                <w:p w14:paraId="5F98682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游离氯和总氯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F34A6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 xml:space="preserve">水质 </w:t>
                  </w:r>
                  <w:r>
                    <w:rPr>
                      <w:rFonts w:hint="default"/>
                      <w:bCs/>
                      <w:color w:val="auto"/>
                      <w:sz w:val="21"/>
                      <w:szCs w:val="21"/>
                      <w:highlight w:val="none"/>
                    </w:rPr>
                    <w:t>游离氯和总氯</w:t>
                  </w:r>
                  <w:r>
                    <w:rPr>
                      <w:rFonts w:hint="eastAsia"/>
                      <w:bCs/>
                      <w:color w:val="auto"/>
                      <w:sz w:val="21"/>
                      <w:szCs w:val="21"/>
                      <w:highlight w:val="none"/>
                      <w:lang w:val="en-US" w:eastAsia="zh-CN"/>
                    </w:rPr>
                    <w:t>的测定 N，N-二乙基-1,4-苯胺分光光度法HJ586-2010</w:t>
                  </w:r>
                </w:p>
              </w:tc>
            </w:tr>
            <w:tr w14:paraId="0E86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9CDA8D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020D1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27</w:t>
                  </w:r>
                </w:p>
              </w:tc>
              <w:tc>
                <w:tcPr>
                  <w:tcW w:w="1476" w:type="dxa"/>
                  <w:tcBorders>
                    <w:left w:val="single" w:color="auto" w:sz="4" w:space="0"/>
                    <w:bottom w:val="single" w:color="auto" w:sz="4" w:space="0"/>
                    <w:right w:val="single" w:color="auto" w:sz="4" w:space="0"/>
                  </w:tcBorders>
                  <w:noWrap w:val="0"/>
                  <w:vAlign w:val="center"/>
                </w:tcPr>
                <w:p w14:paraId="3621EF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总磷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84BFA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水质总磷的测定钼酸铵分光光度法GB11893-1989</w:t>
                  </w:r>
                </w:p>
              </w:tc>
            </w:tr>
            <w:tr w14:paraId="4E87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5576D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08F253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28</w:t>
                  </w:r>
                </w:p>
              </w:tc>
              <w:tc>
                <w:tcPr>
                  <w:tcW w:w="1476" w:type="dxa"/>
                  <w:tcBorders>
                    <w:left w:val="single" w:color="auto" w:sz="4" w:space="0"/>
                    <w:bottom w:val="single" w:color="auto" w:sz="4" w:space="0"/>
                    <w:right w:val="single" w:color="auto" w:sz="4" w:space="0"/>
                  </w:tcBorders>
                  <w:noWrap w:val="0"/>
                  <w:vAlign w:val="center"/>
                </w:tcPr>
                <w:p w14:paraId="58B0D7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总氮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AA8A0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水质总氮的测定碱性过硫酸钾消解紫外分光光度法HJ636-2012</w:t>
                  </w:r>
                </w:p>
              </w:tc>
            </w:tr>
            <w:tr w14:paraId="0A87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CFFAB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8090A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29</w:t>
                  </w:r>
                </w:p>
              </w:tc>
              <w:tc>
                <w:tcPr>
                  <w:tcW w:w="1476" w:type="dxa"/>
                  <w:tcBorders>
                    <w:left w:val="single" w:color="auto" w:sz="4" w:space="0"/>
                    <w:bottom w:val="single" w:color="auto" w:sz="4" w:space="0"/>
                    <w:right w:val="single" w:color="auto" w:sz="4" w:space="0"/>
                  </w:tcBorders>
                  <w:noWrap w:val="0"/>
                  <w:vAlign w:val="center"/>
                </w:tcPr>
                <w:p w14:paraId="089A9AF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溶解氧</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E16A5A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水质溶解氧的测定电化学探头法HJ506-2009</w:t>
                  </w:r>
                </w:p>
              </w:tc>
            </w:tr>
            <w:tr w14:paraId="1170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6641E7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FFA24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30</w:t>
                  </w:r>
                </w:p>
              </w:tc>
              <w:tc>
                <w:tcPr>
                  <w:tcW w:w="1476" w:type="dxa"/>
                  <w:tcBorders>
                    <w:left w:val="single" w:color="auto" w:sz="4" w:space="0"/>
                    <w:bottom w:val="single" w:color="auto" w:sz="4" w:space="0"/>
                    <w:right w:val="single" w:color="auto" w:sz="4" w:space="0"/>
                  </w:tcBorders>
                  <w:noWrap w:val="0"/>
                  <w:vAlign w:val="center"/>
                </w:tcPr>
                <w:p w14:paraId="22B2423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流量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CB0DB6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水污染物排放总量监测技术规范HJ/T92-2002</w:t>
                  </w:r>
                </w:p>
              </w:tc>
            </w:tr>
            <w:tr w14:paraId="2AAD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393864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04D170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31</w:t>
                  </w:r>
                </w:p>
              </w:tc>
              <w:tc>
                <w:tcPr>
                  <w:tcW w:w="1476" w:type="dxa"/>
                  <w:vMerge w:val="restart"/>
                  <w:tcBorders>
                    <w:left w:val="single" w:color="auto" w:sz="4" w:space="0"/>
                    <w:right w:val="single" w:color="auto" w:sz="4" w:space="0"/>
                  </w:tcBorders>
                  <w:noWrap w:val="0"/>
                  <w:vAlign w:val="center"/>
                </w:tcPr>
                <w:p w14:paraId="1550D2A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粪大肠菌群</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1C07C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default"/>
                      <w:bCs/>
                      <w:color w:val="auto"/>
                      <w:sz w:val="21"/>
                      <w:szCs w:val="21"/>
                      <w:highlight w:val="none"/>
                    </w:rPr>
                    <w:t>水质</w:t>
                  </w:r>
                  <w:r>
                    <w:rPr>
                      <w:rFonts w:hint="eastAsia"/>
                      <w:bCs/>
                      <w:color w:val="auto"/>
                      <w:sz w:val="21"/>
                      <w:szCs w:val="21"/>
                      <w:highlight w:val="none"/>
                      <w:lang w:val="en-US" w:eastAsia="zh-CN"/>
                    </w:rPr>
                    <w:t xml:space="preserve"> 粪</w:t>
                  </w:r>
                  <w:r>
                    <w:rPr>
                      <w:rFonts w:hint="default"/>
                      <w:bCs/>
                      <w:color w:val="auto"/>
                      <w:sz w:val="21"/>
                      <w:szCs w:val="21"/>
                      <w:highlight w:val="none"/>
                    </w:rPr>
                    <w:t>大肠菌群的测定</w:t>
                  </w:r>
                  <w:r>
                    <w:rPr>
                      <w:rFonts w:hint="eastAsia"/>
                      <w:bCs/>
                      <w:color w:val="auto"/>
                      <w:sz w:val="21"/>
                      <w:szCs w:val="21"/>
                      <w:highlight w:val="none"/>
                      <w:lang w:val="en-US" w:eastAsia="zh-CN"/>
                    </w:rPr>
                    <w:t xml:space="preserve"> 多管发酵法</w:t>
                  </w:r>
                  <w:r>
                    <w:rPr>
                      <w:rFonts w:hint="default"/>
                      <w:bCs/>
                      <w:color w:val="auto"/>
                      <w:sz w:val="21"/>
                      <w:szCs w:val="21"/>
                      <w:highlight w:val="none"/>
                    </w:rPr>
                    <w:t>HJ</w:t>
                  </w:r>
                  <w:r>
                    <w:rPr>
                      <w:rFonts w:hint="eastAsia"/>
                      <w:bCs/>
                      <w:color w:val="auto"/>
                      <w:sz w:val="21"/>
                      <w:szCs w:val="21"/>
                      <w:highlight w:val="none"/>
                      <w:lang w:val="en-US" w:eastAsia="zh-CN"/>
                    </w:rPr>
                    <w:t>347.2</w:t>
                  </w:r>
                  <w:r>
                    <w:rPr>
                      <w:rFonts w:hint="default"/>
                      <w:bCs/>
                      <w:color w:val="auto"/>
                      <w:sz w:val="21"/>
                      <w:szCs w:val="21"/>
                      <w:highlight w:val="none"/>
                    </w:rPr>
                    <w:t>-20</w:t>
                  </w:r>
                  <w:r>
                    <w:rPr>
                      <w:rFonts w:hint="eastAsia"/>
                      <w:bCs/>
                      <w:color w:val="auto"/>
                      <w:sz w:val="21"/>
                      <w:szCs w:val="21"/>
                      <w:highlight w:val="none"/>
                      <w:lang w:val="en-US" w:eastAsia="zh-CN"/>
                    </w:rPr>
                    <w:t>18</w:t>
                  </w:r>
                </w:p>
              </w:tc>
            </w:tr>
            <w:tr w14:paraId="7E90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4A1790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57A5781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0F2AB6D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C5C7A5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水质总大肠菌群和粪大肠菌群的测定纸片快速法HJ755-2015</w:t>
                  </w:r>
                </w:p>
              </w:tc>
            </w:tr>
            <w:tr w14:paraId="10C6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CF73D5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B2D940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32</w:t>
                  </w:r>
                </w:p>
              </w:tc>
              <w:tc>
                <w:tcPr>
                  <w:tcW w:w="1476" w:type="dxa"/>
                  <w:tcBorders>
                    <w:left w:val="single" w:color="auto" w:sz="4" w:space="0"/>
                    <w:bottom w:val="single" w:color="auto" w:sz="4" w:space="0"/>
                    <w:right w:val="single" w:color="auto" w:sz="4" w:space="0"/>
                  </w:tcBorders>
                  <w:noWrap w:val="0"/>
                  <w:vAlign w:val="center"/>
                </w:tcPr>
                <w:p w14:paraId="7911133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总大肠菌群</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FC14C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水质总大肠菌群和粪大肠菌群的测定纸片快速法HJ755-2015</w:t>
                  </w:r>
                </w:p>
              </w:tc>
            </w:tr>
            <w:tr w14:paraId="4A8E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4D8F1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52C0760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33</w:t>
                  </w:r>
                </w:p>
              </w:tc>
              <w:tc>
                <w:tcPr>
                  <w:tcW w:w="1476" w:type="dxa"/>
                  <w:tcBorders>
                    <w:left w:val="single" w:color="auto" w:sz="4" w:space="0"/>
                    <w:bottom w:val="single" w:color="auto" w:sz="4" w:space="0"/>
                    <w:right w:val="single" w:color="auto" w:sz="4" w:space="0"/>
                  </w:tcBorders>
                  <w:noWrap w:val="0"/>
                  <w:vAlign w:val="center"/>
                </w:tcPr>
                <w:p w14:paraId="2E1EE9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细菌总数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CE16E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default"/>
                      <w:bCs/>
                      <w:color w:val="auto"/>
                      <w:sz w:val="21"/>
                      <w:szCs w:val="21"/>
                      <w:highlight w:val="none"/>
                    </w:rPr>
                    <w:t>水质</w:t>
                  </w:r>
                  <w:r>
                    <w:rPr>
                      <w:rFonts w:hint="eastAsia"/>
                      <w:bCs/>
                      <w:color w:val="auto"/>
                      <w:sz w:val="21"/>
                      <w:szCs w:val="21"/>
                      <w:highlight w:val="none"/>
                      <w:lang w:val="en-US" w:eastAsia="zh-CN"/>
                    </w:rPr>
                    <w:t xml:space="preserve"> 细菌</w:t>
                  </w:r>
                  <w:r>
                    <w:rPr>
                      <w:rFonts w:hint="default"/>
                      <w:bCs/>
                      <w:color w:val="auto"/>
                      <w:sz w:val="21"/>
                      <w:szCs w:val="21"/>
                      <w:highlight w:val="none"/>
                    </w:rPr>
                    <w:t>总</w:t>
                  </w:r>
                  <w:r>
                    <w:rPr>
                      <w:rFonts w:hint="eastAsia"/>
                      <w:bCs/>
                      <w:color w:val="auto"/>
                      <w:sz w:val="21"/>
                      <w:szCs w:val="21"/>
                      <w:highlight w:val="none"/>
                      <w:lang w:val="en-US" w:eastAsia="zh-CN"/>
                    </w:rPr>
                    <w:t>数</w:t>
                  </w:r>
                  <w:r>
                    <w:rPr>
                      <w:rFonts w:hint="default"/>
                      <w:bCs/>
                      <w:color w:val="auto"/>
                      <w:sz w:val="21"/>
                      <w:szCs w:val="21"/>
                      <w:highlight w:val="none"/>
                    </w:rPr>
                    <w:t>的测定</w:t>
                  </w:r>
                  <w:r>
                    <w:rPr>
                      <w:rFonts w:hint="eastAsia"/>
                      <w:bCs/>
                      <w:color w:val="auto"/>
                      <w:sz w:val="21"/>
                      <w:szCs w:val="21"/>
                      <w:highlight w:val="none"/>
                      <w:lang w:val="en-US" w:eastAsia="zh-CN"/>
                    </w:rPr>
                    <w:t xml:space="preserve"> 平皿计数法</w:t>
                  </w:r>
                  <w:r>
                    <w:rPr>
                      <w:rFonts w:hint="default"/>
                      <w:bCs/>
                      <w:color w:val="auto"/>
                      <w:sz w:val="21"/>
                      <w:szCs w:val="21"/>
                      <w:highlight w:val="none"/>
                    </w:rPr>
                    <w:t>HJ</w:t>
                  </w:r>
                  <w:r>
                    <w:rPr>
                      <w:rFonts w:hint="eastAsia"/>
                      <w:bCs/>
                      <w:color w:val="auto"/>
                      <w:sz w:val="21"/>
                      <w:szCs w:val="21"/>
                      <w:highlight w:val="none"/>
                      <w:lang w:val="en-US" w:eastAsia="zh-CN"/>
                    </w:rPr>
                    <w:t>1000</w:t>
                  </w:r>
                  <w:r>
                    <w:rPr>
                      <w:rFonts w:hint="default"/>
                      <w:bCs/>
                      <w:color w:val="auto"/>
                      <w:sz w:val="21"/>
                      <w:szCs w:val="21"/>
                      <w:highlight w:val="none"/>
                    </w:rPr>
                    <w:t>-201</w:t>
                  </w:r>
                  <w:r>
                    <w:rPr>
                      <w:rFonts w:hint="eastAsia"/>
                      <w:bCs/>
                      <w:color w:val="auto"/>
                      <w:sz w:val="21"/>
                      <w:szCs w:val="21"/>
                      <w:highlight w:val="none"/>
                      <w:lang w:val="en-US" w:eastAsia="zh-CN"/>
                    </w:rPr>
                    <w:t>8</w:t>
                  </w:r>
                </w:p>
              </w:tc>
            </w:tr>
            <w:tr w14:paraId="1D95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FE24F8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662F50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34</w:t>
                  </w:r>
                </w:p>
              </w:tc>
              <w:tc>
                <w:tcPr>
                  <w:tcW w:w="1476" w:type="dxa"/>
                  <w:tcBorders>
                    <w:left w:val="single" w:color="auto" w:sz="4" w:space="0"/>
                    <w:bottom w:val="single" w:color="auto" w:sz="4" w:space="0"/>
                    <w:right w:val="single" w:color="auto" w:sz="4" w:space="0"/>
                  </w:tcBorders>
                  <w:noWrap w:val="0"/>
                  <w:vAlign w:val="center"/>
                </w:tcPr>
                <w:p w14:paraId="381D0C2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透明度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839045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塞氏盘法《水和废水监测分析方法》(第四版)国家环境保护总局(2002年)</w:t>
                  </w:r>
                </w:p>
              </w:tc>
            </w:tr>
            <w:tr w14:paraId="2C42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9F1094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5887890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35</w:t>
                  </w:r>
                </w:p>
              </w:tc>
              <w:tc>
                <w:tcPr>
                  <w:tcW w:w="1476" w:type="dxa"/>
                  <w:tcBorders>
                    <w:left w:val="single" w:color="auto" w:sz="4" w:space="0"/>
                    <w:bottom w:val="single" w:color="auto" w:sz="4" w:space="0"/>
                    <w:right w:val="single" w:color="auto" w:sz="4" w:space="0"/>
                  </w:tcBorders>
                  <w:noWrap w:val="0"/>
                  <w:vAlign w:val="center"/>
                </w:tcPr>
                <w:p w14:paraId="60457B0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臭</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B78BF5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文字描述法《水和废水监测分析方法》(第四版)国家环境保护总局(2002年)</w:t>
                  </w:r>
                </w:p>
              </w:tc>
            </w:tr>
            <w:tr w14:paraId="27FD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CD0202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423CEB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36</w:t>
                  </w:r>
                </w:p>
              </w:tc>
              <w:tc>
                <w:tcPr>
                  <w:tcW w:w="1476" w:type="dxa"/>
                  <w:tcBorders>
                    <w:left w:val="single" w:color="auto" w:sz="4" w:space="0"/>
                    <w:bottom w:val="single" w:color="auto" w:sz="4" w:space="0"/>
                    <w:right w:val="single" w:color="auto" w:sz="4" w:space="0"/>
                  </w:tcBorders>
                  <w:noWrap w:val="0"/>
                  <w:vAlign w:val="center"/>
                </w:tcPr>
                <w:p w14:paraId="1C41A4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浊度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62C49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浊度的测定 浊度计法HJ 1075-2019</w:t>
                  </w:r>
                </w:p>
              </w:tc>
            </w:tr>
            <w:tr w14:paraId="6DAC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F029B6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ACF48D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37</w:t>
                  </w:r>
                </w:p>
              </w:tc>
              <w:tc>
                <w:tcPr>
                  <w:tcW w:w="1476" w:type="dxa"/>
                  <w:tcBorders>
                    <w:left w:val="single" w:color="auto" w:sz="4" w:space="0"/>
                    <w:bottom w:val="single" w:color="auto" w:sz="4" w:space="0"/>
                    <w:right w:val="single" w:color="auto" w:sz="4" w:space="0"/>
                  </w:tcBorders>
                  <w:noWrap w:val="0"/>
                  <w:vAlign w:val="center"/>
                </w:tcPr>
                <w:p w14:paraId="067812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总硬度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9BA8F7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水质 钙和镁总量的测定 EDTA 滴定法GB7477-1987</w:t>
                  </w:r>
                </w:p>
              </w:tc>
            </w:tr>
            <w:tr w14:paraId="2ECE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946FE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DB6F0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1BC11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酸度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69EA2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酸度酸碱指示剂滴定法《水和废水监测分析方法》(第四版)国家环境保护总局(2002年)</w:t>
                  </w:r>
                </w:p>
              </w:tc>
            </w:tr>
            <w:tr w14:paraId="082C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ABB4FF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052438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rPr>
                  </w:pPr>
                  <w:r>
                    <w:rPr>
                      <w:rFonts w:hint="eastAsia"/>
                      <w:bCs/>
                      <w:color w:val="auto"/>
                      <w:sz w:val="21"/>
                      <w:szCs w:val="21"/>
                      <w:highlight w:val="none"/>
                      <w:lang w:val="en-US" w:eastAsia="zh-CN"/>
                    </w:rPr>
                    <w:t>39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CA296E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碱度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2B9A2E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碱度酸碱指示剂滴定法《水和废水监测分析方法》(第四版)国家环境保护总局(2002年)</w:t>
                  </w:r>
                </w:p>
              </w:tc>
            </w:tr>
            <w:tr w14:paraId="6C58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F85245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F77280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rPr>
                  </w:pPr>
                  <w:r>
                    <w:rPr>
                      <w:rFonts w:hint="eastAsia"/>
                      <w:bCs/>
                      <w:color w:val="auto"/>
                      <w:sz w:val="21"/>
                      <w:szCs w:val="21"/>
                      <w:highlight w:val="none"/>
                      <w:lang w:val="en-US" w:eastAsia="zh-CN"/>
                    </w:rPr>
                    <w:t>40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1E215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矿化度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A0E5A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重量法《水和废水监测分析方法》(第四版)国家环境保护总局(2002年)</w:t>
                  </w:r>
                </w:p>
              </w:tc>
            </w:tr>
            <w:tr w14:paraId="45C7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290E3D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B2761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4C37E3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全盐量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456046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水质全盐量测定重量法HJ/T51-1999</w:t>
                  </w:r>
                </w:p>
              </w:tc>
            </w:tr>
            <w:tr w14:paraId="535D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EBC9B9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03AC90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D2232C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氧化还原电位</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CFFF13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电极</w:t>
                  </w:r>
                  <w:r>
                    <w:rPr>
                      <w:rFonts w:hint="eastAsia"/>
                      <w:bCs/>
                      <w:color w:val="auto"/>
                      <w:sz w:val="21"/>
                      <w:szCs w:val="21"/>
                      <w:highlight w:val="none"/>
                    </w:rPr>
                    <w:t>法《水和废水监测分析方法》(第四版)国家环境保护总局(2002年)</w:t>
                  </w:r>
                </w:p>
              </w:tc>
            </w:tr>
            <w:tr w14:paraId="0545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F2F01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8EC10D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9F4D40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钾</w:t>
                  </w:r>
                </w:p>
              </w:tc>
              <w:tc>
                <w:tcPr>
                  <w:tcW w:w="5187" w:type="dxa"/>
                  <w:vMerge w:val="restart"/>
                  <w:tcBorders>
                    <w:top w:val="single" w:color="auto" w:sz="4" w:space="0"/>
                    <w:left w:val="single" w:color="auto" w:sz="4" w:space="0"/>
                    <w:right w:val="single" w:color="auto" w:sz="4" w:space="0"/>
                  </w:tcBorders>
                  <w:noWrap w:val="0"/>
                  <w:vAlign w:val="center"/>
                </w:tcPr>
                <w:p w14:paraId="64E7E8C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水质钾和钠的测定火焰原子吸收分光光度法GB11904-1989</w:t>
                  </w:r>
                </w:p>
              </w:tc>
            </w:tr>
            <w:tr w14:paraId="14AB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B2CD75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2CDE14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9A956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钠</w:t>
                  </w:r>
                </w:p>
              </w:tc>
              <w:tc>
                <w:tcPr>
                  <w:tcW w:w="5187" w:type="dxa"/>
                  <w:vMerge w:val="continue"/>
                  <w:tcBorders>
                    <w:left w:val="single" w:color="auto" w:sz="4" w:space="0"/>
                    <w:bottom w:val="single" w:color="auto" w:sz="4" w:space="0"/>
                    <w:right w:val="single" w:color="auto" w:sz="4" w:space="0"/>
                  </w:tcBorders>
                  <w:noWrap w:val="0"/>
                  <w:vAlign w:val="center"/>
                </w:tcPr>
                <w:p w14:paraId="4B0D1C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3F99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93CA6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94006A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009CBF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钙</w:t>
                  </w:r>
                </w:p>
              </w:tc>
              <w:tc>
                <w:tcPr>
                  <w:tcW w:w="5187" w:type="dxa"/>
                  <w:vMerge w:val="restart"/>
                  <w:tcBorders>
                    <w:left w:val="single" w:color="auto" w:sz="4" w:space="0"/>
                    <w:right w:val="single" w:color="auto" w:sz="4" w:space="0"/>
                  </w:tcBorders>
                  <w:noWrap w:val="0"/>
                  <w:vAlign w:val="center"/>
                </w:tcPr>
                <w:p w14:paraId="6F4D7C5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水质钙和镁的测定原子吸收分光光度法GB11905-1989</w:t>
                  </w:r>
                </w:p>
              </w:tc>
            </w:tr>
            <w:tr w14:paraId="709A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77E407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26B73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ADB16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镁</w:t>
                  </w:r>
                </w:p>
              </w:tc>
              <w:tc>
                <w:tcPr>
                  <w:tcW w:w="5187" w:type="dxa"/>
                  <w:vMerge w:val="continue"/>
                  <w:tcBorders>
                    <w:left w:val="single" w:color="auto" w:sz="4" w:space="0"/>
                    <w:bottom w:val="single" w:color="auto" w:sz="4" w:space="0"/>
                    <w:right w:val="single" w:color="auto" w:sz="4" w:space="0"/>
                  </w:tcBorders>
                  <w:noWrap w:val="0"/>
                  <w:vAlign w:val="center"/>
                </w:tcPr>
                <w:p w14:paraId="759B73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345F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EC2EBB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C9AF27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EB0B4F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铜</w:t>
                  </w:r>
                </w:p>
              </w:tc>
              <w:tc>
                <w:tcPr>
                  <w:tcW w:w="5187" w:type="dxa"/>
                  <w:vMerge w:val="restart"/>
                  <w:tcBorders>
                    <w:left w:val="single" w:color="auto" w:sz="4" w:space="0"/>
                    <w:right w:val="single" w:color="auto" w:sz="4" w:space="0"/>
                  </w:tcBorders>
                  <w:noWrap w:val="0"/>
                  <w:vAlign w:val="center"/>
                </w:tcPr>
                <w:p w14:paraId="3EF196D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铜、锌、铅、镉的测定 原子吸收分光光度法 GB7475-1987</w:t>
                  </w:r>
                </w:p>
              </w:tc>
            </w:tr>
            <w:tr w14:paraId="6B1E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87130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8944BB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581E4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锌</w:t>
                  </w:r>
                </w:p>
              </w:tc>
              <w:tc>
                <w:tcPr>
                  <w:tcW w:w="5187" w:type="dxa"/>
                  <w:vMerge w:val="continue"/>
                  <w:tcBorders>
                    <w:left w:val="single" w:color="auto" w:sz="4" w:space="0"/>
                    <w:right w:val="single" w:color="auto" w:sz="4" w:space="0"/>
                  </w:tcBorders>
                  <w:noWrap w:val="0"/>
                  <w:vAlign w:val="center"/>
                </w:tcPr>
                <w:p w14:paraId="6E370A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243CC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F1FE47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481A0D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745111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铅</w:t>
                  </w:r>
                </w:p>
              </w:tc>
              <w:tc>
                <w:tcPr>
                  <w:tcW w:w="5187" w:type="dxa"/>
                  <w:vMerge w:val="continue"/>
                  <w:tcBorders>
                    <w:left w:val="single" w:color="auto" w:sz="4" w:space="0"/>
                    <w:right w:val="single" w:color="auto" w:sz="4" w:space="0"/>
                  </w:tcBorders>
                  <w:noWrap w:val="0"/>
                  <w:vAlign w:val="center"/>
                </w:tcPr>
                <w:p w14:paraId="0B3DB05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0C78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AA8F59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1FBEDB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6D8286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镉</w:t>
                  </w:r>
                </w:p>
              </w:tc>
              <w:tc>
                <w:tcPr>
                  <w:tcW w:w="5187" w:type="dxa"/>
                  <w:vMerge w:val="continue"/>
                  <w:tcBorders>
                    <w:left w:val="single" w:color="auto" w:sz="4" w:space="0"/>
                    <w:bottom w:val="single" w:color="auto" w:sz="4" w:space="0"/>
                    <w:right w:val="single" w:color="auto" w:sz="4" w:space="0"/>
                  </w:tcBorders>
                  <w:noWrap w:val="0"/>
                  <w:vAlign w:val="center"/>
                </w:tcPr>
                <w:p w14:paraId="608E120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4D6F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CF596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DDE363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51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9FBC9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铁</w:t>
                  </w:r>
                </w:p>
              </w:tc>
              <w:tc>
                <w:tcPr>
                  <w:tcW w:w="5187" w:type="dxa"/>
                  <w:vMerge w:val="restart"/>
                  <w:tcBorders>
                    <w:top w:val="single" w:color="auto" w:sz="4" w:space="0"/>
                    <w:left w:val="single" w:color="auto" w:sz="4" w:space="0"/>
                    <w:right w:val="single" w:color="auto" w:sz="4" w:space="0"/>
                  </w:tcBorders>
                  <w:noWrap w:val="0"/>
                  <w:vAlign w:val="center"/>
                </w:tcPr>
                <w:p w14:paraId="25BAC688">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水质铁、锰的测定火焰原子吸收分光光度法GB11911-1989</w:t>
                  </w:r>
                </w:p>
              </w:tc>
            </w:tr>
            <w:tr w14:paraId="0F9D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535590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9FC85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C697DE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锰</w:t>
                  </w:r>
                </w:p>
              </w:tc>
              <w:tc>
                <w:tcPr>
                  <w:tcW w:w="5187" w:type="dxa"/>
                  <w:vMerge w:val="continue"/>
                  <w:tcBorders>
                    <w:left w:val="single" w:color="auto" w:sz="4" w:space="0"/>
                    <w:bottom w:val="single" w:color="auto" w:sz="4" w:space="0"/>
                    <w:right w:val="single" w:color="auto" w:sz="4" w:space="0"/>
                  </w:tcBorders>
                  <w:noWrap w:val="0"/>
                  <w:vAlign w:val="center"/>
                </w:tcPr>
                <w:p w14:paraId="4D8A98CD">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160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CCA939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E4648C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9D0A61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铬</w:t>
                  </w:r>
                </w:p>
              </w:tc>
              <w:tc>
                <w:tcPr>
                  <w:tcW w:w="5187" w:type="dxa"/>
                  <w:tcBorders>
                    <w:left w:val="single" w:color="auto" w:sz="4" w:space="0"/>
                    <w:bottom w:val="single" w:color="auto" w:sz="4" w:space="0"/>
                    <w:right w:val="single" w:color="auto" w:sz="4" w:space="0"/>
                  </w:tcBorders>
                  <w:noWrap w:val="0"/>
                  <w:vAlign w:val="center"/>
                </w:tcPr>
                <w:p w14:paraId="5A946F95">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铬的测定 火焰原子吸收分光光度法HJ757-2015</w:t>
                  </w:r>
                </w:p>
              </w:tc>
            </w:tr>
            <w:tr w14:paraId="2D01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71230A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39D1CD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04487E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镍</w:t>
                  </w:r>
                </w:p>
              </w:tc>
              <w:tc>
                <w:tcPr>
                  <w:tcW w:w="5187" w:type="dxa"/>
                  <w:tcBorders>
                    <w:left w:val="single" w:color="auto" w:sz="4" w:space="0"/>
                    <w:bottom w:val="single" w:color="auto" w:sz="4" w:space="0"/>
                    <w:right w:val="single" w:color="auto" w:sz="4" w:space="0"/>
                  </w:tcBorders>
                  <w:noWrap w:val="0"/>
                  <w:vAlign w:val="center"/>
                </w:tcPr>
                <w:p w14:paraId="2B606311">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镍的测定 火焰原子吸收分光光度法GB11912-1989</w:t>
                  </w:r>
                </w:p>
              </w:tc>
            </w:tr>
            <w:tr w14:paraId="15FF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E8B797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FF606E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5FA43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银</w:t>
                  </w:r>
                </w:p>
              </w:tc>
              <w:tc>
                <w:tcPr>
                  <w:tcW w:w="5187" w:type="dxa"/>
                  <w:tcBorders>
                    <w:left w:val="single" w:color="auto" w:sz="4" w:space="0"/>
                    <w:bottom w:val="single" w:color="auto" w:sz="4" w:space="0"/>
                    <w:right w:val="single" w:color="auto" w:sz="4" w:space="0"/>
                  </w:tcBorders>
                  <w:noWrap w:val="0"/>
                  <w:vAlign w:val="center"/>
                </w:tcPr>
                <w:p w14:paraId="2047CD9A">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银的测定 火焰原子吸收分光光度法GB 11907-1989</w:t>
                  </w:r>
                </w:p>
              </w:tc>
            </w:tr>
            <w:tr w14:paraId="0CA6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CEFB85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EE21C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56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F8F5C0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苯胺类化合物</w:t>
                  </w:r>
                </w:p>
              </w:tc>
              <w:tc>
                <w:tcPr>
                  <w:tcW w:w="5187" w:type="dxa"/>
                  <w:tcBorders>
                    <w:left w:val="single" w:color="auto" w:sz="4" w:space="0"/>
                    <w:bottom w:val="single" w:color="auto" w:sz="4" w:space="0"/>
                    <w:right w:val="single" w:color="auto" w:sz="4" w:space="0"/>
                  </w:tcBorders>
                  <w:noWrap w:val="0"/>
                  <w:vAlign w:val="center"/>
                </w:tcPr>
                <w:p w14:paraId="0E22E797">
                  <w:pPr>
                    <w:keepNext w:val="0"/>
                    <w:keepLines w:val="0"/>
                    <w:pageBreakBefore w:val="0"/>
                    <w:suppressLineNumbers w:val="0"/>
                    <w:tabs>
                      <w:tab w:val="left" w:pos="75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苯胺类化合物的测定N-(1-萘基)乙二胺偶氮分光光度法GB 11889-1989</w:t>
                  </w:r>
                </w:p>
              </w:tc>
            </w:tr>
            <w:tr w14:paraId="244B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72425D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57137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57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9713D5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色度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F9DE79D">
                  <w:pPr>
                    <w:keepNext w:val="0"/>
                    <w:keepLines w:val="0"/>
                    <w:pageBreakBefore w:val="0"/>
                    <w:suppressLineNumbers w:val="0"/>
                    <w:tabs>
                      <w:tab w:val="left" w:pos="60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色度的测定 稀释倍数法HJ 1182-2021</w:t>
                  </w:r>
                </w:p>
              </w:tc>
            </w:tr>
            <w:tr w14:paraId="356D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F19FC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252A84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58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0DDFB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硫化物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4549E9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硫化物的测定亚甲基蓝分光光度法HJ 1226-2021</w:t>
                  </w:r>
                </w:p>
              </w:tc>
            </w:tr>
            <w:tr w14:paraId="7003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C772B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D07BC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59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96404E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叶绿素a</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92484A8">
                  <w:pPr>
                    <w:keepNext w:val="0"/>
                    <w:keepLines w:val="0"/>
                    <w:pageBreakBefore w:val="0"/>
                    <w:suppressLineNumbers w:val="0"/>
                    <w:tabs>
                      <w:tab w:val="left" w:pos="78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叶绿素a的测定《水和废水监测分析方法》(第四版)国家环境保护总局(2002年)</w:t>
                  </w:r>
                </w:p>
              </w:tc>
            </w:tr>
            <w:tr w14:paraId="61CF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EC1294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323AD6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D8E48B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溶解性磷酸盐、溶解性总磷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A454FEC">
                  <w:pPr>
                    <w:keepNext w:val="0"/>
                    <w:keepLines w:val="0"/>
                    <w:pageBreakBefore w:val="0"/>
                    <w:suppressLineNumbers w:val="0"/>
                    <w:tabs>
                      <w:tab w:val="left" w:pos="78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钼锑抗分光光度法《水和废水监测分析方法》(第四版)国家环境保护总局(2002年)</w:t>
                  </w:r>
                </w:p>
              </w:tc>
            </w:tr>
            <w:tr w14:paraId="757A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B3877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F6F11B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843D5D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总残渣、</w:t>
                  </w:r>
                </w:p>
                <w:p w14:paraId="2B7D6E8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可滤残渣</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E088B1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重量法《水和废水监测分析方法》(第四版)国家环境保护总局(2002年)</w:t>
                  </w:r>
                </w:p>
              </w:tc>
            </w:tr>
            <w:tr w14:paraId="6C3D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E5ADA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EB270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51AAA7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石油类</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23CA9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石油类的测定 紫外分光光度法(试行)HJ970-2018</w:t>
                  </w:r>
                </w:p>
              </w:tc>
            </w:tr>
            <w:tr w14:paraId="6A00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5E3ABB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CCB33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89ED6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蛔虫卵</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17BEF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蛔虫卵的测定 沉淀集卵法HJ775-2015</w:t>
                  </w:r>
                </w:p>
              </w:tc>
            </w:tr>
            <w:tr w14:paraId="22F9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BD61F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51EF86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E6C0E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二氧化氯、亚氯酸盐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45CCBA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水质 二氧化氯和亚氯酸盐的测定连续滴定碘量法 HJ551-2016</w:t>
                  </w:r>
                </w:p>
              </w:tc>
            </w:tr>
            <w:tr w14:paraId="12C9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60F3E5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74651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65</w:t>
                  </w:r>
                </w:p>
              </w:tc>
              <w:tc>
                <w:tcPr>
                  <w:tcW w:w="1476" w:type="dxa"/>
                  <w:tcBorders>
                    <w:top w:val="single" w:color="auto" w:sz="4" w:space="0"/>
                    <w:left w:val="single" w:color="auto" w:sz="4" w:space="0"/>
                    <w:right w:val="single" w:color="auto" w:sz="4" w:space="0"/>
                  </w:tcBorders>
                  <w:noWrap w:val="0"/>
                  <w:vAlign w:val="center"/>
                </w:tcPr>
                <w:p w14:paraId="34C583E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硅</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21FAFB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工业循环冷却水和锅炉用水中硅的测定GB/T 12149-2017</w:t>
                  </w:r>
                </w:p>
              </w:tc>
            </w:tr>
            <w:tr w14:paraId="7BA4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39161F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2DC9F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66</w:t>
                  </w:r>
                </w:p>
              </w:tc>
              <w:tc>
                <w:tcPr>
                  <w:tcW w:w="1476" w:type="dxa"/>
                  <w:tcBorders>
                    <w:top w:val="single" w:color="auto" w:sz="4" w:space="0"/>
                    <w:left w:val="single" w:color="auto" w:sz="4" w:space="0"/>
                    <w:right w:val="single" w:color="auto" w:sz="4" w:space="0"/>
                  </w:tcBorders>
                  <w:noWrap w:val="0"/>
                  <w:vAlign w:val="center"/>
                </w:tcPr>
                <w:p w14:paraId="413A73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无机阴离子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88938F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eastAsia="宋体"/>
                      <w:bCs/>
                      <w:color w:val="auto"/>
                      <w:sz w:val="21"/>
                      <w:szCs w:val="21"/>
                      <w:highlight w:val="none"/>
                      <w:lang w:eastAsia="zh-CN"/>
                    </w:rPr>
                    <w:t>水质 无机阴离子(F-、C</w:t>
                  </w:r>
                  <w:r>
                    <w:rPr>
                      <w:rFonts w:hint="eastAsia"/>
                      <w:bCs/>
                      <w:color w:val="auto"/>
                      <w:sz w:val="21"/>
                      <w:szCs w:val="21"/>
                      <w:highlight w:val="none"/>
                      <w:lang w:val="en-US" w:eastAsia="zh-CN"/>
                    </w:rPr>
                    <w:t>l</w:t>
                  </w:r>
                  <w:r>
                    <w:rPr>
                      <w:rFonts w:hint="eastAsia" w:eastAsia="宋体"/>
                      <w:bCs/>
                      <w:color w:val="auto"/>
                      <w:sz w:val="21"/>
                      <w:szCs w:val="21"/>
                      <w:highlight w:val="none"/>
                      <w:lang w:eastAsia="zh-CN"/>
                    </w:rPr>
                    <w:t>、NO</w:t>
                  </w:r>
                  <w:r>
                    <w:rPr>
                      <w:rFonts w:hint="eastAsia"/>
                      <w:bCs/>
                      <w:color w:val="auto"/>
                      <w:sz w:val="21"/>
                      <w:szCs w:val="21"/>
                      <w:highlight w:val="none"/>
                      <w:vertAlign w:val="subscript"/>
                      <w:lang w:val="en-US"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、Br</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、NO</w:t>
                  </w:r>
                  <w:r>
                    <w:rPr>
                      <w:rFonts w:hint="eastAsia"/>
                      <w:bCs/>
                      <w:color w:val="auto"/>
                      <w:sz w:val="21"/>
                      <w:szCs w:val="21"/>
                      <w:highlight w:val="none"/>
                      <w:vertAlign w:val="subscript"/>
                      <w:lang w:val="en-US" w:eastAsia="zh-CN"/>
                    </w:rPr>
                    <w:t>3</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、PO</w:t>
                  </w:r>
                  <w:r>
                    <w:rPr>
                      <w:rFonts w:hint="eastAsia"/>
                      <w:bCs/>
                      <w:color w:val="auto"/>
                      <w:sz w:val="21"/>
                      <w:szCs w:val="21"/>
                      <w:highlight w:val="none"/>
                      <w:vertAlign w:val="subscript"/>
                      <w:lang w:val="en-US" w:eastAsia="zh-CN"/>
                    </w:rPr>
                    <w:t>4</w:t>
                  </w:r>
                  <w:r>
                    <w:rPr>
                      <w:rFonts w:hint="eastAsia"/>
                      <w:bCs/>
                      <w:color w:val="auto"/>
                      <w:sz w:val="21"/>
                      <w:szCs w:val="21"/>
                      <w:highlight w:val="none"/>
                      <w:vertAlign w:val="superscript"/>
                      <w:lang w:val="en-US" w:eastAsia="zh-CN"/>
                    </w:rPr>
                    <w:t>3-</w:t>
                  </w:r>
                  <w:r>
                    <w:rPr>
                      <w:rFonts w:hint="eastAsia" w:eastAsia="宋体"/>
                      <w:bCs/>
                      <w:color w:val="auto"/>
                      <w:sz w:val="21"/>
                      <w:szCs w:val="21"/>
                      <w:highlight w:val="none"/>
                      <w:lang w:eastAsia="zh-CN"/>
                    </w:rPr>
                    <w:t>、SO</w:t>
                  </w:r>
                  <w:r>
                    <w:rPr>
                      <w:rFonts w:hint="eastAsia"/>
                      <w:bCs/>
                      <w:color w:val="auto"/>
                      <w:sz w:val="21"/>
                      <w:szCs w:val="21"/>
                      <w:highlight w:val="none"/>
                      <w:vertAlign w:val="subscript"/>
                      <w:lang w:val="en-US" w:eastAsia="zh-CN"/>
                    </w:rPr>
                    <w:t>3</w:t>
                  </w:r>
                  <w:r>
                    <w:rPr>
                      <w:rFonts w:hint="eastAsia" w:eastAsia="宋体"/>
                      <w:bCs/>
                      <w:color w:val="auto"/>
                      <w:sz w:val="21"/>
                      <w:szCs w:val="21"/>
                      <w:highlight w:val="none"/>
                      <w:vertAlign w:val="superscript"/>
                      <w:lang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、SO</w:t>
                  </w:r>
                  <w:r>
                    <w:rPr>
                      <w:rFonts w:hint="eastAsia"/>
                      <w:bCs/>
                      <w:color w:val="auto"/>
                      <w:sz w:val="21"/>
                      <w:szCs w:val="21"/>
                      <w:highlight w:val="none"/>
                      <w:vertAlign w:val="subscript"/>
                      <w:lang w:val="en-US" w:eastAsia="zh-CN"/>
                    </w:rPr>
                    <w:t>4</w:t>
                  </w:r>
                  <w:r>
                    <w:rPr>
                      <w:rFonts w:hint="eastAsia" w:eastAsia="宋体"/>
                      <w:bCs/>
                      <w:color w:val="auto"/>
                      <w:sz w:val="21"/>
                      <w:szCs w:val="21"/>
                      <w:highlight w:val="none"/>
                      <w:vertAlign w:val="superscript"/>
                      <w:lang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)的测定离子色谱法 HJ84-2016</w:t>
                  </w:r>
                  <w:r>
                    <w:rPr>
                      <w:rFonts w:hint="eastAsia"/>
                      <w:bCs/>
                      <w:color w:val="auto"/>
                      <w:sz w:val="21"/>
                      <w:szCs w:val="21"/>
                      <w:highlight w:val="none"/>
                      <w:lang w:val="en-US" w:eastAsia="zh-CN"/>
                    </w:rPr>
                    <w:t>(不做</w:t>
                  </w:r>
                  <w:r>
                    <w:rPr>
                      <w:rFonts w:hint="eastAsia" w:eastAsia="宋体"/>
                      <w:bCs/>
                      <w:color w:val="auto"/>
                      <w:sz w:val="21"/>
                      <w:szCs w:val="21"/>
                      <w:highlight w:val="none"/>
                      <w:lang w:eastAsia="zh-CN"/>
                    </w:rPr>
                    <w:t>Br</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SO</w:t>
                  </w:r>
                  <w:r>
                    <w:rPr>
                      <w:rFonts w:hint="eastAsia"/>
                      <w:bCs/>
                      <w:color w:val="auto"/>
                      <w:sz w:val="21"/>
                      <w:szCs w:val="21"/>
                      <w:highlight w:val="none"/>
                      <w:vertAlign w:val="subscript"/>
                      <w:lang w:val="en-US" w:eastAsia="zh-CN"/>
                    </w:rPr>
                    <w:t>3</w:t>
                  </w:r>
                  <w:r>
                    <w:rPr>
                      <w:rFonts w:hint="eastAsia" w:eastAsia="宋体"/>
                      <w:bCs/>
                      <w:color w:val="auto"/>
                      <w:sz w:val="21"/>
                      <w:szCs w:val="21"/>
                      <w:highlight w:val="none"/>
                      <w:vertAlign w:val="superscript"/>
                      <w:lang w:eastAsia="zh-CN"/>
                    </w:rPr>
                    <w:t>2</w:t>
                  </w:r>
                  <w:r>
                    <w:rPr>
                      <w:rFonts w:hint="eastAsia"/>
                      <w:bCs/>
                      <w:color w:val="auto"/>
                      <w:sz w:val="21"/>
                      <w:szCs w:val="21"/>
                      <w:highlight w:val="none"/>
                      <w:vertAlign w:val="superscript"/>
                      <w:lang w:val="en-US" w:eastAsia="zh-CN"/>
                    </w:rPr>
                    <w:t>-</w:t>
                  </w:r>
                  <w:r>
                    <w:rPr>
                      <w:rFonts w:hint="eastAsia"/>
                      <w:bCs/>
                      <w:color w:val="auto"/>
                      <w:sz w:val="21"/>
                      <w:szCs w:val="21"/>
                      <w:highlight w:val="none"/>
                      <w:lang w:val="en-US" w:eastAsia="zh-CN"/>
                    </w:rPr>
                    <w:t>)</w:t>
                  </w:r>
                </w:p>
              </w:tc>
            </w:tr>
            <w:tr w14:paraId="5904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right w:val="single" w:color="auto" w:sz="4" w:space="0"/>
                  </w:tcBorders>
                  <w:noWrap w:val="0"/>
                  <w:vAlign w:val="center"/>
                </w:tcPr>
                <w:p w14:paraId="22ACDB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环境</w:t>
                  </w:r>
                  <w:r>
                    <w:rPr>
                      <w:rFonts w:hint="default"/>
                      <w:bCs/>
                      <w:color w:val="auto"/>
                      <w:sz w:val="21"/>
                      <w:szCs w:val="21"/>
                      <w:highlight w:val="none"/>
                    </w:rPr>
                    <w:t>空气和废气</w:t>
                  </w:r>
                </w:p>
              </w:tc>
              <w:tc>
                <w:tcPr>
                  <w:tcW w:w="839" w:type="dxa"/>
                  <w:vMerge w:val="restart"/>
                  <w:tcBorders>
                    <w:top w:val="single" w:color="auto" w:sz="4" w:space="0"/>
                    <w:left w:val="single" w:color="auto" w:sz="4" w:space="0"/>
                    <w:right w:val="single" w:color="auto" w:sz="4" w:space="0"/>
                  </w:tcBorders>
                  <w:noWrap w:val="0"/>
                  <w:vAlign w:val="center"/>
                </w:tcPr>
                <w:p w14:paraId="41836D5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1</w:t>
                  </w:r>
                </w:p>
              </w:tc>
              <w:tc>
                <w:tcPr>
                  <w:tcW w:w="1476" w:type="dxa"/>
                  <w:vMerge w:val="restart"/>
                  <w:tcBorders>
                    <w:top w:val="single" w:color="auto" w:sz="4" w:space="0"/>
                    <w:left w:val="single" w:color="auto" w:sz="4" w:space="0"/>
                    <w:right w:val="single" w:color="auto" w:sz="4" w:space="0"/>
                  </w:tcBorders>
                  <w:noWrap w:val="0"/>
                  <w:vAlign w:val="center"/>
                </w:tcPr>
                <w:p w14:paraId="37BEAEE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总烃、甲烷、非甲烷总烃</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74098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环境空气 总烃、甲烷和非甲烷总烃的测定直接进样-气相色谱法HJ604-2017</w:t>
                  </w:r>
                </w:p>
              </w:tc>
            </w:tr>
            <w:tr w14:paraId="723B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92F8D6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6E65DC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42F739A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9FB32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固定污染源废气 总烃、甲烷和非甲烷总烃的测定 气相色谱法HJ38-2017</w:t>
                  </w:r>
                </w:p>
              </w:tc>
            </w:tr>
            <w:tr w14:paraId="208B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54501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372E752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2</w:t>
                  </w:r>
                </w:p>
              </w:tc>
              <w:tc>
                <w:tcPr>
                  <w:tcW w:w="1476" w:type="dxa"/>
                  <w:vMerge w:val="restart"/>
                  <w:tcBorders>
                    <w:left w:val="single" w:color="auto" w:sz="4" w:space="0"/>
                    <w:right w:val="single" w:color="auto" w:sz="4" w:space="0"/>
                  </w:tcBorders>
                  <w:noWrap w:val="0"/>
                  <w:vAlign w:val="center"/>
                </w:tcPr>
                <w:p w14:paraId="427717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烟气黑度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09FA54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固定污染源排放 烟气黑度的测定林格曼烟气黑度图法HJ/T398-2007</w:t>
                  </w:r>
                </w:p>
              </w:tc>
            </w:tr>
            <w:tr w14:paraId="2DDE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656396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03DD70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3DC9B6E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A6A5A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固定污染源废气 烟气黑度的测定林格曼望远镜法HJ1287-2023</w:t>
                  </w:r>
                </w:p>
              </w:tc>
            </w:tr>
            <w:tr w14:paraId="2557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7BC3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2D2D46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3</w:t>
                  </w:r>
                </w:p>
              </w:tc>
              <w:tc>
                <w:tcPr>
                  <w:tcW w:w="1476" w:type="dxa"/>
                  <w:tcBorders>
                    <w:left w:val="single" w:color="auto" w:sz="4" w:space="0"/>
                    <w:bottom w:val="single" w:color="auto" w:sz="4" w:space="0"/>
                    <w:right w:val="single" w:color="auto" w:sz="4" w:space="0"/>
                  </w:tcBorders>
                  <w:noWrap w:val="0"/>
                  <w:vAlign w:val="center"/>
                </w:tcPr>
                <w:p w14:paraId="7DB210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烟（粉）尘</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F8883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固定污染源排气颗粒物测定与气态污染物采样方法 GBT16157-1996 及其修改单</w:t>
                  </w:r>
                </w:p>
              </w:tc>
            </w:tr>
            <w:tr w14:paraId="4B8D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CD3D1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01D8AF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4</w:t>
                  </w:r>
                </w:p>
              </w:tc>
              <w:tc>
                <w:tcPr>
                  <w:tcW w:w="1476" w:type="dxa"/>
                  <w:vMerge w:val="restart"/>
                  <w:tcBorders>
                    <w:left w:val="single" w:color="auto" w:sz="4" w:space="0"/>
                    <w:right w:val="single" w:color="auto" w:sz="4" w:space="0"/>
                  </w:tcBorders>
                  <w:noWrap w:val="0"/>
                  <w:vAlign w:val="center"/>
                </w:tcPr>
                <w:p w14:paraId="5C527B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二氧化硫</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9718D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环境空气二氧化硫的测定甲醛吸收-副玫瑰苯胺分光光度法HJ482-2009</w:t>
                  </w:r>
                </w:p>
              </w:tc>
            </w:tr>
            <w:tr w14:paraId="2435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68432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44C44CC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5370EC5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41B44F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固定污染源排气中二氧化硫的测定定电位电解法HJ/T57-2000</w:t>
                  </w:r>
                </w:p>
              </w:tc>
            </w:tr>
            <w:tr w14:paraId="7F1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8BF85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4F9625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5</w:t>
                  </w:r>
                </w:p>
              </w:tc>
              <w:tc>
                <w:tcPr>
                  <w:tcW w:w="1476" w:type="dxa"/>
                  <w:vMerge w:val="restart"/>
                  <w:tcBorders>
                    <w:left w:val="single" w:color="auto" w:sz="4" w:space="0"/>
                    <w:right w:val="single" w:color="auto" w:sz="4" w:space="0"/>
                  </w:tcBorders>
                  <w:noWrap w:val="0"/>
                  <w:vAlign w:val="center"/>
                </w:tcPr>
                <w:p w14:paraId="09922D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氮氧化物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5E4B1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default"/>
                      <w:bCs/>
                      <w:color w:val="auto"/>
                      <w:sz w:val="21"/>
                      <w:szCs w:val="21"/>
                      <w:highlight w:val="none"/>
                    </w:rPr>
                    <w:t>环境空气氮氧化物(一氧化氮和二氧化氮)的测定盐酸奈乙二胺分光光度法HJ479-2009</w:t>
                  </w:r>
                  <w:r>
                    <w:rPr>
                      <w:rFonts w:hint="eastAsia"/>
                      <w:bCs/>
                      <w:color w:val="auto"/>
                      <w:sz w:val="21"/>
                      <w:szCs w:val="21"/>
                      <w:highlight w:val="none"/>
                      <w:lang w:val="en-US" w:eastAsia="zh-CN"/>
                    </w:rPr>
                    <w:t>及其修改单</w:t>
                  </w:r>
                </w:p>
              </w:tc>
            </w:tr>
            <w:tr w14:paraId="360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DE37C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5AF40A9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0E31E02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B846F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固定污染源废气 氮氧化物的测定定电位电解法H</w:t>
                  </w:r>
                  <w:r>
                    <w:rPr>
                      <w:rFonts w:hint="eastAsia"/>
                      <w:bCs/>
                      <w:color w:val="auto"/>
                      <w:sz w:val="21"/>
                      <w:szCs w:val="21"/>
                      <w:highlight w:val="none"/>
                      <w:lang w:val="en-US" w:eastAsia="zh-CN"/>
                    </w:rPr>
                    <w:t>J</w:t>
                  </w:r>
                  <w:r>
                    <w:rPr>
                      <w:rFonts w:hint="eastAsia"/>
                      <w:bCs/>
                      <w:color w:val="auto"/>
                      <w:sz w:val="21"/>
                      <w:szCs w:val="21"/>
                      <w:highlight w:val="none"/>
                    </w:rPr>
                    <w:t>693-2014</w:t>
                  </w:r>
                </w:p>
              </w:tc>
            </w:tr>
            <w:tr w14:paraId="585C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E75377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CFD771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6</w:t>
                  </w:r>
                </w:p>
              </w:tc>
              <w:tc>
                <w:tcPr>
                  <w:tcW w:w="1476" w:type="dxa"/>
                  <w:tcBorders>
                    <w:left w:val="single" w:color="auto" w:sz="4" w:space="0"/>
                    <w:bottom w:val="single" w:color="auto" w:sz="4" w:space="0"/>
                    <w:right w:val="single" w:color="auto" w:sz="4" w:space="0"/>
                  </w:tcBorders>
                  <w:noWrap w:val="0"/>
                  <w:vAlign w:val="center"/>
                </w:tcPr>
                <w:p w14:paraId="0D7E9FB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甲醛</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B627A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空气质量甲醛的测定乙酰丙酮分光光度法GB/T15516-1995</w:t>
                  </w:r>
                </w:p>
              </w:tc>
            </w:tr>
            <w:tr w14:paraId="240B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37A361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4565DB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7</w:t>
                  </w:r>
                </w:p>
              </w:tc>
              <w:tc>
                <w:tcPr>
                  <w:tcW w:w="1476" w:type="dxa"/>
                  <w:vMerge w:val="restart"/>
                  <w:tcBorders>
                    <w:left w:val="single" w:color="auto" w:sz="4" w:space="0"/>
                    <w:right w:val="single" w:color="auto" w:sz="4" w:space="0"/>
                  </w:tcBorders>
                  <w:noWrap w:val="0"/>
                  <w:vAlign w:val="center"/>
                </w:tcPr>
                <w:p w14:paraId="283AC10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氟化物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5D0519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大气固定</w:t>
                  </w:r>
                  <w:r>
                    <w:rPr>
                      <w:rFonts w:hint="eastAsia"/>
                      <w:bCs/>
                      <w:color w:val="auto"/>
                      <w:sz w:val="21"/>
                      <w:szCs w:val="21"/>
                      <w:highlight w:val="none"/>
                      <w:lang w:eastAsia="zh-CN"/>
                    </w:rPr>
                    <w:t>污</w:t>
                  </w:r>
                  <w:r>
                    <w:rPr>
                      <w:rFonts w:hint="default"/>
                      <w:bCs/>
                      <w:color w:val="auto"/>
                      <w:sz w:val="21"/>
                      <w:szCs w:val="21"/>
                      <w:highlight w:val="none"/>
                    </w:rPr>
                    <w:t>染源氟化物的测定离子选择电极法HJ67-2001</w:t>
                  </w:r>
                </w:p>
              </w:tc>
            </w:tr>
            <w:tr w14:paraId="1AFC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91BE8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2995516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16EB9DB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80110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环境空气氟化物的测定滤膜</w:t>
                  </w:r>
                  <w:r>
                    <w:rPr>
                      <w:rFonts w:hint="eastAsia"/>
                      <w:bCs/>
                      <w:color w:val="auto"/>
                      <w:sz w:val="21"/>
                      <w:szCs w:val="21"/>
                      <w:highlight w:val="none"/>
                      <w:lang w:eastAsia="zh-CN"/>
                    </w:rPr>
                    <w:t>采</w:t>
                  </w:r>
                  <w:r>
                    <w:rPr>
                      <w:rFonts w:hint="default"/>
                      <w:bCs/>
                      <w:color w:val="auto"/>
                      <w:sz w:val="21"/>
                      <w:szCs w:val="21"/>
                      <w:highlight w:val="none"/>
                    </w:rPr>
                    <w:t>样氟离子选择电极法HJ480-2009</w:t>
                  </w:r>
                </w:p>
              </w:tc>
            </w:tr>
            <w:tr w14:paraId="28D4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69A66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90CDF8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8</w:t>
                  </w:r>
                </w:p>
              </w:tc>
              <w:tc>
                <w:tcPr>
                  <w:tcW w:w="1476" w:type="dxa"/>
                  <w:tcBorders>
                    <w:left w:val="single" w:color="auto" w:sz="4" w:space="0"/>
                    <w:bottom w:val="single" w:color="auto" w:sz="4" w:space="0"/>
                    <w:right w:val="single" w:color="auto" w:sz="4" w:space="0"/>
                  </w:tcBorders>
                  <w:noWrap w:val="0"/>
                  <w:vAlign w:val="center"/>
                </w:tcPr>
                <w:p w14:paraId="567DDCF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氯化氢</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52078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环境空气和废气氯化氢的测定离子色谱法HJ549-2016</w:t>
                  </w:r>
                </w:p>
              </w:tc>
            </w:tr>
            <w:tr w14:paraId="6DCC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A05D01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44ACDFE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9</w:t>
                  </w:r>
                </w:p>
              </w:tc>
              <w:tc>
                <w:tcPr>
                  <w:tcW w:w="1476" w:type="dxa"/>
                  <w:tcBorders>
                    <w:left w:val="single" w:color="auto" w:sz="4" w:space="0"/>
                    <w:bottom w:val="single" w:color="auto" w:sz="4" w:space="0"/>
                    <w:right w:val="single" w:color="auto" w:sz="4" w:space="0"/>
                  </w:tcBorders>
                  <w:noWrap w:val="0"/>
                  <w:vAlign w:val="center"/>
                </w:tcPr>
                <w:p w14:paraId="3F5239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氨</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B90C35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环境空气和废气氨的测定纳氏试剂分光光度法HJ533-2009</w:t>
                  </w:r>
                </w:p>
              </w:tc>
            </w:tr>
            <w:tr w14:paraId="2E6D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28CDDD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0B59E0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10</w:t>
                  </w:r>
                </w:p>
              </w:tc>
              <w:tc>
                <w:tcPr>
                  <w:tcW w:w="1476" w:type="dxa"/>
                  <w:vMerge w:val="restart"/>
                  <w:tcBorders>
                    <w:left w:val="single" w:color="auto" w:sz="4" w:space="0"/>
                    <w:right w:val="single" w:color="auto" w:sz="4" w:space="0"/>
                  </w:tcBorders>
                  <w:noWrap w:val="0"/>
                  <w:vAlign w:val="center"/>
                </w:tcPr>
                <w:p w14:paraId="24BE540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硫化氢</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770C9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环境空气亚甲基蓝分光光度法空气和废气监测分析方法(第四版)国家环境保护总局(2003年)</w:t>
                  </w:r>
                </w:p>
              </w:tc>
            </w:tr>
            <w:tr w14:paraId="4A36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36DDEB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0BC1A0F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5584998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83B467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固定源废气 硫化氢的测定亚甲基蓝分光光度法《空气和废气监测分析方法》(第四版)国家环境保护总局(2003年)</w:t>
                  </w:r>
                </w:p>
              </w:tc>
            </w:tr>
            <w:tr w14:paraId="0F3A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DF0910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5D80EED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11</w:t>
                  </w:r>
                </w:p>
              </w:tc>
              <w:tc>
                <w:tcPr>
                  <w:tcW w:w="1476" w:type="dxa"/>
                  <w:tcBorders>
                    <w:left w:val="single" w:color="auto" w:sz="4" w:space="0"/>
                    <w:bottom w:val="single" w:color="auto" w:sz="4" w:space="0"/>
                    <w:right w:val="single" w:color="auto" w:sz="4" w:space="0"/>
                  </w:tcBorders>
                  <w:noWrap w:val="0"/>
                  <w:vAlign w:val="center"/>
                </w:tcPr>
                <w:p w14:paraId="7075B85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低浓度颗粒物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5BA9BD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rPr>
                    <w:t>固定污染源废气 低浓度颗粒物的测定 重量法</w:t>
                  </w:r>
                  <w:r>
                    <w:rPr>
                      <w:rFonts w:hint="default"/>
                      <w:bCs/>
                      <w:color w:val="auto"/>
                      <w:sz w:val="21"/>
                      <w:szCs w:val="21"/>
                      <w:highlight w:val="none"/>
                    </w:rPr>
                    <w:t>HJ</w:t>
                  </w:r>
                  <w:r>
                    <w:rPr>
                      <w:rFonts w:hint="eastAsia"/>
                      <w:bCs/>
                      <w:color w:val="auto"/>
                      <w:sz w:val="21"/>
                      <w:szCs w:val="21"/>
                      <w:highlight w:val="none"/>
                      <w:lang w:val="en-US" w:eastAsia="zh-CN"/>
                    </w:rPr>
                    <w:t>836</w:t>
                  </w:r>
                  <w:r>
                    <w:rPr>
                      <w:rFonts w:hint="default"/>
                      <w:bCs/>
                      <w:color w:val="auto"/>
                      <w:sz w:val="21"/>
                      <w:szCs w:val="21"/>
                      <w:highlight w:val="none"/>
                    </w:rPr>
                    <w:t>-201</w:t>
                  </w:r>
                  <w:r>
                    <w:rPr>
                      <w:rFonts w:hint="eastAsia"/>
                      <w:bCs/>
                      <w:color w:val="auto"/>
                      <w:sz w:val="21"/>
                      <w:szCs w:val="21"/>
                      <w:highlight w:val="none"/>
                      <w:lang w:val="en-US" w:eastAsia="zh-CN"/>
                    </w:rPr>
                    <w:t>7</w:t>
                  </w:r>
                </w:p>
              </w:tc>
            </w:tr>
            <w:tr w14:paraId="1B16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F2409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0A497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98D811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氯气</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B061EA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固定污染源排气中氯气的测定甲基橙分光光度法</w:t>
                  </w:r>
                </w:p>
                <w:p w14:paraId="60B1CF6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HJ/T 30-1999</w:t>
                  </w:r>
                </w:p>
              </w:tc>
            </w:tr>
            <w:tr w14:paraId="5C18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FA03C0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4A9C4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6F1EA2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油雾、油烟</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B9624F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固定污染源废气 油烟和油雾的测定红外分光光度法HJ 1077-2019</w:t>
                  </w:r>
                </w:p>
              </w:tc>
            </w:tr>
            <w:tr w14:paraId="1EED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F6E750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1CF3DA7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14</w:t>
                  </w:r>
                </w:p>
              </w:tc>
              <w:tc>
                <w:tcPr>
                  <w:tcW w:w="1476" w:type="dxa"/>
                  <w:vMerge w:val="restart"/>
                  <w:tcBorders>
                    <w:top w:val="single" w:color="auto" w:sz="4" w:space="0"/>
                    <w:left w:val="single" w:color="auto" w:sz="4" w:space="0"/>
                    <w:right w:val="single" w:color="auto" w:sz="4" w:space="0"/>
                  </w:tcBorders>
                  <w:noWrap w:val="0"/>
                  <w:vAlign w:val="center"/>
                </w:tcPr>
                <w:p w14:paraId="079BA03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苯系物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B7EDC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环境空气 苯系物的测定固体吸附/热脱附-气相色谱法HJ583-2010</w:t>
                  </w:r>
                </w:p>
              </w:tc>
            </w:tr>
            <w:tr w14:paraId="4570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AFD98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3C4B0E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771BE6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BE1C3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固定污染源废气 苯系物的测定气袋采样/直接进样-气相色谱法HJ1261-2022</w:t>
                  </w:r>
                </w:p>
              </w:tc>
            </w:tr>
            <w:tr w14:paraId="1F50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925D6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4DB9A4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3C2F0D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2.5</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F012B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环境空气 PM</w:t>
                  </w:r>
                  <w:r>
                    <w:rPr>
                      <w:rFonts w:hint="eastAsia"/>
                      <w:bCs/>
                      <w:color w:val="auto"/>
                      <w:sz w:val="21"/>
                      <w:szCs w:val="21"/>
                      <w:highlight w:val="none"/>
                      <w:vertAlign w:val="subscript"/>
                      <w:lang w:val="en-US" w:eastAsia="zh-CN"/>
                    </w:rPr>
                    <w:t>10</w:t>
                  </w:r>
                  <w:r>
                    <w:rPr>
                      <w:rFonts w:hint="eastAsia"/>
                      <w:bCs/>
                      <w:color w:val="auto"/>
                      <w:sz w:val="21"/>
                      <w:szCs w:val="21"/>
                      <w:highlight w:val="none"/>
                    </w:rPr>
                    <w:t>和 PM</w:t>
                  </w:r>
                  <w:r>
                    <w:rPr>
                      <w:rFonts w:hint="eastAsia"/>
                      <w:bCs/>
                      <w:color w:val="auto"/>
                      <w:sz w:val="21"/>
                      <w:szCs w:val="21"/>
                      <w:highlight w:val="none"/>
                      <w:vertAlign w:val="subscript"/>
                      <w:lang w:val="en-US" w:eastAsia="zh-CN"/>
                    </w:rPr>
                    <w:t>2.5</w:t>
                  </w:r>
                  <w:r>
                    <w:rPr>
                      <w:rFonts w:hint="eastAsia"/>
                      <w:bCs/>
                      <w:color w:val="auto"/>
                      <w:sz w:val="21"/>
                      <w:szCs w:val="21"/>
                      <w:highlight w:val="none"/>
                    </w:rPr>
                    <w:t>的测定 重量法HJ618-2011 及其修改单</w:t>
                  </w:r>
                </w:p>
              </w:tc>
            </w:tr>
            <w:tr w14:paraId="7BE1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7D9A3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EA773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A218B8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硫酸雾</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C489E3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固定污染源废气 硫酸雾的测定</w:t>
                  </w:r>
                  <w:r>
                    <w:rPr>
                      <w:rFonts w:hint="eastAsia"/>
                      <w:bCs/>
                      <w:color w:val="auto"/>
                      <w:sz w:val="21"/>
                      <w:szCs w:val="21"/>
                      <w:highlight w:val="none"/>
                      <w:lang w:val="en-US" w:eastAsia="zh-CN"/>
                    </w:rPr>
                    <w:t xml:space="preserve"> </w:t>
                  </w:r>
                  <w:r>
                    <w:rPr>
                      <w:rFonts w:hint="eastAsia"/>
                      <w:bCs/>
                      <w:color w:val="auto"/>
                      <w:sz w:val="21"/>
                      <w:szCs w:val="21"/>
                      <w:highlight w:val="none"/>
                    </w:rPr>
                    <w:t>离子色谱法 HJ544-2016</w:t>
                  </w:r>
                </w:p>
              </w:tc>
            </w:tr>
            <w:tr w14:paraId="7C85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75AF59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47ECAB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6AFE3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铬酸雾</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50EEB8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固定污染源排气中铬酸雾的测定二苯碳酰二肼分光光度法HJ/T29-1999</w:t>
                  </w:r>
                </w:p>
              </w:tc>
            </w:tr>
            <w:tr w14:paraId="4041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721137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D60121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B868B7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氟化氢</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6FFE20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固定污染源废气氟化氢的测定离子色谱法暂行HJ688-201</w:t>
                  </w:r>
                  <w:r>
                    <w:rPr>
                      <w:rFonts w:hint="eastAsia"/>
                      <w:bCs/>
                      <w:color w:val="auto"/>
                      <w:sz w:val="21"/>
                      <w:szCs w:val="21"/>
                      <w:highlight w:val="none"/>
                      <w:lang w:val="en-US" w:eastAsia="zh-CN"/>
                    </w:rPr>
                    <w:t>9</w:t>
                  </w:r>
                </w:p>
              </w:tc>
            </w:tr>
            <w:tr w14:paraId="4447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1453C7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0A28D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2E8085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臭氧</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3874E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default"/>
                      <w:bCs/>
                      <w:color w:val="auto"/>
                      <w:sz w:val="21"/>
                      <w:szCs w:val="21"/>
                      <w:highlight w:val="none"/>
                    </w:rPr>
                    <w:t>环境空气臭氧的测定靛蓝二磺酸钠分光光度法HJ504-2009</w:t>
                  </w:r>
                  <w:r>
                    <w:rPr>
                      <w:rFonts w:hint="eastAsia"/>
                      <w:bCs/>
                      <w:color w:val="auto"/>
                      <w:sz w:val="21"/>
                      <w:szCs w:val="21"/>
                      <w:highlight w:val="none"/>
                      <w:lang w:val="en-US" w:eastAsia="zh-CN"/>
                    </w:rPr>
                    <w:t>及其修改单</w:t>
                  </w:r>
                </w:p>
              </w:tc>
            </w:tr>
            <w:tr w14:paraId="3123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8D960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0388EB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1E73D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氰化氢</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04A3C5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固定污染源排气中氰化氢的测定异烟酸-吡唑啉酮分光光度法HI/T28-1999</w:t>
                  </w:r>
                </w:p>
              </w:tc>
            </w:tr>
            <w:tr w14:paraId="416F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852277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8F2CB4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606D0D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汞及其化合物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D49144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原子荧光分光光度法</w:t>
                  </w:r>
                  <w:r>
                    <w:rPr>
                      <w:rFonts w:hint="eastAsia"/>
                      <w:bCs/>
                      <w:color w:val="auto"/>
                      <w:sz w:val="21"/>
                      <w:szCs w:val="21"/>
                      <w:highlight w:val="none"/>
                      <w:lang w:eastAsia="zh-CN"/>
                    </w:rPr>
                    <w:t>《</w:t>
                  </w:r>
                  <w:r>
                    <w:rPr>
                      <w:rFonts w:hint="eastAsia"/>
                      <w:bCs/>
                      <w:color w:val="auto"/>
                      <w:sz w:val="21"/>
                      <w:szCs w:val="21"/>
                      <w:highlight w:val="none"/>
                    </w:rPr>
                    <w:t>空气和废气监测分析方法》(第四版)国家环境保护总局(2003年)</w:t>
                  </w:r>
                </w:p>
              </w:tc>
            </w:tr>
            <w:tr w14:paraId="29B1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408C8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355971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22</w:t>
                  </w:r>
                </w:p>
              </w:tc>
              <w:tc>
                <w:tcPr>
                  <w:tcW w:w="1476" w:type="dxa"/>
                  <w:vMerge w:val="restart"/>
                  <w:tcBorders>
                    <w:top w:val="single" w:color="auto" w:sz="4" w:space="0"/>
                    <w:left w:val="single" w:color="auto" w:sz="4" w:space="0"/>
                    <w:right w:val="single" w:color="auto" w:sz="4" w:space="0"/>
                  </w:tcBorders>
                  <w:noWrap w:val="0"/>
                  <w:vAlign w:val="center"/>
                </w:tcPr>
                <w:p w14:paraId="09B8702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铅</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DA59E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default"/>
                      <w:bCs/>
                      <w:color w:val="auto"/>
                      <w:sz w:val="21"/>
                      <w:szCs w:val="21"/>
                      <w:highlight w:val="none"/>
                    </w:rPr>
                    <w:t>环境空气</w:t>
                  </w:r>
                  <w:r>
                    <w:rPr>
                      <w:rFonts w:hint="eastAsia"/>
                      <w:bCs/>
                      <w:color w:val="auto"/>
                      <w:sz w:val="21"/>
                      <w:szCs w:val="21"/>
                      <w:highlight w:val="none"/>
                      <w:lang w:val="en-US" w:eastAsia="zh-CN"/>
                    </w:rPr>
                    <w:t xml:space="preserve"> </w:t>
                  </w:r>
                  <w:r>
                    <w:rPr>
                      <w:rFonts w:hint="default"/>
                      <w:bCs/>
                      <w:color w:val="auto"/>
                      <w:sz w:val="21"/>
                      <w:szCs w:val="21"/>
                      <w:highlight w:val="none"/>
                    </w:rPr>
                    <w:t>铅的测定</w:t>
                  </w:r>
                  <w:r>
                    <w:rPr>
                      <w:rFonts w:hint="eastAsia"/>
                      <w:bCs/>
                      <w:color w:val="auto"/>
                      <w:sz w:val="21"/>
                      <w:szCs w:val="21"/>
                      <w:highlight w:val="none"/>
                      <w:lang w:val="en-US" w:eastAsia="zh-CN"/>
                    </w:rPr>
                    <w:t xml:space="preserve"> </w:t>
                  </w:r>
                  <w:r>
                    <w:rPr>
                      <w:rFonts w:hint="default"/>
                      <w:bCs/>
                      <w:color w:val="auto"/>
                      <w:sz w:val="21"/>
                      <w:szCs w:val="21"/>
                      <w:highlight w:val="none"/>
                    </w:rPr>
                    <w:t>石墨炉原子吸收分光光度法HJ539-2015</w:t>
                  </w:r>
                  <w:r>
                    <w:rPr>
                      <w:rFonts w:hint="eastAsia"/>
                      <w:bCs/>
                      <w:color w:val="auto"/>
                      <w:sz w:val="21"/>
                      <w:szCs w:val="21"/>
                      <w:highlight w:val="none"/>
                      <w:lang w:val="en-US" w:eastAsia="zh-CN"/>
                    </w:rPr>
                    <w:t>及其修改单</w:t>
                  </w:r>
                </w:p>
              </w:tc>
            </w:tr>
            <w:tr w14:paraId="266A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534E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5A54315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17A8B02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902A40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固定污染源废气铅的测定火焰原子吸收分光光度法HJ685-2014</w:t>
                  </w:r>
                </w:p>
              </w:tc>
            </w:tr>
            <w:tr w14:paraId="5D91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C544A2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2B0E9E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23</w:t>
                  </w:r>
                </w:p>
              </w:tc>
              <w:tc>
                <w:tcPr>
                  <w:tcW w:w="1476" w:type="dxa"/>
                  <w:tcBorders>
                    <w:left w:val="single" w:color="auto" w:sz="4" w:space="0"/>
                    <w:bottom w:val="single" w:color="auto" w:sz="4" w:space="0"/>
                    <w:right w:val="single" w:color="auto" w:sz="4" w:space="0"/>
                  </w:tcBorders>
                  <w:noWrap w:val="0"/>
                  <w:vAlign w:val="center"/>
                </w:tcPr>
                <w:p w14:paraId="6C9D6E4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铜</w:t>
                  </w:r>
                </w:p>
              </w:tc>
              <w:tc>
                <w:tcPr>
                  <w:tcW w:w="5187" w:type="dxa"/>
                  <w:vMerge w:val="restart"/>
                  <w:tcBorders>
                    <w:top w:val="single" w:color="auto" w:sz="4" w:space="0"/>
                    <w:left w:val="single" w:color="auto" w:sz="4" w:space="0"/>
                    <w:right w:val="single" w:color="auto" w:sz="4" w:space="0"/>
                  </w:tcBorders>
                  <w:noWrap w:val="0"/>
                  <w:vAlign w:val="center"/>
                </w:tcPr>
                <w:p w14:paraId="4C625C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原子吸收分光光度法《空气和废气监测分析方法</w:t>
                  </w:r>
                  <w:r>
                    <w:rPr>
                      <w:rFonts w:hint="eastAsia"/>
                      <w:bCs/>
                      <w:color w:val="auto"/>
                      <w:sz w:val="21"/>
                      <w:szCs w:val="21"/>
                      <w:highlight w:val="none"/>
                      <w:lang w:eastAsia="zh-CN"/>
                    </w:rPr>
                    <w:t>》</w:t>
                  </w:r>
                  <w:r>
                    <w:rPr>
                      <w:rFonts w:hint="default"/>
                      <w:bCs/>
                      <w:color w:val="auto"/>
                      <w:sz w:val="21"/>
                      <w:szCs w:val="21"/>
                      <w:highlight w:val="none"/>
                    </w:rPr>
                    <w:t>(第四版)国家环境保护总局(2003年)</w:t>
                  </w:r>
                </w:p>
              </w:tc>
            </w:tr>
            <w:tr w14:paraId="3B99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F745A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6F207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24</w:t>
                  </w:r>
                </w:p>
              </w:tc>
              <w:tc>
                <w:tcPr>
                  <w:tcW w:w="1476" w:type="dxa"/>
                  <w:tcBorders>
                    <w:left w:val="single" w:color="auto" w:sz="4" w:space="0"/>
                    <w:bottom w:val="single" w:color="auto" w:sz="4" w:space="0"/>
                    <w:right w:val="single" w:color="auto" w:sz="4" w:space="0"/>
                  </w:tcBorders>
                  <w:noWrap w:val="0"/>
                  <w:vAlign w:val="center"/>
                </w:tcPr>
                <w:p w14:paraId="40FD7D7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锌</w:t>
                  </w:r>
                </w:p>
              </w:tc>
              <w:tc>
                <w:tcPr>
                  <w:tcW w:w="5187" w:type="dxa"/>
                  <w:vMerge w:val="continue"/>
                  <w:tcBorders>
                    <w:left w:val="single" w:color="auto" w:sz="4" w:space="0"/>
                    <w:bottom w:val="single" w:color="auto" w:sz="4" w:space="0"/>
                    <w:right w:val="single" w:color="auto" w:sz="4" w:space="0"/>
                  </w:tcBorders>
                  <w:noWrap w:val="0"/>
                  <w:vAlign w:val="center"/>
                </w:tcPr>
                <w:p w14:paraId="7DC9A4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4B6D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8D262A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783FCCE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25</w:t>
                  </w:r>
                </w:p>
              </w:tc>
              <w:tc>
                <w:tcPr>
                  <w:tcW w:w="1476" w:type="dxa"/>
                  <w:vMerge w:val="restart"/>
                  <w:tcBorders>
                    <w:left w:val="single" w:color="auto" w:sz="4" w:space="0"/>
                    <w:right w:val="single" w:color="auto" w:sz="4" w:space="0"/>
                  </w:tcBorders>
                  <w:noWrap w:val="0"/>
                  <w:vAlign w:val="center"/>
                </w:tcPr>
                <w:p w14:paraId="2C5948B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镉</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717239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大气固定污染源</w:t>
                  </w:r>
                  <w:r>
                    <w:rPr>
                      <w:rFonts w:hint="eastAsia"/>
                      <w:bCs/>
                      <w:color w:val="auto"/>
                      <w:sz w:val="21"/>
                      <w:szCs w:val="21"/>
                      <w:highlight w:val="none"/>
                      <w:lang w:val="en-US" w:eastAsia="zh-CN"/>
                    </w:rPr>
                    <w:t xml:space="preserve"> </w:t>
                  </w:r>
                  <w:r>
                    <w:rPr>
                      <w:rFonts w:hint="default"/>
                      <w:bCs/>
                      <w:color w:val="auto"/>
                      <w:sz w:val="21"/>
                      <w:szCs w:val="21"/>
                      <w:highlight w:val="none"/>
                    </w:rPr>
                    <w:t>镉的测定火焰原子吸收分光光度法HJ/T64.1-2001</w:t>
                  </w:r>
                </w:p>
              </w:tc>
            </w:tr>
            <w:tr w14:paraId="5C17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CA231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26E79CF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7BB0245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F3D206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大气固定污染源</w:t>
                  </w:r>
                  <w:r>
                    <w:rPr>
                      <w:rFonts w:hint="eastAsia"/>
                      <w:bCs/>
                      <w:color w:val="auto"/>
                      <w:sz w:val="21"/>
                      <w:szCs w:val="21"/>
                      <w:highlight w:val="none"/>
                      <w:lang w:val="en-US" w:eastAsia="zh-CN"/>
                    </w:rPr>
                    <w:t xml:space="preserve"> </w:t>
                  </w:r>
                  <w:r>
                    <w:rPr>
                      <w:rFonts w:hint="default"/>
                      <w:bCs/>
                      <w:color w:val="auto"/>
                      <w:sz w:val="21"/>
                      <w:szCs w:val="21"/>
                      <w:highlight w:val="none"/>
                    </w:rPr>
                    <w:t>镉的测定石墨炉原子吸收分光光度法HJ/T64.2-2001</w:t>
                  </w:r>
                </w:p>
              </w:tc>
            </w:tr>
            <w:tr w14:paraId="5369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04B5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30745CF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26</w:t>
                  </w:r>
                </w:p>
              </w:tc>
              <w:tc>
                <w:tcPr>
                  <w:tcW w:w="1476" w:type="dxa"/>
                  <w:vMerge w:val="restart"/>
                  <w:tcBorders>
                    <w:left w:val="single" w:color="auto" w:sz="4" w:space="0"/>
                    <w:right w:val="single" w:color="auto" w:sz="4" w:space="0"/>
                  </w:tcBorders>
                  <w:noWrap w:val="0"/>
                  <w:vAlign w:val="center"/>
                </w:tcPr>
                <w:p w14:paraId="346FBBD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镍</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23C49E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大气固定污染源</w:t>
                  </w:r>
                  <w:r>
                    <w:rPr>
                      <w:rFonts w:hint="eastAsia"/>
                      <w:bCs/>
                      <w:color w:val="auto"/>
                      <w:sz w:val="21"/>
                      <w:szCs w:val="21"/>
                      <w:highlight w:val="none"/>
                      <w:lang w:val="en-US" w:eastAsia="zh-CN"/>
                    </w:rPr>
                    <w:t xml:space="preserve"> </w:t>
                  </w:r>
                  <w:r>
                    <w:rPr>
                      <w:rFonts w:hint="default"/>
                      <w:bCs/>
                      <w:color w:val="auto"/>
                      <w:sz w:val="21"/>
                      <w:szCs w:val="21"/>
                      <w:highlight w:val="none"/>
                    </w:rPr>
                    <w:t>镍的测定</w:t>
                  </w:r>
                  <w:r>
                    <w:rPr>
                      <w:rFonts w:hint="eastAsia"/>
                      <w:bCs/>
                      <w:color w:val="auto"/>
                      <w:sz w:val="21"/>
                      <w:szCs w:val="21"/>
                      <w:highlight w:val="none"/>
                      <w:lang w:val="en-US" w:eastAsia="zh-CN"/>
                    </w:rPr>
                    <w:t xml:space="preserve"> </w:t>
                  </w:r>
                  <w:r>
                    <w:rPr>
                      <w:rFonts w:hint="default"/>
                      <w:bCs/>
                      <w:color w:val="auto"/>
                      <w:sz w:val="21"/>
                      <w:szCs w:val="21"/>
                      <w:highlight w:val="none"/>
                    </w:rPr>
                    <w:t>火焰原子吸收分光光度法HJ/T63.1-2001</w:t>
                  </w:r>
                </w:p>
              </w:tc>
            </w:tr>
            <w:tr w14:paraId="3DDE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DD55EB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7F8C88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039064A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57577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大气固定污染源</w:t>
                  </w:r>
                  <w:r>
                    <w:rPr>
                      <w:rFonts w:hint="eastAsia"/>
                      <w:bCs/>
                      <w:color w:val="auto"/>
                      <w:sz w:val="21"/>
                      <w:szCs w:val="21"/>
                      <w:highlight w:val="none"/>
                      <w:lang w:val="en-US" w:eastAsia="zh-CN"/>
                    </w:rPr>
                    <w:t xml:space="preserve"> </w:t>
                  </w:r>
                  <w:r>
                    <w:rPr>
                      <w:rFonts w:hint="default"/>
                      <w:bCs/>
                      <w:color w:val="auto"/>
                      <w:sz w:val="21"/>
                      <w:szCs w:val="21"/>
                      <w:highlight w:val="none"/>
                    </w:rPr>
                    <w:t>镍的测定</w:t>
                  </w:r>
                  <w:r>
                    <w:rPr>
                      <w:rFonts w:hint="eastAsia"/>
                      <w:bCs/>
                      <w:color w:val="auto"/>
                      <w:sz w:val="21"/>
                      <w:szCs w:val="21"/>
                      <w:highlight w:val="none"/>
                      <w:lang w:val="en-US" w:eastAsia="zh-CN"/>
                    </w:rPr>
                    <w:t xml:space="preserve"> </w:t>
                  </w:r>
                  <w:r>
                    <w:rPr>
                      <w:rFonts w:hint="default"/>
                      <w:bCs/>
                      <w:color w:val="auto"/>
                      <w:sz w:val="21"/>
                      <w:szCs w:val="21"/>
                      <w:highlight w:val="none"/>
                    </w:rPr>
                    <w:t>石墨炉原子吸收分光光度法HJ/T63.2-2001</w:t>
                  </w:r>
                </w:p>
              </w:tc>
            </w:tr>
            <w:tr w14:paraId="117E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CF2D7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E3EFEC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27</w:t>
                  </w:r>
                </w:p>
              </w:tc>
              <w:tc>
                <w:tcPr>
                  <w:tcW w:w="1476" w:type="dxa"/>
                  <w:tcBorders>
                    <w:left w:val="single" w:color="auto" w:sz="4" w:space="0"/>
                    <w:bottom w:val="single" w:color="auto" w:sz="4" w:space="0"/>
                    <w:right w:val="single" w:color="auto" w:sz="4" w:space="0"/>
                  </w:tcBorders>
                  <w:noWrap w:val="0"/>
                  <w:vAlign w:val="center"/>
                </w:tcPr>
                <w:p w14:paraId="01BF307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砷</w:t>
                  </w:r>
                </w:p>
              </w:tc>
              <w:tc>
                <w:tcPr>
                  <w:tcW w:w="5187" w:type="dxa"/>
                  <w:vMerge w:val="restart"/>
                  <w:tcBorders>
                    <w:top w:val="single" w:color="auto" w:sz="4" w:space="0"/>
                    <w:left w:val="single" w:color="auto" w:sz="4" w:space="0"/>
                    <w:right w:val="single" w:color="auto" w:sz="4" w:space="0"/>
                  </w:tcBorders>
                  <w:noWrap w:val="0"/>
                  <w:vAlign w:val="center"/>
                </w:tcPr>
                <w:p w14:paraId="5BCCDC7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环境空气和废气 颗粒物中砷、硒、 铋、锑的测定 原子荧光法 HJ1133-2020</w:t>
                  </w:r>
                </w:p>
              </w:tc>
            </w:tr>
            <w:tr w14:paraId="1A13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D779C3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62E5BE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28</w:t>
                  </w:r>
                </w:p>
              </w:tc>
              <w:tc>
                <w:tcPr>
                  <w:tcW w:w="1476" w:type="dxa"/>
                  <w:tcBorders>
                    <w:left w:val="single" w:color="auto" w:sz="4" w:space="0"/>
                    <w:bottom w:val="single" w:color="auto" w:sz="4" w:space="0"/>
                    <w:right w:val="single" w:color="auto" w:sz="4" w:space="0"/>
                  </w:tcBorders>
                  <w:noWrap w:val="0"/>
                  <w:vAlign w:val="center"/>
                </w:tcPr>
                <w:p w14:paraId="440AF5A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硒</w:t>
                  </w:r>
                </w:p>
              </w:tc>
              <w:tc>
                <w:tcPr>
                  <w:tcW w:w="5187" w:type="dxa"/>
                  <w:vMerge w:val="continue"/>
                  <w:tcBorders>
                    <w:left w:val="single" w:color="auto" w:sz="4" w:space="0"/>
                    <w:right w:val="single" w:color="auto" w:sz="4" w:space="0"/>
                  </w:tcBorders>
                  <w:noWrap w:val="0"/>
                  <w:vAlign w:val="center"/>
                </w:tcPr>
                <w:p w14:paraId="2D10034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2B09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052BB5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58DBB6D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29</w:t>
                  </w:r>
                </w:p>
              </w:tc>
              <w:tc>
                <w:tcPr>
                  <w:tcW w:w="1476" w:type="dxa"/>
                  <w:tcBorders>
                    <w:left w:val="single" w:color="auto" w:sz="4" w:space="0"/>
                    <w:bottom w:val="single" w:color="auto" w:sz="4" w:space="0"/>
                    <w:right w:val="single" w:color="auto" w:sz="4" w:space="0"/>
                  </w:tcBorders>
                  <w:noWrap w:val="0"/>
                  <w:vAlign w:val="center"/>
                </w:tcPr>
                <w:p w14:paraId="552600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铋</w:t>
                  </w:r>
                </w:p>
              </w:tc>
              <w:tc>
                <w:tcPr>
                  <w:tcW w:w="5187" w:type="dxa"/>
                  <w:vMerge w:val="continue"/>
                  <w:tcBorders>
                    <w:left w:val="single" w:color="auto" w:sz="4" w:space="0"/>
                    <w:right w:val="single" w:color="auto" w:sz="4" w:space="0"/>
                  </w:tcBorders>
                  <w:noWrap w:val="0"/>
                  <w:vAlign w:val="center"/>
                </w:tcPr>
                <w:p w14:paraId="443518D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0EA8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94E2E3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8C692A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30</w:t>
                  </w:r>
                </w:p>
              </w:tc>
              <w:tc>
                <w:tcPr>
                  <w:tcW w:w="1476" w:type="dxa"/>
                  <w:tcBorders>
                    <w:left w:val="single" w:color="auto" w:sz="4" w:space="0"/>
                    <w:bottom w:val="single" w:color="auto" w:sz="4" w:space="0"/>
                    <w:right w:val="single" w:color="auto" w:sz="4" w:space="0"/>
                  </w:tcBorders>
                  <w:noWrap w:val="0"/>
                  <w:vAlign w:val="center"/>
                </w:tcPr>
                <w:p w14:paraId="53FAAC3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锑</w:t>
                  </w:r>
                </w:p>
              </w:tc>
              <w:tc>
                <w:tcPr>
                  <w:tcW w:w="5187" w:type="dxa"/>
                  <w:vMerge w:val="continue"/>
                  <w:tcBorders>
                    <w:left w:val="single" w:color="auto" w:sz="4" w:space="0"/>
                    <w:bottom w:val="single" w:color="auto" w:sz="4" w:space="0"/>
                    <w:right w:val="single" w:color="auto" w:sz="4" w:space="0"/>
                  </w:tcBorders>
                  <w:noWrap w:val="0"/>
                  <w:vAlign w:val="center"/>
                </w:tcPr>
                <w:p w14:paraId="5D145DF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059C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2A1CFD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8E4C72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31</w:t>
                  </w:r>
                </w:p>
              </w:tc>
              <w:tc>
                <w:tcPr>
                  <w:tcW w:w="1476" w:type="dxa"/>
                  <w:tcBorders>
                    <w:left w:val="single" w:color="auto" w:sz="4" w:space="0"/>
                    <w:bottom w:val="single" w:color="auto" w:sz="4" w:space="0"/>
                    <w:right w:val="single" w:color="auto" w:sz="4" w:space="0"/>
                  </w:tcBorders>
                  <w:noWrap w:val="0"/>
                  <w:vAlign w:val="center"/>
                </w:tcPr>
                <w:p w14:paraId="5A14C1A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铬</w:t>
                  </w:r>
                </w:p>
              </w:tc>
              <w:tc>
                <w:tcPr>
                  <w:tcW w:w="5187" w:type="dxa"/>
                  <w:tcBorders>
                    <w:left w:val="single" w:color="auto" w:sz="4" w:space="0"/>
                    <w:bottom w:val="single" w:color="auto" w:sz="4" w:space="0"/>
                    <w:right w:val="single" w:color="auto" w:sz="4" w:space="0"/>
                  </w:tcBorders>
                  <w:noWrap w:val="0"/>
                  <w:vAlign w:val="center"/>
                </w:tcPr>
                <w:p w14:paraId="07E4AA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原子吸收分光光度法《空气和废气监测分析方法》（第四版）国家环境保护总局（2003年）</w:t>
                  </w:r>
                </w:p>
              </w:tc>
            </w:tr>
            <w:tr w14:paraId="6832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A4BF61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4A8AA3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32</w:t>
                  </w:r>
                </w:p>
              </w:tc>
              <w:tc>
                <w:tcPr>
                  <w:tcW w:w="1476" w:type="dxa"/>
                  <w:tcBorders>
                    <w:left w:val="single" w:color="auto" w:sz="4" w:space="0"/>
                    <w:bottom w:val="single" w:color="auto" w:sz="4" w:space="0"/>
                    <w:right w:val="single" w:color="auto" w:sz="4" w:space="0"/>
                  </w:tcBorders>
                  <w:noWrap w:val="0"/>
                  <w:vAlign w:val="center"/>
                </w:tcPr>
                <w:p w14:paraId="5A55959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锰</w:t>
                  </w:r>
                </w:p>
              </w:tc>
              <w:tc>
                <w:tcPr>
                  <w:tcW w:w="5187" w:type="dxa"/>
                  <w:tcBorders>
                    <w:left w:val="single" w:color="auto" w:sz="4" w:space="0"/>
                    <w:bottom w:val="single" w:color="auto" w:sz="4" w:space="0"/>
                    <w:right w:val="single" w:color="auto" w:sz="4" w:space="0"/>
                  </w:tcBorders>
                  <w:noWrap w:val="0"/>
                  <w:vAlign w:val="center"/>
                </w:tcPr>
                <w:p w14:paraId="558A85F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环境空气火焰原子吸收分光光度法</w:t>
                  </w:r>
                  <w:r>
                    <w:rPr>
                      <w:rFonts w:hint="eastAsia"/>
                      <w:bCs/>
                      <w:color w:val="auto"/>
                      <w:sz w:val="21"/>
                      <w:szCs w:val="21"/>
                      <w:highlight w:val="none"/>
                      <w:lang w:eastAsia="zh-CN"/>
                    </w:rPr>
                    <w:t>《</w:t>
                  </w:r>
                  <w:r>
                    <w:rPr>
                      <w:rFonts w:hint="default"/>
                      <w:bCs/>
                      <w:color w:val="auto"/>
                      <w:sz w:val="21"/>
                      <w:szCs w:val="21"/>
                      <w:highlight w:val="none"/>
                    </w:rPr>
                    <w:t>空气和废气监测分析方法》(第四版)国家环境保护总局(2003年)</w:t>
                  </w:r>
                </w:p>
              </w:tc>
            </w:tr>
            <w:tr w14:paraId="503F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29EEA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73462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33</w:t>
                  </w:r>
                </w:p>
              </w:tc>
              <w:tc>
                <w:tcPr>
                  <w:tcW w:w="1476" w:type="dxa"/>
                  <w:tcBorders>
                    <w:left w:val="single" w:color="auto" w:sz="4" w:space="0"/>
                    <w:bottom w:val="single" w:color="auto" w:sz="4" w:space="0"/>
                    <w:right w:val="single" w:color="auto" w:sz="4" w:space="0"/>
                  </w:tcBorders>
                  <w:noWrap w:val="0"/>
                  <w:vAlign w:val="center"/>
                </w:tcPr>
                <w:p w14:paraId="288839A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铁</w:t>
                  </w:r>
                </w:p>
              </w:tc>
              <w:tc>
                <w:tcPr>
                  <w:tcW w:w="5187" w:type="dxa"/>
                  <w:tcBorders>
                    <w:left w:val="single" w:color="auto" w:sz="4" w:space="0"/>
                    <w:bottom w:val="single" w:color="auto" w:sz="4" w:space="0"/>
                    <w:right w:val="single" w:color="auto" w:sz="4" w:space="0"/>
                  </w:tcBorders>
                  <w:noWrap w:val="0"/>
                  <w:vAlign w:val="center"/>
                </w:tcPr>
                <w:p w14:paraId="35C2E63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原子吸收分光光度法《空气和废气监测分析方法》（第四版）国家环境保护总局（2003年）</w:t>
                  </w:r>
                </w:p>
              </w:tc>
            </w:tr>
            <w:tr w14:paraId="7EDA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BEEB15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7F96DB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34</w:t>
                  </w:r>
                </w:p>
              </w:tc>
              <w:tc>
                <w:tcPr>
                  <w:tcW w:w="1476" w:type="dxa"/>
                  <w:tcBorders>
                    <w:left w:val="single" w:color="auto" w:sz="4" w:space="0"/>
                    <w:bottom w:val="single" w:color="auto" w:sz="4" w:space="0"/>
                    <w:right w:val="single" w:color="auto" w:sz="4" w:space="0"/>
                  </w:tcBorders>
                  <w:noWrap w:val="0"/>
                  <w:vAlign w:val="center"/>
                </w:tcPr>
                <w:p w14:paraId="3DDDD91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苯胺类</w:t>
                  </w:r>
                </w:p>
              </w:tc>
              <w:tc>
                <w:tcPr>
                  <w:tcW w:w="5187" w:type="dxa"/>
                  <w:tcBorders>
                    <w:left w:val="single" w:color="auto" w:sz="4" w:space="0"/>
                    <w:bottom w:val="single" w:color="auto" w:sz="4" w:space="0"/>
                    <w:right w:val="single" w:color="auto" w:sz="4" w:space="0"/>
                  </w:tcBorders>
                  <w:noWrap w:val="0"/>
                  <w:vAlign w:val="center"/>
                </w:tcPr>
                <w:p w14:paraId="5300F3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空气质量</w:t>
                  </w:r>
                  <w:r>
                    <w:rPr>
                      <w:rFonts w:hint="eastAsia"/>
                      <w:bCs/>
                      <w:color w:val="auto"/>
                      <w:sz w:val="21"/>
                      <w:szCs w:val="21"/>
                      <w:highlight w:val="none"/>
                      <w:lang w:val="en-US" w:eastAsia="zh-CN"/>
                    </w:rPr>
                    <w:t xml:space="preserve"> </w:t>
                  </w:r>
                  <w:r>
                    <w:rPr>
                      <w:rFonts w:hint="default"/>
                      <w:bCs/>
                      <w:color w:val="auto"/>
                      <w:sz w:val="21"/>
                      <w:szCs w:val="21"/>
                      <w:highlight w:val="none"/>
                    </w:rPr>
                    <w:t>苯胺类的测定</w:t>
                  </w:r>
                  <w:r>
                    <w:rPr>
                      <w:rFonts w:hint="eastAsia"/>
                      <w:bCs/>
                      <w:color w:val="auto"/>
                      <w:sz w:val="21"/>
                      <w:szCs w:val="21"/>
                      <w:highlight w:val="none"/>
                      <w:lang w:val="en-US" w:eastAsia="zh-CN"/>
                    </w:rPr>
                    <w:t xml:space="preserve"> </w:t>
                  </w:r>
                  <w:r>
                    <w:rPr>
                      <w:rFonts w:hint="default"/>
                      <w:bCs/>
                      <w:color w:val="auto"/>
                      <w:sz w:val="21"/>
                      <w:szCs w:val="21"/>
                      <w:highlight w:val="none"/>
                    </w:rPr>
                    <w:t>盐酸乙二胺分光光度法GB/T15502-1995</w:t>
                  </w:r>
                </w:p>
              </w:tc>
            </w:tr>
            <w:tr w14:paraId="2CA3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CF2B8E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2DF6E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35</w:t>
                  </w:r>
                </w:p>
              </w:tc>
              <w:tc>
                <w:tcPr>
                  <w:tcW w:w="1476" w:type="dxa"/>
                  <w:tcBorders>
                    <w:left w:val="single" w:color="auto" w:sz="4" w:space="0"/>
                    <w:bottom w:val="single" w:color="auto" w:sz="4" w:space="0"/>
                    <w:right w:val="single" w:color="auto" w:sz="4" w:space="0"/>
                  </w:tcBorders>
                  <w:noWrap w:val="0"/>
                  <w:vAlign w:val="center"/>
                </w:tcPr>
                <w:p w14:paraId="7F64075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酚类化合物</w:t>
                  </w:r>
                </w:p>
              </w:tc>
              <w:tc>
                <w:tcPr>
                  <w:tcW w:w="5187" w:type="dxa"/>
                  <w:tcBorders>
                    <w:left w:val="single" w:color="auto" w:sz="4" w:space="0"/>
                    <w:bottom w:val="single" w:color="auto" w:sz="4" w:space="0"/>
                    <w:right w:val="single" w:color="auto" w:sz="4" w:space="0"/>
                  </w:tcBorders>
                  <w:noWrap w:val="0"/>
                  <w:vAlign w:val="center"/>
                </w:tcPr>
                <w:p w14:paraId="34A6F14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固定污染源排气中酚类化合物的测定 4-氨基安替比林分光光度法</w:t>
                  </w:r>
                  <w:r>
                    <w:rPr>
                      <w:rFonts w:hint="eastAsia"/>
                      <w:bCs/>
                      <w:color w:val="auto"/>
                      <w:sz w:val="21"/>
                      <w:szCs w:val="21"/>
                      <w:highlight w:val="none"/>
                      <w:lang w:val="en-US" w:eastAsia="zh-CN"/>
                    </w:rPr>
                    <w:t>HJ/T32-1999</w:t>
                  </w:r>
                </w:p>
              </w:tc>
            </w:tr>
            <w:tr w14:paraId="4687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488A7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AA24E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36</w:t>
                  </w:r>
                </w:p>
              </w:tc>
              <w:tc>
                <w:tcPr>
                  <w:tcW w:w="1476" w:type="dxa"/>
                  <w:tcBorders>
                    <w:left w:val="single" w:color="auto" w:sz="4" w:space="0"/>
                    <w:bottom w:val="single" w:color="auto" w:sz="4" w:space="0"/>
                    <w:right w:val="single" w:color="auto" w:sz="4" w:space="0"/>
                  </w:tcBorders>
                  <w:noWrap w:val="0"/>
                  <w:vAlign w:val="center"/>
                </w:tcPr>
                <w:p w14:paraId="16251C4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二硫化碳</w:t>
                  </w:r>
                </w:p>
              </w:tc>
              <w:tc>
                <w:tcPr>
                  <w:tcW w:w="5187" w:type="dxa"/>
                  <w:tcBorders>
                    <w:left w:val="single" w:color="auto" w:sz="4" w:space="0"/>
                    <w:bottom w:val="single" w:color="auto" w:sz="4" w:space="0"/>
                    <w:right w:val="single" w:color="auto" w:sz="4" w:space="0"/>
                  </w:tcBorders>
                  <w:noWrap w:val="0"/>
                  <w:vAlign w:val="center"/>
                </w:tcPr>
                <w:p w14:paraId="5DCC99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rPr>
                    <w:t>空气质量 二硫化碳的测定 二乙胺分光光度法</w:t>
                  </w:r>
                  <w:r>
                    <w:rPr>
                      <w:rFonts w:hint="eastAsia"/>
                      <w:bCs/>
                      <w:color w:val="auto"/>
                      <w:sz w:val="21"/>
                      <w:szCs w:val="21"/>
                      <w:highlight w:val="none"/>
                      <w:lang w:val="en-US" w:eastAsia="zh-CN"/>
                    </w:rPr>
                    <w:t>GB/T14680-1993</w:t>
                  </w:r>
                </w:p>
              </w:tc>
            </w:tr>
            <w:tr w14:paraId="7EB4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A239E0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904E7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37</w:t>
                  </w:r>
                </w:p>
              </w:tc>
              <w:tc>
                <w:tcPr>
                  <w:tcW w:w="1476" w:type="dxa"/>
                  <w:tcBorders>
                    <w:left w:val="single" w:color="auto" w:sz="4" w:space="0"/>
                    <w:bottom w:val="single" w:color="auto" w:sz="4" w:space="0"/>
                    <w:right w:val="single" w:color="auto" w:sz="4" w:space="0"/>
                  </w:tcBorders>
                  <w:noWrap w:val="0"/>
                  <w:vAlign w:val="center"/>
                </w:tcPr>
                <w:p w14:paraId="785352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铬（六价）</w:t>
                  </w:r>
                </w:p>
              </w:tc>
              <w:tc>
                <w:tcPr>
                  <w:tcW w:w="5187" w:type="dxa"/>
                  <w:tcBorders>
                    <w:left w:val="single" w:color="auto" w:sz="4" w:space="0"/>
                    <w:bottom w:val="single" w:color="auto" w:sz="4" w:space="0"/>
                    <w:right w:val="single" w:color="auto" w:sz="4" w:space="0"/>
                  </w:tcBorders>
                  <w:shd w:val="clear" w:color="auto" w:fill="auto"/>
                  <w:noWrap w:val="0"/>
                  <w:vAlign w:val="center"/>
                </w:tcPr>
                <w:p w14:paraId="401DD3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default"/>
                      <w:bCs/>
                      <w:color w:val="auto"/>
                      <w:sz w:val="21"/>
                      <w:szCs w:val="21"/>
                      <w:highlight w:val="none"/>
                    </w:rPr>
                    <w:t>二苯碳酰二肼分光光度法《空气和废气监测分析方法》(第四版)国家环境保护总局(2003年)</w:t>
                  </w:r>
                </w:p>
              </w:tc>
            </w:tr>
            <w:tr w14:paraId="67D3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B6EB3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2E53C5F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38</w:t>
                  </w:r>
                </w:p>
              </w:tc>
              <w:tc>
                <w:tcPr>
                  <w:tcW w:w="1476" w:type="dxa"/>
                  <w:tcBorders>
                    <w:left w:val="single" w:color="auto" w:sz="4" w:space="0"/>
                    <w:bottom w:val="single" w:color="auto" w:sz="4" w:space="0"/>
                    <w:right w:val="single" w:color="auto" w:sz="4" w:space="0"/>
                  </w:tcBorders>
                  <w:noWrap w:val="0"/>
                  <w:vAlign w:val="center"/>
                </w:tcPr>
                <w:p w14:paraId="7FF43D3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颗粒物中水溶性阴离子</w:t>
                  </w:r>
                </w:p>
              </w:tc>
              <w:tc>
                <w:tcPr>
                  <w:tcW w:w="5187" w:type="dxa"/>
                  <w:tcBorders>
                    <w:left w:val="single" w:color="auto" w:sz="4" w:space="0"/>
                    <w:bottom w:val="single" w:color="auto" w:sz="4" w:space="0"/>
                    <w:right w:val="single" w:color="auto" w:sz="4" w:space="0"/>
                  </w:tcBorders>
                  <w:shd w:val="clear" w:color="auto" w:fill="auto"/>
                  <w:noWrap w:val="0"/>
                  <w:vAlign w:val="center"/>
                </w:tcPr>
                <w:p w14:paraId="27353C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eastAsia="宋体"/>
                      <w:bCs/>
                      <w:color w:val="auto"/>
                      <w:sz w:val="21"/>
                      <w:szCs w:val="21"/>
                      <w:highlight w:val="none"/>
                      <w:lang w:val="en-US" w:eastAsia="zh-CN"/>
                    </w:rPr>
                    <w:t>环境空气</w:t>
                  </w:r>
                  <w:r>
                    <w:rPr>
                      <w:rFonts w:hint="eastAsia" w:eastAsia="宋体"/>
                      <w:bCs/>
                      <w:color w:val="auto"/>
                      <w:sz w:val="21"/>
                      <w:szCs w:val="21"/>
                      <w:highlight w:val="none"/>
                      <w:lang w:eastAsia="zh-CN"/>
                    </w:rPr>
                    <w:t xml:space="preserve"> </w:t>
                  </w:r>
                  <w:r>
                    <w:rPr>
                      <w:rFonts w:hint="eastAsia" w:eastAsia="宋体"/>
                      <w:bCs/>
                      <w:color w:val="auto"/>
                      <w:sz w:val="21"/>
                      <w:szCs w:val="21"/>
                      <w:highlight w:val="none"/>
                      <w:lang w:val="en-US" w:eastAsia="zh-CN"/>
                    </w:rPr>
                    <w:t>颗粒物中水溶性阴离子</w:t>
                  </w:r>
                  <w:r>
                    <w:rPr>
                      <w:rFonts w:hint="eastAsia" w:eastAsia="宋体"/>
                      <w:bCs/>
                      <w:color w:val="auto"/>
                      <w:sz w:val="21"/>
                      <w:szCs w:val="21"/>
                      <w:highlight w:val="none"/>
                      <w:lang w:eastAsia="zh-CN"/>
                    </w:rPr>
                    <w:t>(F-、C</w:t>
                  </w:r>
                  <w:r>
                    <w:rPr>
                      <w:rFonts w:hint="eastAsia"/>
                      <w:bCs/>
                      <w:color w:val="auto"/>
                      <w:sz w:val="21"/>
                      <w:szCs w:val="21"/>
                      <w:highlight w:val="none"/>
                      <w:lang w:val="en-US" w:eastAsia="zh-CN"/>
                    </w:rPr>
                    <w:t>l</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、NO</w:t>
                  </w:r>
                  <w:r>
                    <w:rPr>
                      <w:rFonts w:hint="eastAsia"/>
                      <w:bCs/>
                      <w:color w:val="auto"/>
                      <w:sz w:val="21"/>
                      <w:szCs w:val="21"/>
                      <w:highlight w:val="none"/>
                      <w:vertAlign w:val="subscript"/>
                      <w:lang w:val="en-US"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、Br</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、NO</w:t>
                  </w:r>
                  <w:r>
                    <w:rPr>
                      <w:rFonts w:hint="eastAsia"/>
                      <w:bCs/>
                      <w:color w:val="auto"/>
                      <w:sz w:val="21"/>
                      <w:szCs w:val="21"/>
                      <w:highlight w:val="none"/>
                      <w:vertAlign w:val="subscript"/>
                      <w:lang w:val="en-US" w:eastAsia="zh-CN"/>
                    </w:rPr>
                    <w:t>3</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、PO</w:t>
                  </w:r>
                  <w:r>
                    <w:rPr>
                      <w:rFonts w:hint="eastAsia"/>
                      <w:bCs/>
                      <w:color w:val="auto"/>
                      <w:sz w:val="21"/>
                      <w:szCs w:val="21"/>
                      <w:highlight w:val="none"/>
                      <w:vertAlign w:val="subscript"/>
                      <w:lang w:val="en-US" w:eastAsia="zh-CN"/>
                    </w:rPr>
                    <w:t>4</w:t>
                  </w:r>
                  <w:r>
                    <w:rPr>
                      <w:rFonts w:hint="eastAsia"/>
                      <w:bCs/>
                      <w:color w:val="auto"/>
                      <w:sz w:val="21"/>
                      <w:szCs w:val="21"/>
                      <w:highlight w:val="none"/>
                      <w:vertAlign w:val="superscript"/>
                      <w:lang w:val="en-US" w:eastAsia="zh-CN"/>
                    </w:rPr>
                    <w:t>3-</w:t>
                  </w:r>
                  <w:r>
                    <w:rPr>
                      <w:rFonts w:hint="eastAsia" w:eastAsia="宋体"/>
                      <w:bCs/>
                      <w:color w:val="auto"/>
                      <w:sz w:val="21"/>
                      <w:szCs w:val="21"/>
                      <w:highlight w:val="none"/>
                      <w:lang w:eastAsia="zh-CN"/>
                    </w:rPr>
                    <w:t>、SO</w:t>
                  </w:r>
                  <w:r>
                    <w:rPr>
                      <w:rFonts w:hint="eastAsia"/>
                      <w:bCs/>
                      <w:color w:val="auto"/>
                      <w:sz w:val="21"/>
                      <w:szCs w:val="21"/>
                      <w:highlight w:val="none"/>
                      <w:vertAlign w:val="subscript"/>
                      <w:lang w:val="en-US" w:eastAsia="zh-CN"/>
                    </w:rPr>
                    <w:t>3</w:t>
                  </w:r>
                  <w:r>
                    <w:rPr>
                      <w:rFonts w:hint="eastAsia" w:eastAsia="宋体"/>
                      <w:bCs/>
                      <w:color w:val="auto"/>
                      <w:sz w:val="21"/>
                      <w:szCs w:val="21"/>
                      <w:highlight w:val="none"/>
                      <w:vertAlign w:val="superscript"/>
                      <w:lang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、SO</w:t>
                  </w:r>
                  <w:r>
                    <w:rPr>
                      <w:rFonts w:hint="eastAsia"/>
                      <w:bCs/>
                      <w:color w:val="auto"/>
                      <w:sz w:val="21"/>
                      <w:szCs w:val="21"/>
                      <w:highlight w:val="none"/>
                      <w:vertAlign w:val="subscript"/>
                      <w:lang w:val="en-US" w:eastAsia="zh-CN"/>
                    </w:rPr>
                    <w:t>4</w:t>
                  </w:r>
                  <w:r>
                    <w:rPr>
                      <w:rFonts w:hint="eastAsia" w:eastAsia="宋体"/>
                      <w:bCs/>
                      <w:color w:val="auto"/>
                      <w:sz w:val="21"/>
                      <w:szCs w:val="21"/>
                      <w:highlight w:val="none"/>
                      <w:vertAlign w:val="superscript"/>
                      <w:lang w:eastAsia="zh-CN"/>
                    </w:rPr>
                    <w:t>2</w:t>
                  </w:r>
                  <w:r>
                    <w:rPr>
                      <w:rFonts w:hint="eastAsia"/>
                      <w:bCs/>
                      <w:color w:val="auto"/>
                      <w:sz w:val="21"/>
                      <w:szCs w:val="21"/>
                      <w:highlight w:val="none"/>
                      <w:vertAlign w:val="superscript"/>
                      <w:lang w:val="en-US" w:eastAsia="zh-CN"/>
                    </w:rPr>
                    <w:t>-</w:t>
                  </w:r>
                  <w:r>
                    <w:rPr>
                      <w:rFonts w:hint="eastAsia" w:eastAsia="宋体"/>
                      <w:bCs/>
                      <w:color w:val="auto"/>
                      <w:sz w:val="21"/>
                      <w:szCs w:val="21"/>
                      <w:highlight w:val="none"/>
                      <w:lang w:eastAsia="zh-CN"/>
                    </w:rPr>
                    <w:t>)的测定</w:t>
                  </w:r>
                  <w:r>
                    <w:rPr>
                      <w:rFonts w:hint="eastAsia" w:eastAsia="宋体"/>
                      <w:bCs/>
                      <w:color w:val="auto"/>
                      <w:sz w:val="21"/>
                      <w:szCs w:val="21"/>
                      <w:highlight w:val="none"/>
                      <w:lang w:val="en-US" w:eastAsia="zh-CN"/>
                    </w:rPr>
                    <w:t xml:space="preserve"> </w:t>
                  </w:r>
                  <w:r>
                    <w:rPr>
                      <w:rFonts w:hint="eastAsia" w:eastAsia="宋体"/>
                      <w:bCs/>
                      <w:color w:val="auto"/>
                      <w:sz w:val="21"/>
                      <w:szCs w:val="21"/>
                      <w:highlight w:val="none"/>
                      <w:lang w:eastAsia="zh-CN"/>
                    </w:rPr>
                    <w:t>离子色谱法 HJ</w:t>
                  </w:r>
                  <w:r>
                    <w:rPr>
                      <w:rFonts w:hint="eastAsia" w:eastAsia="宋体"/>
                      <w:bCs/>
                      <w:color w:val="auto"/>
                      <w:sz w:val="21"/>
                      <w:szCs w:val="21"/>
                      <w:highlight w:val="none"/>
                      <w:lang w:val="en-US" w:eastAsia="zh-CN"/>
                    </w:rPr>
                    <w:t>799</w:t>
                  </w:r>
                  <w:r>
                    <w:rPr>
                      <w:rFonts w:hint="eastAsia" w:eastAsia="宋体"/>
                      <w:bCs/>
                      <w:color w:val="auto"/>
                      <w:sz w:val="21"/>
                      <w:szCs w:val="21"/>
                      <w:highlight w:val="none"/>
                      <w:lang w:eastAsia="zh-CN"/>
                    </w:rPr>
                    <w:t>-2016</w:t>
                  </w:r>
                </w:p>
              </w:tc>
            </w:tr>
            <w:tr w14:paraId="306C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B7885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28B269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39</w:t>
                  </w:r>
                </w:p>
              </w:tc>
              <w:tc>
                <w:tcPr>
                  <w:tcW w:w="1476" w:type="dxa"/>
                  <w:vMerge w:val="restart"/>
                  <w:tcBorders>
                    <w:top w:val="single" w:color="auto" w:sz="4" w:space="0"/>
                    <w:left w:val="single" w:color="auto" w:sz="4" w:space="0"/>
                    <w:right w:val="single" w:color="auto" w:sz="4" w:space="0"/>
                  </w:tcBorders>
                  <w:noWrap w:val="0"/>
                  <w:vAlign w:val="center"/>
                </w:tcPr>
                <w:p w14:paraId="4D6A035C">
                  <w:pPr>
                    <w:keepNext w:val="0"/>
                    <w:keepLines w:val="0"/>
                    <w:pageBreakBefore w:val="0"/>
                    <w:widowControl/>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一氧化碳</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9FC57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空气质量</w:t>
                  </w:r>
                  <w:r>
                    <w:rPr>
                      <w:rFonts w:hint="eastAsia"/>
                      <w:bCs/>
                      <w:color w:val="auto"/>
                      <w:sz w:val="21"/>
                      <w:szCs w:val="21"/>
                      <w:highlight w:val="none"/>
                      <w:lang w:val="en-US" w:eastAsia="zh-CN"/>
                    </w:rPr>
                    <w:t xml:space="preserve"> </w:t>
                  </w:r>
                  <w:r>
                    <w:rPr>
                      <w:rFonts w:hint="default"/>
                      <w:bCs/>
                      <w:color w:val="auto"/>
                      <w:sz w:val="21"/>
                      <w:szCs w:val="21"/>
                      <w:highlight w:val="none"/>
                    </w:rPr>
                    <w:t>一氧化碳的测定</w:t>
                  </w:r>
                  <w:r>
                    <w:rPr>
                      <w:rFonts w:hint="eastAsia"/>
                      <w:bCs/>
                      <w:color w:val="auto"/>
                      <w:sz w:val="21"/>
                      <w:szCs w:val="21"/>
                      <w:highlight w:val="none"/>
                      <w:lang w:val="en-US" w:eastAsia="zh-CN"/>
                    </w:rPr>
                    <w:t xml:space="preserve"> </w:t>
                  </w:r>
                  <w:r>
                    <w:rPr>
                      <w:rFonts w:hint="default"/>
                      <w:bCs/>
                      <w:color w:val="auto"/>
                      <w:sz w:val="21"/>
                      <w:szCs w:val="21"/>
                      <w:highlight w:val="none"/>
                    </w:rPr>
                    <w:t>非分散红外法GB9801-1988</w:t>
                  </w:r>
                </w:p>
              </w:tc>
            </w:tr>
            <w:tr w14:paraId="4BEE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16D8A7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right w:val="single" w:color="auto" w:sz="4" w:space="0"/>
                  </w:tcBorders>
                  <w:noWrap w:val="0"/>
                  <w:vAlign w:val="center"/>
                </w:tcPr>
                <w:p w14:paraId="1F7B3F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right w:val="single" w:color="auto" w:sz="4" w:space="0"/>
                  </w:tcBorders>
                  <w:noWrap w:val="0"/>
                  <w:vAlign w:val="center"/>
                </w:tcPr>
                <w:p w14:paraId="61FEFE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3ADDCB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固定污染源排气中一氧化碳的测定非色散红外吸收法HJ/T44-1999</w:t>
                  </w:r>
                </w:p>
              </w:tc>
            </w:tr>
            <w:tr w14:paraId="4DF6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2FD80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46B2A2B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55D7FF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FD7690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《固定污染源废气 一氧化碳的测定定电位电解法》 HJ973-2018</w:t>
                  </w:r>
                </w:p>
              </w:tc>
            </w:tr>
            <w:tr w14:paraId="74BD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9CAD73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2210B6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9613CD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沥青烟</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03C8BF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固定污染源排气中沥青烟的测定 重量法HJ/T 45-1999</w:t>
                  </w:r>
                </w:p>
              </w:tc>
            </w:tr>
            <w:tr w14:paraId="6B1E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333D48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7DC86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E93960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氡</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D0CE5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环境空气中氡的测量方法H</w:t>
                  </w:r>
                  <w:r>
                    <w:rPr>
                      <w:rFonts w:hint="eastAsia"/>
                      <w:bCs/>
                      <w:color w:val="auto"/>
                      <w:sz w:val="21"/>
                      <w:szCs w:val="21"/>
                      <w:highlight w:val="none"/>
                      <w:lang w:val="en-US" w:eastAsia="zh-CN"/>
                    </w:rPr>
                    <w:t>J</w:t>
                  </w:r>
                  <w:r>
                    <w:rPr>
                      <w:rFonts w:hint="eastAsia"/>
                      <w:bCs/>
                      <w:color w:val="auto"/>
                      <w:sz w:val="21"/>
                      <w:szCs w:val="21"/>
                      <w:highlight w:val="none"/>
                    </w:rPr>
                    <w:t>1212-2021</w:t>
                  </w:r>
                </w:p>
              </w:tc>
            </w:tr>
            <w:tr w14:paraId="6F1C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AB34D7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6C9CDB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2612B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臭气浓度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0D711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环境空气和废气 臭气的测定三点比较式臭袋法</w:t>
                  </w:r>
                </w:p>
                <w:p w14:paraId="2B27DEF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H</w:t>
                  </w:r>
                  <w:r>
                    <w:rPr>
                      <w:rFonts w:hint="eastAsia"/>
                      <w:bCs/>
                      <w:color w:val="auto"/>
                      <w:sz w:val="21"/>
                      <w:szCs w:val="21"/>
                      <w:highlight w:val="none"/>
                      <w:lang w:val="en-US" w:eastAsia="zh-CN"/>
                    </w:rPr>
                    <w:t>J</w:t>
                  </w:r>
                  <w:r>
                    <w:rPr>
                      <w:rFonts w:hint="eastAsia"/>
                      <w:bCs/>
                      <w:color w:val="auto"/>
                      <w:sz w:val="21"/>
                      <w:szCs w:val="21"/>
                      <w:highlight w:val="none"/>
                    </w:rPr>
                    <w:t>1262-2022</w:t>
                  </w:r>
                </w:p>
              </w:tc>
            </w:tr>
            <w:tr w14:paraId="7383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860D0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right w:val="single" w:color="auto" w:sz="4" w:space="0"/>
                  </w:tcBorders>
                  <w:noWrap w:val="0"/>
                  <w:vAlign w:val="center"/>
                </w:tcPr>
                <w:p w14:paraId="254A8E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5FA6A0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降尘</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D79822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环境空气 降尘的测定 重量法H</w:t>
                  </w:r>
                  <w:r>
                    <w:rPr>
                      <w:rFonts w:hint="eastAsia"/>
                      <w:bCs/>
                      <w:color w:val="auto"/>
                      <w:sz w:val="21"/>
                      <w:szCs w:val="21"/>
                      <w:highlight w:val="none"/>
                      <w:lang w:val="en-US" w:eastAsia="zh-CN"/>
                    </w:rPr>
                    <w:t>J</w:t>
                  </w:r>
                  <w:r>
                    <w:rPr>
                      <w:rFonts w:hint="eastAsia"/>
                      <w:bCs/>
                      <w:color w:val="auto"/>
                      <w:sz w:val="21"/>
                      <w:szCs w:val="21"/>
                      <w:highlight w:val="none"/>
                    </w:rPr>
                    <w:t>1221-2021</w:t>
                  </w:r>
                </w:p>
              </w:tc>
            </w:tr>
            <w:tr w14:paraId="6520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0C7570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60E110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1941DB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总悬浮</w:t>
                  </w:r>
                  <w:r>
                    <w:rPr>
                      <w:rFonts w:hint="eastAsia"/>
                      <w:color w:val="auto"/>
                      <w:sz w:val="21"/>
                      <w:szCs w:val="21"/>
                      <w:highlight w:val="none"/>
                      <w:lang w:eastAsia="zh-CN"/>
                    </w:rPr>
                    <w:t>颗粒物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877D9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环境空气总</w:t>
                  </w:r>
                  <w:r>
                    <w:rPr>
                      <w:rFonts w:hint="eastAsia"/>
                      <w:bCs/>
                      <w:color w:val="auto"/>
                      <w:sz w:val="21"/>
                      <w:szCs w:val="21"/>
                      <w:highlight w:val="none"/>
                      <w:lang w:eastAsia="zh-CN"/>
                    </w:rPr>
                    <w:t>悬浮颗粒物</w:t>
                  </w:r>
                  <w:r>
                    <w:rPr>
                      <w:rFonts w:hint="default"/>
                      <w:bCs/>
                      <w:color w:val="auto"/>
                      <w:sz w:val="21"/>
                      <w:szCs w:val="21"/>
                      <w:highlight w:val="none"/>
                    </w:rPr>
                    <w:t>的测定重量法</w:t>
                  </w:r>
                  <w:r>
                    <w:rPr>
                      <w:rFonts w:hint="eastAsia"/>
                      <w:bCs/>
                      <w:color w:val="auto"/>
                      <w:sz w:val="21"/>
                      <w:szCs w:val="21"/>
                      <w:highlight w:val="none"/>
                      <w:lang w:val="en-US" w:eastAsia="zh-CN"/>
                    </w:rPr>
                    <w:t>HJ1263-2022</w:t>
                  </w:r>
                </w:p>
              </w:tc>
            </w:tr>
            <w:tr w14:paraId="7DEC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F6E946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1E9F7A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ADF6D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排气温度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810643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《固定污染源排气中颗粒物测定与气态污染物采样方法(5.1排气温度的测定)》GB/T16157-1996及修改单</w:t>
                  </w:r>
                </w:p>
              </w:tc>
            </w:tr>
            <w:tr w14:paraId="1F9A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F04AD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78B96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5A475C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排气含湿量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DD1E22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《固定污染源排气中颗粒物测定与气态污染物采样方法(5.2排气中水分含量的测定)》GB/T16157-1996及修改单</w:t>
                  </w:r>
                </w:p>
              </w:tc>
            </w:tr>
            <w:tr w14:paraId="33CC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D111D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1F6AB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EF0D19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排气流速、流量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BD6FA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《固定污染源排气中颗粒物测定与气态污染物采样方法(7排气流速、流量的测定)》GB/T16157-1996及修改单</w:t>
                  </w:r>
                </w:p>
              </w:tc>
            </w:tr>
            <w:tr w14:paraId="3790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BA9CB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7222FC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EDA80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rPr>
                  </w:pPr>
                  <w:r>
                    <w:rPr>
                      <w:rFonts w:hint="eastAsia"/>
                      <w:color w:val="auto"/>
                      <w:sz w:val="21"/>
                      <w:szCs w:val="21"/>
                      <w:highlight w:val="none"/>
                    </w:rPr>
                    <w:t>排气中气</w:t>
                  </w:r>
                </w:p>
                <w:p w14:paraId="5DC642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体成分O₂</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731B08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电化学法测定氧《空气和废气监测分析方法》(第四版)国家环境保护总局(2003年)</w:t>
                  </w:r>
                </w:p>
              </w:tc>
            </w:tr>
            <w:tr w14:paraId="2855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25639E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A96608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FD67AB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甲醇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C18270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 xml:space="preserve">固定污染源排气中甲醇的测定 </w:t>
                  </w:r>
                  <w:r>
                    <w:rPr>
                      <w:rFonts w:hint="default"/>
                      <w:bCs/>
                      <w:color w:val="auto"/>
                      <w:sz w:val="21"/>
                      <w:szCs w:val="21"/>
                      <w:highlight w:val="none"/>
                    </w:rPr>
                    <w:t>气相色谱法</w:t>
                  </w:r>
                  <w:r>
                    <w:rPr>
                      <w:rFonts w:hint="eastAsia"/>
                      <w:bCs/>
                      <w:color w:val="auto"/>
                      <w:sz w:val="21"/>
                      <w:szCs w:val="21"/>
                      <w:highlight w:val="none"/>
                      <w:lang w:val="en-US" w:eastAsia="zh-CN"/>
                    </w:rPr>
                    <w:t>HJ/T33-1999</w:t>
                  </w:r>
                </w:p>
              </w:tc>
            </w:tr>
            <w:tr w14:paraId="32A4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bottom w:val="single" w:color="auto" w:sz="4" w:space="0"/>
                    <w:right w:val="single" w:color="auto" w:sz="4" w:space="0"/>
                  </w:tcBorders>
                  <w:noWrap w:val="0"/>
                  <w:vAlign w:val="center"/>
                </w:tcPr>
                <w:p w14:paraId="166E89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噪声振动</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5DCFC25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EBC7E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环境噪声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5F9E90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声环境质量标准GB3096-2008</w:t>
                  </w:r>
                </w:p>
              </w:tc>
            </w:tr>
            <w:tr w14:paraId="26A0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7366E74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1186EF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C4E22E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社会生活环境噪声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10E47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社会生活环境噪声排放标准GB22337-2008</w:t>
                  </w:r>
                </w:p>
              </w:tc>
            </w:tr>
            <w:tr w14:paraId="3002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377813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95BD06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07F6A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厂界噪声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458B9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工业企业厂界环境噪声排放标准GB12348-2008</w:t>
                  </w:r>
                </w:p>
              </w:tc>
            </w:tr>
            <w:tr w14:paraId="208E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7A91B46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BFCADB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BE6502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建筑施工场界噪声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A7EE5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环境噪声监测技术规范</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城市声环境常规监测</w:t>
                  </w:r>
                  <w:r>
                    <w:rPr>
                      <w:rFonts w:hint="default" w:ascii="Times New Roman" w:hAnsi="Times New Roman" w:eastAsia="宋体" w:cs="Times New Roman"/>
                      <w:b w:val="0"/>
                      <w:bCs w:val="0"/>
                      <w:color w:val="auto"/>
                      <w:sz w:val="21"/>
                      <w:szCs w:val="21"/>
                      <w:highlight w:val="none"/>
                    </w:rPr>
                    <w:t>HJ640-2012</w:t>
                  </w:r>
                </w:p>
              </w:tc>
            </w:tr>
            <w:tr w14:paraId="08C7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BAB00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9E8BDE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24D029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ascii="宋体" w:hAnsi="宋体" w:eastAsia="宋体" w:cs="宋体"/>
                      <w:b w:val="0"/>
                      <w:bCs w:val="0"/>
                      <w:color w:val="auto"/>
                      <w:sz w:val="21"/>
                      <w:szCs w:val="21"/>
                      <w:highlight w:val="none"/>
                    </w:rPr>
                    <w:t>道路交通声环境</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DB01E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城市区域环境振动测量方法GB10071-1988</w:t>
                  </w:r>
                </w:p>
              </w:tc>
            </w:tr>
            <w:tr w14:paraId="39E7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bottom w:val="single" w:color="auto" w:sz="4" w:space="0"/>
                    <w:right w:val="single" w:color="auto" w:sz="4" w:space="0"/>
                  </w:tcBorders>
                  <w:noWrap w:val="0"/>
                  <w:vAlign w:val="center"/>
                </w:tcPr>
                <w:p w14:paraId="40F4D10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default"/>
                      <w:bCs/>
                      <w:color w:val="auto"/>
                      <w:sz w:val="21"/>
                      <w:szCs w:val="21"/>
                      <w:highlight w:val="none"/>
                    </w:rPr>
                    <w:t>土壤</w:t>
                  </w:r>
                  <w:r>
                    <w:rPr>
                      <w:rFonts w:hint="eastAsia"/>
                      <w:bCs/>
                      <w:color w:val="auto"/>
                      <w:sz w:val="21"/>
                      <w:szCs w:val="21"/>
                      <w:highlight w:val="none"/>
                      <w:lang w:val="en-US" w:eastAsia="zh-CN"/>
                    </w:rPr>
                    <w:t>和沉积物</w:t>
                  </w:r>
                </w:p>
              </w:tc>
              <w:tc>
                <w:tcPr>
                  <w:tcW w:w="839" w:type="dxa"/>
                  <w:tcBorders>
                    <w:top w:val="single" w:color="auto" w:sz="4" w:space="0"/>
                    <w:left w:val="single" w:color="auto" w:sz="4" w:space="0"/>
                    <w:right w:val="single" w:color="auto" w:sz="4" w:space="0"/>
                  </w:tcBorders>
                  <w:noWrap w:val="0"/>
                  <w:vAlign w:val="center"/>
                </w:tcPr>
                <w:p w14:paraId="5E3EF4A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1</w:t>
                  </w:r>
                </w:p>
              </w:tc>
              <w:tc>
                <w:tcPr>
                  <w:tcW w:w="1476" w:type="dxa"/>
                  <w:tcBorders>
                    <w:top w:val="single" w:color="auto" w:sz="4" w:space="0"/>
                    <w:left w:val="single" w:color="auto" w:sz="4" w:space="0"/>
                    <w:right w:val="single" w:color="auto" w:sz="4" w:space="0"/>
                  </w:tcBorders>
                  <w:noWrap w:val="0"/>
                  <w:vAlign w:val="center"/>
                </w:tcPr>
                <w:p w14:paraId="762C030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镉</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A4F2E8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eastAsia="zh-CN"/>
                    </w:rPr>
                    <w:t>土壤</w:t>
                  </w:r>
                  <w:r>
                    <w:rPr>
                      <w:rFonts w:hint="default"/>
                      <w:bCs/>
                      <w:color w:val="auto"/>
                      <w:sz w:val="21"/>
                      <w:szCs w:val="21"/>
                      <w:highlight w:val="none"/>
                    </w:rPr>
                    <w:t>质量铅、镉的测定石墨炉原子吸收分光光度法GB/T17141-1997</w:t>
                  </w:r>
                </w:p>
              </w:tc>
            </w:tr>
            <w:tr w14:paraId="1F2F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440E20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72D482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1476" w:type="dxa"/>
                  <w:vMerge w:val="restart"/>
                  <w:tcBorders>
                    <w:top w:val="single" w:color="auto" w:sz="4" w:space="0"/>
                    <w:left w:val="single" w:color="auto" w:sz="4" w:space="0"/>
                    <w:right w:val="single" w:color="auto" w:sz="4" w:space="0"/>
                  </w:tcBorders>
                  <w:noWrap w:val="0"/>
                  <w:vAlign w:val="center"/>
                </w:tcPr>
                <w:p w14:paraId="601E343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bCs/>
                      <w:color w:val="auto"/>
                      <w:sz w:val="21"/>
                      <w:szCs w:val="21"/>
                      <w:highlight w:val="none"/>
                    </w:rPr>
                    <w:t>汞</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B11485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土壤和沉积物 汞、砷、硒、铋、锑的测定微波消解/原子荧光法 HJ680-2013</w:t>
                  </w:r>
                </w:p>
              </w:tc>
            </w:tr>
            <w:tr w14:paraId="27A7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860DD1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2009D39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4A64DAE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DB5DF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土壤质量 总汞、总砷、总铅的测定原子荧光法第1部分</w:t>
                  </w:r>
                  <w:r>
                    <w:rPr>
                      <w:rFonts w:hint="eastAsia"/>
                      <w:bCs/>
                      <w:color w:val="auto"/>
                      <w:sz w:val="21"/>
                      <w:szCs w:val="21"/>
                      <w:highlight w:val="none"/>
                      <w:lang w:eastAsia="zh-CN"/>
                    </w:rPr>
                    <w:t>：</w:t>
                  </w:r>
                  <w:r>
                    <w:rPr>
                      <w:rFonts w:hint="eastAsia"/>
                      <w:bCs/>
                      <w:color w:val="auto"/>
                      <w:sz w:val="21"/>
                      <w:szCs w:val="21"/>
                      <w:highlight w:val="none"/>
                    </w:rPr>
                    <w:t>土壤中总汞的测定GB/T22105.1-2008</w:t>
                  </w:r>
                </w:p>
              </w:tc>
            </w:tr>
            <w:tr w14:paraId="4A9A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F5C74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00C9BEB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3</w:t>
                  </w:r>
                </w:p>
              </w:tc>
              <w:tc>
                <w:tcPr>
                  <w:tcW w:w="1476" w:type="dxa"/>
                  <w:vMerge w:val="restart"/>
                  <w:tcBorders>
                    <w:top w:val="single" w:color="auto" w:sz="4" w:space="0"/>
                    <w:left w:val="single" w:color="auto" w:sz="4" w:space="0"/>
                    <w:right w:val="single" w:color="auto" w:sz="4" w:space="0"/>
                  </w:tcBorders>
                  <w:noWrap w:val="0"/>
                  <w:vAlign w:val="center"/>
                </w:tcPr>
                <w:p w14:paraId="5AD47C0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70F10C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土壤和沉积物 汞、砷、硒、铋、锑的测定微波消解/原子荧光法 HJ680-2013</w:t>
                  </w:r>
                </w:p>
              </w:tc>
            </w:tr>
            <w:tr w14:paraId="22A2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40392E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63A0F64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62AA57E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8E16C9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土壤质量 总汞、总砷、总铅的测定原子荧光法第1部分</w:t>
                  </w:r>
                  <w:r>
                    <w:rPr>
                      <w:rFonts w:hint="eastAsia"/>
                      <w:bCs/>
                      <w:color w:val="auto"/>
                      <w:sz w:val="21"/>
                      <w:szCs w:val="21"/>
                      <w:highlight w:val="none"/>
                      <w:lang w:eastAsia="zh-CN"/>
                    </w:rPr>
                    <w:t>：</w:t>
                  </w:r>
                  <w:r>
                    <w:rPr>
                      <w:rFonts w:hint="eastAsia"/>
                      <w:bCs/>
                      <w:color w:val="auto"/>
                      <w:sz w:val="21"/>
                      <w:szCs w:val="21"/>
                      <w:highlight w:val="none"/>
                    </w:rPr>
                    <w:t>土壤中总汞的测定GB/T22105.1-2008</w:t>
                  </w:r>
                </w:p>
              </w:tc>
            </w:tr>
            <w:tr w14:paraId="0396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FF4313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left w:val="single" w:color="auto" w:sz="4" w:space="0"/>
                    <w:right w:val="single" w:color="auto" w:sz="4" w:space="0"/>
                  </w:tcBorders>
                  <w:noWrap w:val="0"/>
                  <w:vAlign w:val="center"/>
                </w:tcPr>
                <w:p w14:paraId="2F665ED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4</w:t>
                  </w:r>
                </w:p>
              </w:tc>
              <w:tc>
                <w:tcPr>
                  <w:tcW w:w="1476" w:type="dxa"/>
                  <w:vMerge w:val="restart"/>
                  <w:tcBorders>
                    <w:left w:val="single" w:color="auto" w:sz="4" w:space="0"/>
                    <w:right w:val="single" w:color="auto" w:sz="4" w:space="0"/>
                  </w:tcBorders>
                  <w:noWrap w:val="0"/>
                  <w:vAlign w:val="center"/>
                </w:tcPr>
                <w:p w14:paraId="28C22E0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铅</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B7B56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土壤质量 铅、镉的测定石墨炉原子吸收分光光度法GB/T17141-1997</w:t>
                  </w:r>
                </w:p>
              </w:tc>
            </w:tr>
            <w:tr w14:paraId="2F0A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99DFF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right w:val="single" w:color="auto" w:sz="4" w:space="0"/>
                  </w:tcBorders>
                  <w:noWrap w:val="0"/>
                  <w:vAlign w:val="center"/>
                </w:tcPr>
                <w:p w14:paraId="0C2258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right w:val="single" w:color="auto" w:sz="4" w:space="0"/>
                  </w:tcBorders>
                  <w:noWrap w:val="0"/>
                  <w:vAlign w:val="center"/>
                </w:tcPr>
                <w:p w14:paraId="1EABFA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E3E04B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土壤和沉积物 铜、锌、铅、镍、铬的测定火焰原子吸收分光光度法HJ491-2019</w:t>
                  </w:r>
                </w:p>
              </w:tc>
            </w:tr>
            <w:tr w14:paraId="14F1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01C789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1E65F1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1476" w:type="dxa"/>
                  <w:vMerge w:val="continue"/>
                  <w:tcBorders>
                    <w:left w:val="single" w:color="auto" w:sz="4" w:space="0"/>
                    <w:bottom w:val="single" w:color="auto" w:sz="4" w:space="0"/>
                    <w:right w:val="single" w:color="auto" w:sz="4" w:space="0"/>
                  </w:tcBorders>
                  <w:noWrap w:val="0"/>
                  <w:vAlign w:val="center"/>
                </w:tcPr>
                <w:p w14:paraId="02F35CE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0ABDE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土壤质量 总汞、总砷、总铅的测定原子荧光法第3部分</w:t>
                  </w:r>
                  <w:r>
                    <w:rPr>
                      <w:rFonts w:hint="eastAsia"/>
                      <w:bCs/>
                      <w:color w:val="auto"/>
                      <w:sz w:val="21"/>
                      <w:szCs w:val="21"/>
                      <w:highlight w:val="none"/>
                      <w:lang w:eastAsia="zh-CN"/>
                    </w:rPr>
                    <w:t>：</w:t>
                  </w:r>
                  <w:r>
                    <w:rPr>
                      <w:rFonts w:hint="eastAsia"/>
                      <w:bCs/>
                      <w:color w:val="auto"/>
                      <w:sz w:val="21"/>
                      <w:szCs w:val="21"/>
                      <w:highlight w:val="none"/>
                    </w:rPr>
                    <w:t>土壤中总铅的测定GB/T22105.3-2008</w:t>
                  </w:r>
                </w:p>
              </w:tc>
            </w:tr>
            <w:tr w14:paraId="199CF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57DC95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8FCF15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5</w:t>
                  </w:r>
                </w:p>
              </w:tc>
              <w:tc>
                <w:tcPr>
                  <w:tcW w:w="1476" w:type="dxa"/>
                  <w:tcBorders>
                    <w:left w:val="single" w:color="auto" w:sz="4" w:space="0"/>
                    <w:bottom w:val="single" w:color="auto" w:sz="4" w:space="0"/>
                    <w:right w:val="single" w:color="auto" w:sz="4" w:space="0"/>
                  </w:tcBorders>
                  <w:noWrap w:val="0"/>
                  <w:vAlign w:val="center"/>
                </w:tcPr>
                <w:p w14:paraId="299E32F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bCs/>
                      <w:color w:val="auto"/>
                      <w:sz w:val="21"/>
                      <w:szCs w:val="21"/>
                      <w:highlight w:val="none"/>
                    </w:rPr>
                    <w:t>铬</w:t>
                  </w:r>
                </w:p>
              </w:tc>
              <w:tc>
                <w:tcPr>
                  <w:tcW w:w="5187" w:type="dxa"/>
                  <w:vMerge w:val="restart"/>
                  <w:tcBorders>
                    <w:top w:val="single" w:color="auto" w:sz="4" w:space="0"/>
                    <w:left w:val="single" w:color="auto" w:sz="4" w:space="0"/>
                    <w:right w:val="single" w:color="auto" w:sz="4" w:space="0"/>
                  </w:tcBorders>
                  <w:noWrap w:val="0"/>
                  <w:vAlign w:val="center"/>
                </w:tcPr>
                <w:p w14:paraId="694F20E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土壤和沉积物 铜、锌、铅、镍、铬的测定火焰原子吸收分光光度法HJ491-2019</w:t>
                  </w:r>
                </w:p>
              </w:tc>
            </w:tr>
            <w:tr w14:paraId="058A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1E893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1FCFD9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6</w:t>
                  </w:r>
                </w:p>
              </w:tc>
              <w:tc>
                <w:tcPr>
                  <w:tcW w:w="1476" w:type="dxa"/>
                  <w:tcBorders>
                    <w:left w:val="single" w:color="auto" w:sz="4" w:space="0"/>
                    <w:bottom w:val="single" w:color="auto" w:sz="4" w:space="0"/>
                    <w:right w:val="single" w:color="auto" w:sz="4" w:space="0"/>
                  </w:tcBorders>
                  <w:noWrap w:val="0"/>
                  <w:vAlign w:val="center"/>
                </w:tcPr>
                <w:p w14:paraId="7C7E8E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铜</w:t>
                  </w:r>
                </w:p>
              </w:tc>
              <w:tc>
                <w:tcPr>
                  <w:tcW w:w="5187" w:type="dxa"/>
                  <w:vMerge w:val="continue"/>
                  <w:tcBorders>
                    <w:left w:val="single" w:color="auto" w:sz="4" w:space="0"/>
                    <w:right w:val="single" w:color="auto" w:sz="4" w:space="0"/>
                  </w:tcBorders>
                  <w:noWrap w:val="0"/>
                  <w:vAlign w:val="center"/>
                </w:tcPr>
                <w:p w14:paraId="36581A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p>
              </w:tc>
            </w:tr>
            <w:tr w14:paraId="0125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4B79F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03B68FE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7</w:t>
                  </w:r>
                </w:p>
              </w:tc>
              <w:tc>
                <w:tcPr>
                  <w:tcW w:w="1476" w:type="dxa"/>
                  <w:tcBorders>
                    <w:left w:val="single" w:color="auto" w:sz="4" w:space="0"/>
                    <w:bottom w:val="single" w:color="auto" w:sz="4" w:space="0"/>
                    <w:right w:val="single" w:color="auto" w:sz="4" w:space="0"/>
                  </w:tcBorders>
                  <w:noWrap w:val="0"/>
                  <w:vAlign w:val="center"/>
                </w:tcPr>
                <w:p w14:paraId="0EE1403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镍</w:t>
                  </w:r>
                </w:p>
              </w:tc>
              <w:tc>
                <w:tcPr>
                  <w:tcW w:w="5187" w:type="dxa"/>
                  <w:vMerge w:val="continue"/>
                  <w:tcBorders>
                    <w:left w:val="single" w:color="auto" w:sz="4" w:space="0"/>
                    <w:right w:val="single" w:color="auto" w:sz="4" w:space="0"/>
                  </w:tcBorders>
                  <w:noWrap w:val="0"/>
                  <w:vAlign w:val="center"/>
                </w:tcPr>
                <w:p w14:paraId="588ED6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p>
              </w:tc>
            </w:tr>
            <w:tr w14:paraId="6F0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4643D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left w:val="single" w:color="auto" w:sz="4" w:space="0"/>
                    <w:bottom w:val="single" w:color="auto" w:sz="4" w:space="0"/>
                    <w:right w:val="single" w:color="auto" w:sz="4" w:space="0"/>
                  </w:tcBorders>
                  <w:noWrap w:val="0"/>
                  <w:vAlign w:val="center"/>
                </w:tcPr>
                <w:p w14:paraId="37A3B3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8</w:t>
                  </w:r>
                </w:p>
              </w:tc>
              <w:tc>
                <w:tcPr>
                  <w:tcW w:w="1476" w:type="dxa"/>
                  <w:tcBorders>
                    <w:left w:val="single" w:color="auto" w:sz="4" w:space="0"/>
                    <w:bottom w:val="single" w:color="auto" w:sz="4" w:space="0"/>
                    <w:right w:val="single" w:color="auto" w:sz="4" w:space="0"/>
                  </w:tcBorders>
                  <w:noWrap w:val="0"/>
                  <w:vAlign w:val="center"/>
                </w:tcPr>
                <w:p w14:paraId="4C6C8CF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锌</w:t>
                  </w:r>
                </w:p>
              </w:tc>
              <w:tc>
                <w:tcPr>
                  <w:tcW w:w="5187" w:type="dxa"/>
                  <w:vMerge w:val="continue"/>
                  <w:tcBorders>
                    <w:left w:val="single" w:color="auto" w:sz="4" w:space="0"/>
                    <w:bottom w:val="single" w:color="auto" w:sz="4" w:space="0"/>
                    <w:right w:val="single" w:color="auto" w:sz="4" w:space="0"/>
                  </w:tcBorders>
                  <w:noWrap w:val="0"/>
                  <w:vAlign w:val="center"/>
                </w:tcPr>
                <w:p w14:paraId="248590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p>
              </w:tc>
            </w:tr>
            <w:tr w14:paraId="3640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820FAB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right w:val="single" w:color="auto" w:sz="4" w:space="0"/>
                  </w:tcBorders>
                  <w:noWrap w:val="0"/>
                  <w:vAlign w:val="center"/>
                </w:tcPr>
                <w:p w14:paraId="00DC503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406422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六价铬</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96010A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土壤和沉积物 六价铬的测定碱溶液提取-火焰原子吸收分光光度法HJ1082-2019</w:t>
                  </w:r>
                </w:p>
              </w:tc>
            </w:tr>
            <w:tr w14:paraId="4D46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5C74F2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w:t>
                  </w:r>
                </w:p>
              </w:tc>
              <w:tc>
                <w:tcPr>
                  <w:tcW w:w="839" w:type="dxa"/>
                  <w:tcBorders>
                    <w:top w:val="single" w:color="auto" w:sz="4" w:space="0"/>
                    <w:left w:val="single" w:color="auto" w:sz="4" w:space="0"/>
                    <w:right w:val="single" w:color="auto" w:sz="4" w:space="0"/>
                  </w:tcBorders>
                  <w:noWrap w:val="0"/>
                  <w:vAlign w:val="center"/>
                </w:tcPr>
                <w:p w14:paraId="25B6110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F665A2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有机碳</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361A55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土壤有机碳测定方法重铬酸钾氧化分光光度法HJ615-2011</w:t>
                  </w:r>
                </w:p>
              </w:tc>
            </w:tr>
            <w:tr w14:paraId="2F99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7CAC8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839" w:type="dxa"/>
                  <w:tcBorders>
                    <w:top w:val="single" w:color="auto" w:sz="4" w:space="0"/>
                    <w:left w:val="single" w:color="auto" w:sz="4" w:space="0"/>
                    <w:right w:val="single" w:color="auto" w:sz="4" w:space="0"/>
                  </w:tcBorders>
                  <w:noWrap w:val="0"/>
                  <w:vAlign w:val="center"/>
                </w:tcPr>
                <w:p w14:paraId="098D4EF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7BA5EA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石油类</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300A4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石油类的测定 红外分光光度法HJ1051-2019</w:t>
                  </w:r>
                </w:p>
              </w:tc>
            </w:tr>
            <w:tr w14:paraId="63DF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EEE180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3F3C5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B21327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粒度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D1E6C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土壤粒度的测定吸液管法和比重计法H</w:t>
                  </w:r>
                  <w:r>
                    <w:rPr>
                      <w:rFonts w:hint="eastAsia"/>
                      <w:bCs/>
                      <w:color w:val="auto"/>
                      <w:sz w:val="21"/>
                      <w:szCs w:val="21"/>
                      <w:highlight w:val="none"/>
                      <w:lang w:val="en-US" w:eastAsia="zh-CN"/>
                    </w:rPr>
                    <w:t>J1</w:t>
                  </w:r>
                  <w:r>
                    <w:rPr>
                      <w:rFonts w:hint="eastAsia"/>
                      <w:bCs/>
                      <w:color w:val="auto"/>
                      <w:sz w:val="21"/>
                      <w:szCs w:val="21"/>
                      <w:highlight w:val="none"/>
                    </w:rPr>
                    <w:t>068-2019</w:t>
                  </w:r>
                </w:p>
              </w:tc>
            </w:tr>
            <w:tr w14:paraId="2528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33B6CF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F6078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BA2C73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挥发酚</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7AA114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土壤和沉积物 挥发酚的测定4-氨基安替比林分光光度法HJ998-2018</w:t>
                  </w:r>
                </w:p>
              </w:tc>
            </w:tr>
            <w:tr w14:paraId="3C77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491EEA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33A776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7F4E58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pH值</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712658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土壤检测第2部分：土壤pH的测定NY/T1121.2-2006</w:t>
                  </w:r>
                </w:p>
              </w:tc>
            </w:tr>
            <w:tr w14:paraId="3167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7C3C2D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5AA10D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779CFF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硫化物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7A7E86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土壤和沉积物 硫化物的测定 亚甲基蓝分光光度法HJ833-2017</w:t>
                  </w:r>
                </w:p>
              </w:tc>
            </w:tr>
            <w:tr w14:paraId="6111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7C2C6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B485E7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D44DE4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硒</w:t>
                  </w:r>
                </w:p>
              </w:tc>
              <w:tc>
                <w:tcPr>
                  <w:tcW w:w="5187" w:type="dxa"/>
                  <w:vMerge w:val="restart"/>
                  <w:tcBorders>
                    <w:top w:val="single" w:color="auto" w:sz="4" w:space="0"/>
                    <w:left w:val="single" w:color="auto" w:sz="4" w:space="0"/>
                    <w:right w:val="single" w:color="auto" w:sz="4" w:space="0"/>
                  </w:tcBorders>
                  <w:noWrap w:val="0"/>
                  <w:vAlign w:val="center"/>
                </w:tcPr>
                <w:p w14:paraId="013257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土壤和沉积物汞、砷、硒、铋、锑的测定微波消解/原子荧光法HJ680-2013</w:t>
                  </w:r>
                </w:p>
              </w:tc>
            </w:tr>
            <w:tr w14:paraId="1B73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9FDBD6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2C0C9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E1E11D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铋</w:t>
                  </w:r>
                </w:p>
              </w:tc>
              <w:tc>
                <w:tcPr>
                  <w:tcW w:w="5187" w:type="dxa"/>
                  <w:vMerge w:val="continue"/>
                  <w:tcBorders>
                    <w:left w:val="single" w:color="auto" w:sz="4" w:space="0"/>
                    <w:right w:val="single" w:color="auto" w:sz="4" w:space="0"/>
                  </w:tcBorders>
                  <w:noWrap w:val="0"/>
                  <w:vAlign w:val="center"/>
                </w:tcPr>
                <w:p w14:paraId="07C4576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0102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DDB46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41D97A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3F898A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锑</w:t>
                  </w:r>
                </w:p>
              </w:tc>
              <w:tc>
                <w:tcPr>
                  <w:tcW w:w="5187" w:type="dxa"/>
                  <w:vMerge w:val="continue"/>
                  <w:tcBorders>
                    <w:left w:val="single" w:color="auto" w:sz="4" w:space="0"/>
                    <w:bottom w:val="single" w:color="auto" w:sz="4" w:space="0"/>
                    <w:right w:val="single" w:color="auto" w:sz="4" w:space="0"/>
                  </w:tcBorders>
                  <w:noWrap w:val="0"/>
                  <w:vAlign w:val="center"/>
                </w:tcPr>
                <w:p w14:paraId="6649F9E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r>
            <w:tr w14:paraId="59DB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2A6EB9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FDEC3B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1</w:t>
                  </w:r>
                  <w:r>
                    <w:rPr>
                      <w:rFonts w:hint="default"/>
                      <w:bCs/>
                      <w:color w:val="auto"/>
                      <w:sz w:val="21"/>
                      <w:szCs w:val="21"/>
                      <w:highlight w:val="none"/>
                    </w:rPr>
                    <w:t>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7A487F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电导率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F20786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土壤电导率的测定电极法 HJ802-2016</w:t>
                  </w:r>
                </w:p>
              </w:tc>
            </w:tr>
            <w:tr w14:paraId="54F4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68F96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368D9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FA5EC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氰化物和总氰化物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AB4638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氰化物和总氰化物的测定 分光光度法HJ745-2015</w:t>
                  </w:r>
                </w:p>
              </w:tc>
            </w:tr>
            <w:tr w14:paraId="28D2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3214B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2BE854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B657F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全氮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E866C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土壤质量 全氮的测定凯氏法 HJ717-2014</w:t>
                  </w:r>
                </w:p>
              </w:tc>
            </w:tr>
            <w:tr w14:paraId="2A60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1FBEAD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0B0FB8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6147B1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有效磷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BFE7F4D">
                  <w:pPr>
                    <w:keepNext w:val="0"/>
                    <w:keepLines w:val="0"/>
                    <w:pageBreakBefore w:val="0"/>
                    <w:suppressLineNumbers w:val="0"/>
                    <w:tabs>
                      <w:tab w:val="left" w:pos="60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石灰性土壤有效磷的测定碳酸氢钠浸提-钼锑抗比色法HJ704-2014</w:t>
                  </w:r>
                </w:p>
              </w:tc>
            </w:tr>
            <w:tr w14:paraId="7619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F5B341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14FECC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4935F1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干物质和水分</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7D81A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干物质和水分的测定重量法HJ613-2011</w:t>
                  </w:r>
                </w:p>
              </w:tc>
            </w:tr>
            <w:tr w14:paraId="247F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DE782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D95DA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44C75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可交换酸度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10EF3D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可交换酸度的测定氯化钾提取-滴定法HJ649-2013</w:t>
                  </w:r>
                </w:p>
              </w:tc>
            </w:tr>
            <w:tr w14:paraId="1DF9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8E16F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216FCA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E94C06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bCs/>
                      <w:color w:val="auto"/>
                      <w:sz w:val="21"/>
                      <w:szCs w:val="21"/>
                      <w:highlight w:val="none"/>
                    </w:rPr>
                    <w:t>阳离子交换量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00125C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阳离子交换量的测定 三氯化六氨合钴浸提-分光光度法H889-2017</w:t>
                  </w:r>
                </w:p>
              </w:tc>
            </w:tr>
            <w:tr w14:paraId="6BF1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7B01FB6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8E0404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56D01A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水溶性和酸溶性硫酸盐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E9206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水溶性和酸溶性硫酸盐的测定重量法 HJ635-2012</w:t>
                  </w:r>
                </w:p>
              </w:tc>
            </w:tr>
            <w:tr w14:paraId="773E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CCB5FD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ED53C2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95D0C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bCs/>
                      <w:color w:val="auto"/>
                      <w:sz w:val="21"/>
                      <w:szCs w:val="21"/>
                      <w:highlight w:val="none"/>
                    </w:rPr>
                    <w:t>氨氮、亚硝酸盐氮、硝酸盐氮</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42ADAB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氨氮、亚硝酸盐氮、硝酸盐氮的测定氯化钾溶液提取-分光光度法 HJ634-2012</w:t>
                  </w:r>
                </w:p>
              </w:tc>
            </w:tr>
            <w:tr w14:paraId="6EBC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20977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6D04407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8</w:t>
                  </w:r>
                </w:p>
              </w:tc>
              <w:tc>
                <w:tcPr>
                  <w:tcW w:w="1476" w:type="dxa"/>
                  <w:vMerge w:val="restart"/>
                  <w:tcBorders>
                    <w:top w:val="single" w:color="auto" w:sz="4" w:space="0"/>
                    <w:left w:val="single" w:color="auto" w:sz="4" w:space="0"/>
                    <w:right w:val="single" w:color="auto" w:sz="4" w:space="0"/>
                  </w:tcBorders>
                  <w:noWrap w:val="0"/>
                  <w:vAlign w:val="center"/>
                </w:tcPr>
                <w:p w14:paraId="0D2A45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有机质</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3FDAF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土壤检测 第6部分</w:t>
                  </w:r>
                  <w:r>
                    <w:rPr>
                      <w:rFonts w:hint="eastAsia"/>
                      <w:bCs/>
                      <w:color w:val="auto"/>
                      <w:sz w:val="21"/>
                      <w:szCs w:val="21"/>
                      <w:highlight w:val="none"/>
                      <w:lang w:eastAsia="zh-CN"/>
                    </w:rPr>
                    <w:t>：</w:t>
                  </w:r>
                  <w:r>
                    <w:rPr>
                      <w:rFonts w:hint="eastAsia"/>
                      <w:bCs/>
                      <w:color w:val="auto"/>
                      <w:sz w:val="21"/>
                      <w:szCs w:val="21"/>
                      <w:highlight w:val="none"/>
                    </w:rPr>
                    <w:t>土壤有机质的测定NY/T 1121.6-2006</w:t>
                  </w:r>
                </w:p>
              </w:tc>
            </w:tr>
            <w:tr w14:paraId="7481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08C458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41C9FD3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76F5BE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458BF8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森林土壤有机质的测定及碳氮比的计算LY/T 1237-1999</w:t>
                  </w:r>
                </w:p>
              </w:tc>
            </w:tr>
            <w:tr w14:paraId="6231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00EC4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32D718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2</w:t>
                  </w:r>
                  <w:r>
                    <w:rPr>
                      <w:rFonts w:hint="default"/>
                      <w:bCs/>
                      <w:color w:val="auto"/>
                      <w:sz w:val="21"/>
                      <w:szCs w:val="21"/>
                      <w:highlight w:val="none"/>
                    </w:rPr>
                    <w:t>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AD75C5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总磷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A8BCB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土壤 总磷的测定碱熔-钼锑抗分光光度法HJ 632-2011</w:t>
                  </w:r>
                </w:p>
              </w:tc>
            </w:tr>
            <w:tr w14:paraId="6458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88D171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EDABB5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lang w:val="en-US" w:eastAsia="zh-CN"/>
                    </w:rPr>
                    <w:t>3</w:t>
                  </w:r>
                  <w:r>
                    <w:rPr>
                      <w:rFonts w:hint="default"/>
                      <w:bCs/>
                      <w:color w:val="auto"/>
                      <w:sz w:val="21"/>
                      <w:szCs w:val="21"/>
                      <w:highlight w:val="none"/>
                    </w:rPr>
                    <w:t>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C5137A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土壤中氡浓度及土壤表面氡析出率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B04D17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民用建筑工程室内环境污染控制标准GB50325-2020 附录C</w:t>
                  </w:r>
                </w:p>
              </w:tc>
            </w:tr>
            <w:tr w14:paraId="22D9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2B1F31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6904B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5ED51D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color w:val="auto"/>
                      <w:sz w:val="21"/>
                      <w:szCs w:val="21"/>
                      <w:highlight w:val="none"/>
                    </w:rPr>
                  </w:pPr>
                  <w:r>
                    <w:rPr>
                      <w:rFonts w:hint="default"/>
                      <w:bCs/>
                      <w:color w:val="auto"/>
                      <w:sz w:val="21"/>
                      <w:szCs w:val="21"/>
                      <w:highlight w:val="none"/>
                    </w:rPr>
                    <w:t>容重</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FF4F6A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default"/>
                      <w:bCs/>
                      <w:color w:val="auto"/>
                      <w:sz w:val="21"/>
                      <w:szCs w:val="21"/>
                      <w:highlight w:val="none"/>
                    </w:rPr>
                    <w:t>土壤检测 第4部分：土壤容重的测定 NY/T1121.4-2006</w:t>
                  </w:r>
                </w:p>
              </w:tc>
            </w:tr>
            <w:tr w14:paraId="7255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C1DF63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EF0B42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9A78B6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氟化物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E88C04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土壤 水溶性氟化物和总氟化物的测定 离子选择电极法HJ873-2017</w:t>
                  </w:r>
                </w:p>
              </w:tc>
            </w:tr>
            <w:tr w14:paraId="5555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F46002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378FDA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22FB47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土壤渗透率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146500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森林土壤渗滤率的测定</w:t>
                  </w:r>
                  <w:r>
                    <w:rPr>
                      <w:rFonts w:hint="default" w:ascii="Times New Roman" w:hAnsi="Times New Roman" w:eastAsia="宋体" w:cs="Times New Roman"/>
                      <w:b w:val="0"/>
                      <w:bCs w:val="0"/>
                      <w:color w:val="auto"/>
                      <w:sz w:val="21"/>
                      <w:szCs w:val="21"/>
                      <w:highlight w:val="none"/>
                    </w:rPr>
                    <w:t>LY-T1218-1999</w:t>
                  </w:r>
                </w:p>
              </w:tc>
            </w:tr>
            <w:tr w14:paraId="5AAB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EAB215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ADBD9B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BCAC1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水分</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FD2702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森林土壤水分</w:t>
                  </w:r>
                  <w:r>
                    <w:rPr>
                      <w:rFonts w:hint="default" w:ascii="Times New Roman" w:hAnsi="Times New Roman" w:eastAsia="宋体" w:cs="Times New Roman"/>
                      <w:b w:val="0"/>
                      <w:bCs w:val="0"/>
                      <w:color w:val="auto"/>
                      <w:sz w:val="21"/>
                      <w:szCs w:val="21"/>
                      <w:highlight w:val="none"/>
                    </w:rPr>
                    <w:t>-</w:t>
                  </w:r>
                  <w:r>
                    <w:rPr>
                      <w:rFonts w:hint="eastAsia" w:ascii="宋体" w:hAnsi="宋体" w:eastAsia="宋体" w:cs="宋体"/>
                      <w:b w:val="0"/>
                      <w:bCs w:val="0"/>
                      <w:color w:val="auto"/>
                      <w:sz w:val="21"/>
                      <w:szCs w:val="21"/>
                      <w:highlight w:val="none"/>
                    </w:rPr>
                    <w:t>物理性质的测定</w:t>
                  </w:r>
                  <w:r>
                    <w:rPr>
                      <w:rFonts w:hint="default" w:ascii="Times New Roman" w:hAnsi="Times New Roman" w:eastAsia="宋体" w:cs="Times New Roman"/>
                      <w:b w:val="0"/>
                      <w:bCs w:val="0"/>
                      <w:color w:val="auto"/>
                      <w:sz w:val="21"/>
                      <w:szCs w:val="21"/>
                      <w:highlight w:val="none"/>
                    </w:rPr>
                    <w:t>LY/T1215-1999</w:t>
                  </w:r>
                </w:p>
              </w:tc>
            </w:tr>
            <w:tr w14:paraId="450D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10BFA6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0D4E8A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35025A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ascii="宋体" w:hAnsi="宋体" w:eastAsia="宋体" w:cs="宋体"/>
                      <w:b w:val="0"/>
                      <w:bCs w:val="0"/>
                      <w:color w:val="auto"/>
                      <w:sz w:val="21"/>
                      <w:szCs w:val="21"/>
                      <w:highlight w:val="none"/>
                    </w:rPr>
                    <w:t>钙、镁、钠</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C7FCE12">
                  <w:pPr>
                    <w:keepNext w:val="0"/>
                    <w:keepLines w:val="0"/>
                    <w:pageBreakBefore w:val="0"/>
                    <w:suppressLineNumbers w:val="0"/>
                    <w:tabs>
                      <w:tab w:val="left" w:pos="600"/>
                    </w:tabs>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土壤全量钙、镁、钠的测定</w:t>
                  </w:r>
                  <w:r>
                    <w:rPr>
                      <w:rFonts w:hint="default" w:ascii="Times New Roman" w:hAnsi="Times New Roman" w:eastAsia="宋体" w:cs="Times New Roman"/>
                      <w:b w:val="0"/>
                      <w:bCs w:val="0"/>
                      <w:color w:val="auto"/>
                      <w:sz w:val="21"/>
                      <w:szCs w:val="21"/>
                      <w:highlight w:val="none"/>
                    </w:rPr>
                    <w:t>NY/T296-1995</w:t>
                  </w:r>
                </w:p>
              </w:tc>
            </w:tr>
            <w:tr w14:paraId="368B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C0F028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0CB5AC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2E15CB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钾</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328966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森林土壤钾的测定</w:t>
                  </w:r>
                  <w:r>
                    <w:rPr>
                      <w:rFonts w:hint="default" w:ascii="Times New Roman" w:hAnsi="Times New Roman" w:eastAsia="宋体" w:cs="Times New Roman"/>
                      <w:b w:val="0"/>
                      <w:bCs w:val="0"/>
                      <w:color w:val="auto"/>
                      <w:sz w:val="21"/>
                      <w:szCs w:val="21"/>
                      <w:highlight w:val="none"/>
                    </w:rPr>
                    <w:t>LY/T1234-2015</w:t>
                  </w:r>
                </w:p>
              </w:tc>
            </w:tr>
            <w:tr w14:paraId="56D4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2DAD9C6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0F9E2A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F1C642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蛔虫卵死亡率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5A32F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肥料中蛔虫卵死亡率的测定</w:t>
                  </w:r>
                  <w:r>
                    <w:rPr>
                      <w:rFonts w:hint="default" w:ascii="Times New Roman" w:hAnsi="Times New Roman" w:eastAsia="宋体" w:cs="Times New Roman"/>
                      <w:b w:val="0"/>
                      <w:bCs w:val="0"/>
                      <w:color w:val="auto"/>
                      <w:sz w:val="21"/>
                      <w:szCs w:val="21"/>
                      <w:highlight w:val="none"/>
                    </w:rPr>
                    <w:t>GBT19524.2-2004</w:t>
                  </w:r>
                </w:p>
              </w:tc>
            </w:tr>
            <w:tr w14:paraId="3A0B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5CD7E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5E92DA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BD1B79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土粒密度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BE082A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土壤检测第</w:t>
                  </w:r>
                  <w:r>
                    <w:rPr>
                      <w:rFonts w:hint="default" w:ascii="Times New Roman" w:hAnsi="Times New Roman" w:eastAsia="宋体" w:cs="Times New Roman"/>
                      <w:b w:val="0"/>
                      <w:bCs w:val="0"/>
                      <w:color w:val="auto"/>
                      <w:sz w:val="21"/>
                      <w:szCs w:val="21"/>
                      <w:highlight w:val="none"/>
                    </w:rPr>
                    <w:t>23</w:t>
                  </w:r>
                  <w:r>
                    <w:rPr>
                      <w:rFonts w:hint="eastAsia" w:ascii="宋体" w:hAnsi="宋体" w:eastAsia="宋体" w:cs="宋体"/>
                      <w:b w:val="0"/>
                      <w:bCs w:val="0"/>
                      <w:color w:val="auto"/>
                      <w:sz w:val="21"/>
                      <w:szCs w:val="21"/>
                      <w:highlight w:val="none"/>
                    </w:rPr>
                    <w:t>部分土粒密度的测定</w:t>
                  </w:r>
                  <w:r>
                    <w:rPr>
                      <w:rFonts w:hint="default" w:ascii="Times New Roman" w:hAnsi="Times New Roman" w:eastAsia="宋体" w:cs="Times New Roman"/>
                      <w:b w:val="0"/>
                      <w:bCs w:val="0"/>
                      <w:color w:val="auto"/>
                      <w:sz w:val="21"/>
                      <w:szCs w:val="21"/>
                      <w:highlight w:val="none"/>
                    </w:rPr>
                    <w:t>NY-T1121.23-2010</w:t>
                  </w:r>
                </w:p>
              </w:tc>
            </w:tr>
            <w:tr w14:paraId="1435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B9EED9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restart"/>
                  <w:tcBorders>
                    <w:top w:val="single" w:color="auto" w:sz="4" w:space="0"/>
                    <w:left w:val="single" w:color="auto" w:sz="4" w:space="0"/>
                    <w:right w:val="single" w:color="auto" w:sz="4" w:space="0"/>
                  </w:tcBorders>
                  <w:noWrap w:val="0"/>
                  <w:vAlign w:val="center"/>
                </w:tcPr>
                <w:p w14:paraId="39848A6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39</w:t>
                  </w:r>
                </w:p>
              </w:tc>
              <w:tc>
                <w:tcPr>
                  <w:tcW w:w="1476" w:type="dxa"/>
                  <w:vMerge w:val="restart"/>
                  <w:tcBorders>
                    <w:top w:val="single" w:color="auto" w:sz="4" w:space="0"/>
                    <w:left w:val="single" w:color="auto" w:sz="4" w:space="0"/>
                    <w:right w:val="single" w:color="auto" w:sz="4" w:space="0"/>
                  </w:tcBorders>
                  <w:noWrap w:val="0"/>
                  <w:vAlign w:val="center"/>
                </w:tcPr>
                <w:p w14:paraId="13AE812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全盐量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3D088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全盐量</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森林土壤水溶性盐分分析</w:t>
                  </w:r>
                  <w:r>
                    <w:rPr>
                      <w:rFonts w:hint="default" w:ascii="Times New Roman" w:hAnsi="Times New Roman" w:eastAsia="宋体" w:cs="Times New Roman"/>
                      <w:b w:val="0"/>
                      <w:bCs w:val="0"/>
                      <w:color w:val="auto"/>
                      <w:sz w:val="21"/>
                      <w:szCs w:val="21"/>
                      <w:highlight w:val="none"/>
                    </w:rPr>
                    <w:t>LY7T1251-1999</w:t>
                  </w:r>
                </w:p>
              </w:tc>
            </w:tr>
            <w:tr w14:paraId="0C42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666D2E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vMerge w:val="continue"/>
                  <w:tcBorders>
                    <w:left w:val="single" w:color="auto" w:sz="4" w:space="0"/>
                    <w:bottom w:val="single" w:color="auto" w:sz="4" w:space="0"/>
                    <w:right w:val="single" w:color="auto" w:sz="4" w:space="0"/>
                  </w:tcBorders>
                  <w:noWrap w:val="0"/>
                  <w:vAlign w:val="center"/>
                </w:tcPr>
                <w:p w14:paraId="214EF56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lang w:val="en-US" w:eastAsia="zh-CN"/>
                    </w:rPr>
                  </w:pPr>
                </w:p>
              </w:tc>
              <w:tc>
                <w:tcPr>
                  <w:tcW w:w="1476" w:type="dxa"/>
                  <w:vMerge w:val="continue"/>
                  <w:tcBorders>
                    <w:left w:val="single" w:color="auto" w:sz="4" w:space="0"/>
                    <w:bottom w:val="single" w:color="auto" w:sz="4" w:space="0"/>
                    <w:right w:val="single" w:color="auto" w:sz="4" w:space="0"/>
                  </w:tcBorders>
                  <w:noWrap w:val="0"/>
                  <w:vAlign w:val="center"/>
                </w:tcPr>
                <w:p w14:paraId="22212BE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109C48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土壤检测第</w:t>
                  </w:r>
                  <w:r>
                    <w:rPr>
                      <w:rFonts w:hint="default" w:ascii="Times New Roman" w:hAnsi="Times New Roman" w:eastAsia="宋体" w:cs="Times New Roman"/>
                      <w:b w:val="0"/>
                      <w:bCs w:val="0"/>
                      <w:color w:val="auto"/>
                      <w:sz w:val="21"/>
                      <w:szCs w:val="21"/>
                      <w:highlight w:val="none"/>
                    </w:rPr>
                    <w:t>16</w:t>
                  </w:r>
                  <w:r>
                    <w:rPr>
                      <w:rFonts w:hint="eastAsia" w:ascii="宋体" w:hAnsi="宋体" w:eastAsia="宋体" w:cs="宋体"/>
                      <w:b w:val="0"/>
                      <w:bCs w:val="0"/>
                      <w:color w:val="auto"/>
                      <w:sz w:val="21"/>
                      <w:szCs w:val="21"/>
                      <w:highlight w:val="none"/>
                    </w:rPr>
                    <w:t>部分土壤水溶性盐总量的测定</w:t>
                  </w:r>
                  <w:r>
                    <w:rPr>
                      <w:rFonts w:hint="default" w:ascii="Times New Roman" w:hAnsi="Times New Roman" w:eastAsia="宋体" w:cs="Times New Roman"/>
                      <w:b w:val="0"/>
                      <w:bCs w:val="0"/>
                      <w:color w:val="auto"/>
                      <w:sz w:val="21"/>
                      <w:szCs w:val="21"/>
                      <w:highlight w:val="none"/>
                    </w:rPr>
                    <w:t>NY/T1121.16-2006</w:t>
                  </w:r>
                </w:p>
              </w:tc>
            </w:tr>
            <w:tr w14:paraId="2227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141E90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44CC4E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72BD21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水溶性氟化物和总氟化物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AE19DC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土壤</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水溶性氟化物和总氟化物的测定</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离子选择电极法</w:t>
                  </w:r>
                  <w:r>
                    <w:rPr>
                      <w:rFonts w:hint="default" w:ascii="Times New Roman" w:hAnsi="Times New Roman" w:eastAsia="宋体" w:cs="Times New Roman"/>
                      <w:b w:val="0"/>
                      <w:bCs w:val="0"/>
                      <w:color w:val="auto"/>
                      <w:sz w:val="21"/>
                      <w:szCs w:val="21"/>
                      <w:highlight w:val="none"/>
                    </w:rPr>
                    <w:t>HJ873-2017</w:t>
                  </w:r>
                </w:p>
              </w:tc>
            </w:tr>
            <w:tr w14:paraId="790E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68B962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386579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41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3CF16D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含水率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590B41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海洋监测规范第</w:t>
                  </w:r>
                  <w:r>
                    <w:rPr>
                      <w:rFonts w:hint="default" w:ascii="Times New Roman" w:hAnsi="Times New Roman" w:eastAsia="宋体" w:cs="Times New Roman"/>
                      <w:b w:val="0"/>
                      <w:bCs w:val="0"/>
                      <w:color w:val="auto"/>
                      <w:sz w:val="21"/>
                      <w:szCs w:val="21"/>
                      <w:highlight w:val="none"/>
                    </w:rPr>
                    <w:t>5</w:t>
                  </w:r>
                  <w:r>
                    <w:rPr>
                      <w:rFonts w:hint="eastAsia" w:ascii="宋体" w:hAnsi="宋体" w:eastAsia="宋体" w:cs="宋体"/>
                      <w:b w:val="0"/>
                      <w:bCs w:val="0"/>
                      <w:color w:val="auto"/>
                      <w:sz w:val="21"/>
                      <w:szCs w:val="21"/>
                      <w:highlight w:val="none"/>
                    </w:rPr>
                    <w:t>部分：沉积物分析（</w:t>
                  </w:r>
                  <w:r>
                    <w:rPr>
                      <w:rFonts w:hint="default" w:ascii="Times New Roman" w:hAnsi="Times New Roman" w:eastAsia="宋体" w:cs="Times New Roman"/>
                      <w:b w:val="0"/>
                      <w:bCs w:val="0"/>
                      <w:color w:val="auto"/>
                      <w:sz w:val="21"/>
                      <w:szCs w:val="21"/>
                      <w:highlight w:val="none"/>
                    </w:rPr>
                    <w:t>19</w:t>
                  </w:r>
                  <w:r>
                    <w:rPr>
                      <w:rFonts w:hint="eastAsia" w:ascii="宋体" w:hAnsi="宋体" w:eastAsia="宋体" w:cs="宋体"/>
                      <w:b w:val="0"/>
                      <w:bCs w:val="0"/>
                      <w:color w:val="auto"/>
                      <w:sz w:val="21"/>
                      <w:szCs w:val="21"/>
                      <w:highlight w:val="none"/>
                    </w:rPr>
                    <w:t>含水率</w:t>
                  </w:r>
                  <w:r>
                    <w:rPr>
                      <w:rFonts w:hint="default" w:ascii="Times New Roman" w:hAnsi="Times New Roman" w:eastAsia="宋体" w:cs="Times New Roman"/>
                      <w:b w:val="0"/>
                      <w:bCs w:val="0"/>
                      <w:color w:val="auto"/>
                      <w:sz w:val="21"/>
                      <w:szCs w:val="21"/>
                      <w:highlight w:val="none"/>
                    </w:rPr>
                    <w:t>-</w:t>
                  </w:r>
                  <w:r>
                    <w:rPr>
                      <w:rFonts w:hint="eastAsia" w:ascii="宋体" w:hAnsi="宋体" w:eastAsia="宋体" w:cs="宋体"/>
                      <w:b w:val="0"/>
                      <w:bCs w:val="0"/>
                      <w:color w:val="auto"/>
                      <w:sz w:val="21"/>
                      <w:szCs w:val="21"/>
                      <w:highlight w:val="none"/>
                    </w:rPr>
                    <w:t>重量法）</w:t>
                  </w:r>
                  <w:r>
                    <w:rPr>
                      <w:rFonts w:hint="default" w:ascii="Times New Roman" w:hAnsi="Times New Roman" w:eastAsia="宋体" w:cs="Times New Roman"/>
                      <w:b w:val="0"/>
                      <w:bCs w:val="0"/>
                      <w:color w:val="auto"/>
                      <w:sz w:val="21"/>
                      <w:szCs w:val="21"/>
                      <w:highlight w:val="none"/>
                    </w:rPr>
                    <w:t>GB17378.5-2007</w:t>
                  </w:r>
                </w:p>
              </w:tc>
            </w:tr>
            <w:tr w14:paraId="0781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bottom w:val="single" w:color="auto" w:sz="4" w:space="0"/>
                    <w:right w:val="single" w:color="auto" w:sz="4" w:space="0"/>
                  </w:tcBorders>
                  <w:noWrap w:val="0"/>
                  <w:vAlign w:val="center"/>
                </w:tcPr>
                <w:p w14:paraId="555800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室内</w:t>
                  </w:r>
                </w:p>
                <w:p w14:paraId="001A0BE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空气</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5265FC4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22FCA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新风量</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3DDB17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公共场所卫生检验方法</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第</w:t>
                  </w:r>
                  <w:r>
                    <w:rPr>
                      <w:rFonts w:hint="default" w:ascii="Times New Roman" w:hAnsi="Times New Roman" w:eastAsia="宋体" w:cs="Times New Roman"/>
                      <w:b w:val="0"/>
                      <w:bCs w:val="0"/>
                      <w:color w:val="auto"/>
                      <w:sz w:val="21"/>
                      <w:szCs w:val="21"/>
                      <w:highlight w:val="none"/>
                    </w:rPr>
                    <w:t>1</w:t>
                  </w:r>
                  <w:r>
                    <w:rPr>
                      <w:rFonts w:hint="eastAsia" w:ascii="宋体" w:hAnsi="宋体" w:eastAsia="宋体" w:cs="宋体"/>
                      <w:b w:val="0"/>
                      <w:bCs w:val="0"/>
                      <w:color w:val="auto"/>
                      <w:sz w:val="21"/>
                      <w:szCs w:val="21"/>
                      <w:highlight w:val="none"/>
                    </w:rPr>
                    <w:t>部分：物理因素（</w:t>
                  </w:r>
                  <w:r>
                    <w:rPr>
                      <w:rFonts w:hint="default" w:ascii="Times New Roman" w:hAnsi="Times New Roman" w:eastAsia="宋体" w:cs="Times New Roman"/>
                      <w:b w:val="0"/>
                      <w:bCs w:val="0"/>
                      <w:color w:val="auto"/>
                      <w:sz w:val="21"/>
                      <w:szCs w:val="21"/>
                      <w:highlight w:val="none"/>
                    </w:rPr>
                    <w:t>6.2</w:t>
                  </w:r>
                  <w:r>
                    <w:rPr>
                      <w:rFonts w:hint="eastAsia" w:ascii="宋体" w:hAnsi="宋体" w:eastAsia="宋体" w:cs="宋体"/>
                      <w:b w:val="0"/>
                      <w:bCs w:val="0"/>
                      <w:color w:val="auto"/>
                      <w:sz w:val="21"/>
                      <w:szCs w:val="21"/>
                      <w:highlight w:val="none"/>
                    </w:rPr>
                    <w:t>室内新风量风管法）</w:t>
                  </w:r>
                  <w:r>
                    <w:rPr>
                      <w:rFonts w:hint="default" w:ascii="Times New Roman" w:hAnsi="Times New Roman" w:eastAsia="宋体" w:cs="Times New Roman"/>
                      <w:b w:val="0"/>
                      <w:bCs w:val="0"/>
                      <w:color w:val="auto"/>
                      <w:sz w:val="21"/>
                      <w:szCs w:val="21"/>
                      <w:highlight w:val="none"/>
                    </w:rPr>
                    <w:t>GB/T18204.1-2013</w:t>
                  </w:r>
                </w:p>
              </w:tc>
            </w:tr>
            <w:tr w14:paraId="0A5E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43525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C3476D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BC734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氨</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EE049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公共场所卫生检验方法</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第</w:t>
                  </w:r>
                  <w:r>
                    <w:rPr>
                      <w:rFonts w:hint="default" w:ascii="Times New Roman" w:hAnsi="Times New Roman" w:eastAsia="宋体" w:cs="Times New Roman"/>
                      <w:b w:val="0"/>
                      <w:bCs w:val="0"/>
                      <w:color w:val="auto"/>
                      <w:sz w:val="21"/>
                      <w:szCs w:val="21"/>
                      <w:highlight w:val="none"/>
                    </w:rPr>
                    <w:t>2</w:t>
                  </w:r>
                  <w:r>
                    <w:rPr>
                      <w:rFonts w:hint="eastAsia" w:ascii="宋体" w:hAnsi="宋体" w:eastAsia="宋体" w:cs="宋体"/>
                      <w:b w:val="0"/>
                      <w:bCs w:val="0"/>
                      <w:color w:val="auto"/>
                      <w:sz w:val="21"/>
                      <w:szCs w:val="21"/>
                      <w:highlight w:val="none"/>
                    </w:rPr>
                    <w:t>部分：化学污染物（</w:t>
                  </w:r>
                  <w:r>
                    <w:rPr>
                      <w:rFonts w:hint="default" w:ascii="Times New Roman" w:hAnsi="Times New Roman" w:eastAsia="宋体" w:cs="Times New Roman"/>
                      <w:b w:val="0"/>
                      <w:bCs w:val="0"/>
                      <w:color w:val="auto"/>
                      <w:sz w:val="21"/>
                      <w:szCs w:val="21"/>
                      <w:highlight w:val="none"/>
                    </w:rPr>
                    <w:t>8.1</w:t>
                  </w:r>
                  <w:r>
                    <w:rPr>
                      <w:rFonts w:hint="eastAsia" w:ascii="宋体" w:hAnsi="宋体" w:eastAsia="宋体" w:cs="宋体"/>
                      <w:b w:val="0"/>
                      <w:bCs w:val="0"/>
                      <w:color w:val="auto"/>
                      <w:sz w:val="21"/>
                      <w:szCs w:val="21"/>
                      <w:highlight w:val="none"/>
                    </w:rPr>
                    <w:t>氨靛酚蓝分光光度法）</w:t>
                  </w:r>
                  <w:r>
                    <w:rPr>
                      <w:rFonts w:hint="default" w:ascii="Times New Roman" w:hAnsi="Times New Roman" w:eastAsia="宋体" w:cs="Times New Roman"/>
                      <w:b w:val="0"/>
                      <w:bCs w:val="0"/>
                      <w:color w:val="auto"/>
                      <w:sz w:val="21"/>
                      <w:szCs w:val="21"/>
                      <w:highlight w:val="none"/>
                    </w:rPr>
                    <w:t>GB/T18204.2-2014</w:t>
                  </w:r>
                </w:p>
              </w:tc>
            </w:tr>
            <w:tr w14:paraId="4B49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C2E4FD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0C56A4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98C711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甲醛</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E91B29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居住区大气中甲醛卫生检验标准方法</w:t>
                  </w:r>
                  <w:r>
                    <w:rPr>
                      <w:rFonts w:hint="default" w:ascii="Times New Roman" w:hAnsi="Times New Roman" w:eastAsia="宋体" w:cs="Times New Roman"/>
                      <w:b w:val="0"/>
                      <w:bCs w:val="0"/>
                      <w:color w:val="auto"/>
                      <w:sz w:val="21"/>
                      <w:szCs w:val="21"/>
                      <w:highlight w:val="none"/>
                    </w:rPr>
                    <w:t xml:space="preserve"> </w:t>
                  </w:r>
                  <w:r>
                    <w:rPr>
                      <w:rFonts w:hint="eastAsia" w:ascii="宋体" w:hAnsi="宋体" w:eastAsia="宋体" w:cs="宋体"/>
                      <w:b w:val="0"/>
                      <w:bCs w:val="0"/>
                      <w:color w:val="auto"/>
                      <w:sz w:val="21"/>
                      <w:szCs w:val="21"/>
                      <w:highlight w:val="none"/>
                    </w:rPr>
                    <w:t>分光光度法</w:t>
                  </w:r>
                  <w:r>
                    <w:rPr>
                      <w:rFonts w:hint="default" w:ascii="Times New Roman" w:hAnsi="Times New Roman" w:eastAsia="宋体" w:cs="Times New Roman"/>
                      <w:b w:val="0"/>
                      <w:bCs w:val="0"/>
                      <w:color w:val="auto"/>
                      <w:sz w:val="21"/>
                      <w:szCs w:val="21"/>
                      <w:highlight w:val="none"/>
                    </w:rPr>
                    <w:t>GB/T16129-1995</w:t>
                  </w:r>
                </w:p>
              </w:tc>
            </w:tr>
            <w:tr w14:paraId="61C0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5C95BB9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2BD764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08D0F1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氡</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84EBD4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民用建筑工程室内环境污染控制标准</w:t>
                  </w:r>
                  <w:r>
                    <w:rPr>
                      <w:rFonts w:hint="default" w:ascii="Times New Roman" w:hAnsi="Times New Roman" w:eastAsia="宋体" w:cs="Times New Roman"/>
                      <w:b w:val="0"/>
                      <w:bCs w:val="0"/>
                      <w:color w:val="auto"/>
                      <w:sz w:val="21"/>
                      <w:szCs w:val="21"/>
                      <w:highlight w:val="none"/>
                    </w:rPr>
                    <w:t>GB 50325-2020</w:t>
                  </w:r>
                  <w:r>
                    <w:rPr>
                      <w:rFonts w:hint="eastAsia" w:ascii="宋体" w:hAnsi="宋体" w:eastAsia="宋体" w:cs="宋体"/>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6.0.6</w:t>
                  </w:r>
                  <w:r>
                    <w:rPr>
                      <w:rFonts w:hint="eastAsia" w:ascii="宋体" w:hAnsi="宋体" w:eastAsia="宋体" w:cs="宋体"/>
                      <w:b w:val="0"/>
                      <w:bCs w:val="0"/>
                      <w:color w:val="auto"/>
                      <w:sz w:val="21"/>
                      <w:szCs w:val="21"/>
                      <w:highlight w:val="none"/>
                    </w:rPr>
                    <w:t>）</w:t>
                  </w:r>
                </w:p>
              </w:tc>
            </w:tr>
            <w:tr w14:paraId="65D8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52FC67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F90AB1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7F5F9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885D91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民用建筑工程室内环境污染控制标准</w:t>
                  </w:r>
                  <w:r>
                    <w:rPr>
                      <w:rFonts w:hint="default" w:ascii="Times New Roman" w:hAnsi="Times New Roman" w:eastAsia="宋体" w:cs="Times New Roman"/>
                      <w:b w:val="0"/>
                      <w:bCs w:val="0"/>
                      <w:color w:val="auto"/>
                      <w:sz w:val="21"/>
                      <w:szCs w:val="21"/>
                      <w:highlight w:val="none"/>
                    </w:rPr>
                    <w:t>GB50325-2020</w:t>
                  </w:r>
                  <w:r>
                    <w:rPr>
                      <w:rFonts w:hint="eastAsia" w:ascii="宋体" w:hAnsi="宋体" w:eastAsia="宋体" w:cs="宋体"/>
                      <w:b w:val="0"/>
                      <w:bCs w:val="0"/>
                      <w:color w:val="auto"/>
                      <w:sz w:val="21"/>
                      <w:szCs w:val="21"/>
                      <w:highlight w:val="none"/>
                    </w:rPr>
                    <w:t>（附录</w:t>
                  </w:r>
                  <w:r>
                    <w:rPr>
                      <w:rFonts w:hint="default" w:ascii="Times New Roman" w:hAnsi="Times New Roman" w:eastAsia="宋体" w:cs="Times New Roman"/>
                      <w:b w:val="0"/>
                      <w:bCs w:val="0"/>
                      <w:color w:val="auto"/>
                      <w:sz w:val="21"/>
                      <w:szCs w:val="21"/>
                      <w:highlight w:val="none"/>
                    </w:rPr>
                    <w:t>D</w:t>
                  </w:r>
                  <w:r>
                    <w:rPr>
                      <w:rFonts w:hint="eastAsia" w:ascii="宋体" w:hAnsi="宋体" w:eastAsia="宋体" w:cs="宋体"/>
                      <w:b w:val="0"/>
                      <w:bCs w:val="0"/>
                      <w:color w:val="auto"/>
                      <w:sz w:val="21"/>
                      <w:szCs w:val="21"/>
                      <w:highlight w:val="none"/>
                    </w:rPr>
                    <w:t>）</w:t>
                  </w:r>
                </w:p>
              </w:tc>
            </w:tr>
            <w:tr w14:paraId="41C5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4F5E2A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118683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407857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甲苯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684CE0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民用建筑工程室内环境污染控制标准</w:t>
                  </w:r>
                  <w:r>
                    <w:rPr>
                      <w:rFonts w:hint="default" w:ascii="Times New Roman" w:hAnsi="Times New Roman" w:eastAsia="宋体" w:cs="Times New Roman"/>
                      <w:b w:val="0"/>
                      <w:bCs w:val="0"/>
                      <w:color w:val="auto"/>
                      <w:sz w:val="21"/>
                      <w:szCs w:val="21"/>
                      <w:highlight w:val="none"/>
                    </w:rPr>
                    <w:t xml:space="preserve"> GB 50325-2020 </w:t>
                  </w:r>
                  <w:r>
                    <w:rPr>
                      <w:rFonts w:hint="eastAsia" w:ascii="宋体" w:hAnsi="宋体" w:eastAsia="宋体" w:cs="宋体"/>
                      <w:b w:val="0"/>
                      <w:bCs w:val="0"/>
                      <w:color w:val="auto"/>
                      <w:sz w:val="21"/>
                      <w:szCs w:val="21"/>
                      <w:highlight w:val="none"/>
                    </w:rPr>
                    <w:t>（附录</w:t>
                  </w:r>
                  <w:r>
                    <w:rPr>
                      <w:rFonts w:hint="default" w:ascii="Times New Roman" w:hAnsi="Times New Roman" w:eastAsia="宋体" w:cs="Times New Roman"/>
                      <w:b w:val="0"/>
                      <w:bCs w:val="0"/>
                      <w:color w:val="auto"/>
                      <w:sz w:val="21"/>
                      <w:szCs w:val="21"/>
                      <w:highlight w:val="none"/>
                    </w:rPr>
                    <w:t>D</w:t>
                  </w:r>
                  <w:r>
                    <w:rPr>
                      <w:rFonts w:hint="eastAsia" w:ascii="宋体" w:hAnsi="宋体" w:eastAsia="宋体" w:cs="宋体"/>
                      <w:b w:val="0"/>
                      <w:bCs w:val="0"/>
                      <w:color w:val="auto"/>
                      <w:sz w:val="21"/>
                      <w:szCs w:val="21"/>
                      <w:highlight w:val="none"/>
                    </w:rPr>
                    <w:t>）</w:t>
                  </w:r>
                </w:p>
              </w:tc>
            </w:tr>
            <w:tr w14:paraId="160C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300E30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5C364A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CD4AF1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二甲苯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D76EB6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民用建筑工程室内环境污染控制标准</w:t>
                  </w:r>
                  <w:r>
                    <w:rPr>
                      <w:rFonts w:hint="default" w:ascii="Times New Roman" w:hAnsi="Times New Roman" w:eastAsia="宋体" w:cs="Times New Roman"/>
                      <w:b w:val="0"/>
                      <w:bCs w:val="0"/>
                      <w:color w:val="auto"/>
                      <w:sz w:val="21"/>
                      <w:szCs w:val="21"/>
                      <w:highlight w:val="none"/>
                    </w:rPr>
                    <w:t xml:space="preserve"> GB 50325-2020</w:t>
                  </w:r>
                  <w:r>
                    <w:rPr>
                      <w:rFonts w:hint="eastAsia" w:ascii="宋体" w:hAnsi="宋体" w:eastAsia="宋体" w:cs="宋体"/>
                      <w:b w:val="0"/>
                      <w:bCs w:val="0"/>
                      <w:color w:val="auto"/>
                      <w:sz w:val="21"/>
                      <w:szCs w:val="21"/>
                      <w:highlight w:val="none"/>
                    </w:rPr>
                    <w:t>（附录</w:t>
                  </w:r>
                  <w:r>
                    <w:rPr>
                      <w:rFonts w:hint="default" w:ascii="Times New Roman" w:hAnsi="Times New Roman" w:eastAsia="宋体" w:cs="Times New Roman"/>
                      <w:b w:val="0"/>
                      <w:bCs w:val="0"/>
                      <w:color w:val="auto"/>
                      <w:sz w:val="21"/>
                      <w:szCs w:val="21"/>
                      <w:highlight w:val="none"/>
                    </w:rPr>
                    <w:t>D</w:t>
                  </w:r>
                  <w:r>
                    <w:rPr>
                      <w:rFonts w:hint="eastAsia" w:ascii="宋体" w:hAnsi="宋体" w:eastAsia="宋体" w:cs="宋体"/>
                      <w:b w:val="0"/>
                      <w:bCs w:val="0"/>
                      <w:color w:val="auto"/>
                      <w:sz w:val="21"/>
                      <w:szCs w:val="21"/>
                      <w:highlight w:val="none"/>
                    </w:rPr>
                    <w:t>）</w:t>
                  </w:r>
                </w:p>
              </w:tc>
            </w:tr>
            <w:tr w14:paraId="3F0B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top w:val="single" w:color="auto" w:sz="4" w:space="0"/>
                    <w:left w:val="single" w:color="auto" w:sz="4" w:space="0"/>
                    <w:bottom w:val="single" w:color="auto" w:sz="4" w:space="0"/>
                    <w:right w:val="single" w:color="auto" w:sz="4" w:space="0"/>
                  </w:tcBorders>
                  <w:noWrap w:val="0"/>
                  <w:vAlign w:val="center"/>
                </w:tcPr>
                <w:p w14:paraId="04DF289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1A1CF7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eastAsia="zh-CN"/>
                    </w:rPr>
                  </w:pPr>
                  <w:r>
                    <w:rPr>
                      <w:rFonts w:hint="eastAsia"/>
                      <w:bCs/>
                      <w:color w:val="auto"/>
                      <w:sz w:val="21"/>
                      <w:szCs w:val="21"/>
                      <w:highlight w:val="none"/>
                      <w:lang w:val="en-US" w:eastAsia="zh-CN"/>
                    </w:rPr>
                    <w:t>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D3BBE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总挥发性有机化合物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188F39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民用建筑工程室内环境污染控制标准</w:t>
                  </w:r>
                  <w:r>
                    <w:rPr>
                      <w:rFonts w:hint="default" w:ascii="Times New Roman" w:hAnsi="Times New Roman" w:eastAsia="宋体" w:cs="Times New Roman"/>
                      <w:b w:val="0"/>
                      <w:bCs w:val="0"/>
                      <w:color w:val="auto"/>
                      <w:sz w:val="21"/>
                      <w:szCs w:val="21"/>
                      <w:highlight w:val="none"/>
                    </w:rPr>
                    <w:t xml:space="preserve"> GB 50325-2020 </w:t>
                  </w:r>
                  <w:r>
                    <w:rPr>
                      <w:rFonts w:hint="eastAsia" w:ascii="宋体" w:hAnsi="宋体" w:eastAsia="宋体" w:cs="宋体"/>
                      <w:b w:val="0"/>
                      <w:bCs w:val="0"/>
                      <w:color w:val="auto"/>
                      <w:sz w:val="21"/>
                      <w:szCs w:val="21"/>
                      <w:highlight w:val="none"/>
                    </w:rPr>
                    <w:t>（附录</w:t>
                  </w:r>
                  <w:r>
                    <w:rPr>
                      <w:rFonts w:hint="default" w:ascii="Times New Roman" w:hAnsi="Times New Roman" w:eastAsia="宋体" w:cs="Times New Roman"/>
                      <w:b w:val="0"/>
                      <w:bCs w:val="0"/>
                      <w:color w:val="auto"/>
                      <w:sz w:val="21"/>
                      <w:szCs w:val="21"/>
                      <w:highlight w:val="none"/>
                    </w:rPr>
                    <w:t>E</w:t>
                  </w:r>
                  <w:r>
                    <w:rPr>
                      <w:rFonts w:hint="eastAsia" w:ascii="宋体" w:hAnsi="宋体" w:eastAsia="宋体" w:cs="宋体"/>
                      <w:b w:val="0"/>
                      <w:bCs w:val="0"/>
                      <w:color w:val="auto"/>
                      <w:sz w:val="21"/>
                      <w:szCs w:val="21"/>
                      <w:highlight w:val="none"/>
                    </w:rPr>
                    <w:t>）</w:t>
                  </w:r>
                </w:p>
              </w:tc>
            </w:tr>
            <w:tr w14:paraId="2BCE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right w:val="single" w:color="auto" w:sz="4" w:space="0"/>
                  </w:tcBorders>
                  <w:noWrap w:val="0"/>
                  <w:vAlign w:val="center"/>
                </w:tcPr>
                <w:p w14:paraId="487D84B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非道路移动柴油机械</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375801B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6C7E60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ascii="宋体" w:hAnsi="宋体" w:eastAsia="宋体" w:cs="宋体"/>
                      <w:b w:val="0"/>
                      <w:bCs w:val="0"/>
                      <w:color w:val="auto"/>
                      <w:sz w:val="21"/>
                      <w:szCs w:val="21"/>
                      <w:highlight w:val="none"/>
                    </w:rPr>
                    <w:t>光吸收系数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8DDAF3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非道路移动柴油机械排气烟度限值及测量方法（</w:t>
                  </w:r>
                  <w:r>
                    <w:rPr>
                      <w:rFonts w:hint="default" w:ascii="Times New Roman" w:hAnsi="Times New Roman" w:eastAsia="宋体" w:cs="Times New Roman"/>
                      <w:b w:val="0"/>
                      <w:bCs w:val="0"/>
                      <w:color w:val="auto"/>
                      <w:sz w:val="21"/>
                      <w:szCs w:val="21"/>
                      <w:highlight w:val="none"/>
                    </w:rPr>
                    <w:t>5.2.1</w:t>
                  </w:r>
                  <w:r>
                    <w:rPr>
                      <w:rFonts w:hint="eastAsia" w:ascii="宋体" w:hAnsi="宋体" w:eastAsia="宋体" w:cs="宋体"/>
                      <w:b w:val="0"/>
                      <w:bCs w:val="0"/>
                      <w:color w:val="auto"/>
                      <w:sz w:val="21"/>
                      <w:szCs w:val="21"/>
                      <w:highlight w:val="none"/>
                    </w:rPr>
                    <w:t>不透光烟度法）</w:t>
                  </w:r>
                  <w:r>
                    <w:rPr>
                      <w:rFonts w:hint="default" w:ascii="Times New Roman" w:hAnsi="Times New Roman" w:eastAsia="宋体" w:cs="Times New Roman"/>
                      <w:b w:val="0"/>
                      <w:bCs w:val="0"/>
                      <w:color w:val="auto"/>
                      <w:sz w:val="21"/>
                      <w:szCs w:val="21"/>
                      <w:highlight w:val="none"/>
                    </w:rPr>
                    <w:t>GB36886-2018</w:t>
                  </w:r>
                </w:p>
              </w:tc>
            </w:tr>
            <w:tr w14:paraId="7A03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bottom w:val="single" w:color="auto" w:sz="4" w:space="0"/>
                    <w:right w:val="single" w:color="auto" w:sz="4" w:space="0"/>
                  </w:tcBorders>
                  <w:noWrap w:val="0"/>
                  <w:vAlign w:val="center"/>
                </w:tcPr>
                <w:p w14:paraId="7480CB8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B80ADD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0789C0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ascii="宋体" w:hAnsi="宋体" w:eastAsia="宋体" w:cs="宋体"/>
                      <w:b w:val="0"/>
                      <w:bCs w:val="0"/>
                      <w:color w:val="auto"/>
                      <w:sz w:val="21"/>
                      <w:szCs w:val="21"/>
                      <w:highlight w:val="none"/>
                    </w:rPr>
                    <w:t>林格曼黑度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85E3CE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非道路移动柴油机械排气烟度限值及测量方法</w:t>
                  </w:r>
                  <w:r>
                    <w:rPr>
                      <w:rFonts w:hint="default" w:ascii="Times New Roman" w:hAnsi="Times New Roman" w:eastAsia="宋体" w:cs="Times New Roman"/>
                      <w:b w:val="0"/>
                      <w:bCs w:val="0"/>
                      <w:color w:val="auto"/>
                      <w:sz w:val="21"/>
                      <w:szCs w:val="21"/>
                      <w:highlight w:val="none"/>
                    </w:rPr>
                    <w:t>(</w:t>
                  </w:r>
                  <w:r>
                    <w:rPr>
                      <w:rFonts w:hint="eastAsia" w:ascii="宋体" w:hAnsi="宋体" w:eastAsia="宋体" w:cs="宋体"/>
                      <w:b w:val="0"/>
                      <w:bCs w:val="0"/>
                      <w:color w:val="auto"/>
                      <w:sz w:val="21"/>
                      <w:szCs w:val="21"/>
                      <w:highlight w:val="none"/>
                    </w:rPr>
                    <w:t>附录</w:t>
                  </w:r>
                  <w:r>
                    <w:rPr>
                      <w:rFonts w:hint="default" w:ascii="Times New Roman" w:hAnsi="Times New Roman" w:eastAsia="宋体" w:cs="Times New Roman"/>
                      <w:b w:val="0"/>
                      <w:bCs w:val="0"/>
                      <w:color w:val="auto"/>
                      <w:sz w:val="21"/>
                      <w:szCs w:val="21"/>
                      <w:highlight w:val="none"/>
                    </w:rPr>
                    <w:t xml:space="preserve">B </w:t>
                  </w:r>
                  <w:r>
                    <w:rPr>
                      <w:rFonts w:hint="eastAsia" w:ascii="宋体" w:hAnsi="宋体" w:eastAsia="宋体" w:cs="宋体"/>
                      <w:b w:val="0"/>
                      <w:bCs w:val="0"/>
                      <w:color w:val="auto"/>
                      <w:sz w:val="21"/>
                      <w:szCs w:val="21"/>
                      <w:highlight w:val="none"/>
                    </w:rPr>
                    <w:t>林格曼烟法</w:t>
                  </w:r>
                  <w:r>
                    <w:rPr>
                      <w:rFonts w:hint="default" w:ascii="Times New Roman" w:hAnsi="Times New Roman" w:eastAsia="宋体" w:cs="Times New Roman"/>
                      <w:b w:val="0"/>
                      <w:bCs w:val="0"/>
                      <w:color w:val="auto"/>
                      <w:sz w:val="21"/>
                      <w:szCs w:val="21"/>
                      <w:highlight w:val="none"/>
                    </w:rPr>
                    <w:t>)GB36886-2018</w:t>
                  </w:r>
                </w:p>
              </w:tc>
            </w:tr>
            <w:tr w14:paraId="790F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restart"/>
                  <w:tcBorders>
                    <w:top w:val="single" w:color="auto" w:sz="4" w:space="0"/>
                    <w:left w:val="single" w:color="auto" w:sz="4" w:space="0"/>
                    <w:right w:val="single" w:color="auto" w:sz="4" w:space="0"/>
                  </w:tcBorders>
                  <w:noWrap w:val="0"/>
                  <w:vAlign w:val="center"/>
                </w:tcPr>
                <w:p w14:paraId="74493D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生活饮用水</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144B47D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4A2C4B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色度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57FBD1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生活饮用水标准检验方法第4部分：感官性状和物理指标GB/T5750.4-2023 4.1铂-钴标准比色法</w:t>
                  </w:r>
                </w:p>
              </w:tc>
            </w:tr>
            <w:tr w14:paraId="7F1D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8463D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1A8A4C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0CE78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浑浊度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1B1F23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第4部分：感官性状和物理指标GB/T5750.4-2023</w:t>
                  </w:r>
                  <w:r>
                    <w:rPr>
                      <w:rFonts w:hint="eastAsia"/>
                      <w:bCs/>
                      <w:color w:val="auto"/>
                      <w:sz w:val="21"/>
                      <w:szCs w:val="21"/>
                      <w:highlight w:val="none"/>
                      <w:lang w:val="en-US" w:eastAsia="zh-CN"/>
                    </w:rPr>
                    <w:t xml:space="preserve"> </w:t>
                  </w:r>
                  <w:r>
                    <w:rPr>
                      <w:rFonts w:hint="eastAsia"/>
                      <w:bCs/>
                      <w:color w:val="auto"/>
                      <w:sz w:val="21"/>
                      <w:szCs w:val="21"/>
                      <w:highlight w:val="none"/>
                    </w:rPr>
                    <w:t>5.2目视比浊法-福尔马肼标准</w:t>
                  </w:r>
                </w:p>
              </w:tc>
            </w:tr>
            <w:tr w14:paraId="6201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0F5D40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904A35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E7E537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臭和味</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C2D2B7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第4部分：感官性状和物理指标GB/T 5750.4-2023 6.1 嗅气和尝味法</w:t>
                  </w:r>
                </w:p>
              </w:tc>
            </w:tr>
            <w:tr w14:paraId="0513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33CA6A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FF01D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122107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肉眼可见物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47004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第4部分：感官性状和物理指标GB/T 5750.4-2023 7.1 直接观察法</w:t>
                  </w:r>
                </w:p>
              </w:tc>
            </w:tr>
            <w:tr w14:paraId="2E95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E68552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0FC3F5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B5D959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pH值</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E7B714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第4部分：感官性状和物理指标GB/T 5750.4-2023 8.1 玻璃电极法</w:t>
                  </w:r>
                </w:p>
              </w:tc>
            </w:tr>
            <w:tr w14:paraId="4231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D678D8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760767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1624C8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电导率</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FA0869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 GB/T 5750.4-2023 9.1电极法</w:t>
                  </w:r>
                </w:p>
              </w:tc>
            </w:tr>
            <w:tr w14:paraId="324A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51E9AB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E340A6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4E6F61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总硬度</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9B6545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 GB/T 5750.4-2023 10.1乙二胺四乙酸二钠滴定法</w:t>
                  </w:r>
                </w:p>
              </w:tc>
            </w:tr>
            <w:tr w14:paraId="0FA5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0FD274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F2D18D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D6D1FC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溶解性总固体</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F93E6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 GB/T 5750.4-2023 11.1 称重法</w:t>
                  </w:r>
                </w:p>
              </w:tc>
            </w:tr>
            <w:tr w14:paraId="2B98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1C13F7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65D28F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F1AE7A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阴离子合成洗涤剂</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20AC46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第4部分：感官性状和物理指标 GB/T 5750.4-2023 13.1 亚甲蓝分光光度法</w:t>
                  </w:r>
                </w:p>
              </w:tc>
            </w:tr>
            <w:tr w14:paraId="4E7A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5DE4441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7DD2B9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223470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硫酸盐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737BCB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 GB/T 5750.5-2023 4.2 离子色谱法4.3铬酸钡分光光度法（热法）4.4铬酸钡分光光度法（冷法）</w:t>
                  </w:r>
                </w:p>
              </w:tc>
            </w:tr>
            <w:tr w14:paraId="67CF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B34EF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768578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D26483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氯化物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A5B144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 GB/T 5750.5-2023 5.1硝酸银容量法5.2离子色谱法</w:t>
                  </w:r>
                </w:p>
              </w:tc>
            </w:tr>
            <w:tr w14:paraId="5920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A11004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F3B902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1FF875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氟化物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F675E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 GB/T 5750.5-2023 6.1离子选择电极法6.2离子色谱法</w:t>
                  </w:r>
                </w:p>
              </w:tc>
            </w:tr>
            <w:tr w14:paraId="3D23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0502FE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2B597A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290642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氰化物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452AE4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 GB/T 5750.5-2023 7.1异烟酸-吡唑啉酮分光光度法</w:t>
                  </w:r>
                </w:p>
              </w:tc>
            </w:tr>
            <w:tr w14:paraId="0F79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711C32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D6A55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5472F1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硝酸盐（以N计）</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AC1B5E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第5部分：无机非金属指标GB/T5750.5-2023 8.2紫外分光光度法8.3离子色谱法</w:t>
                  </w:r>
                </w:p>
              </w:tc>
            </w:tr>
            <w:tr w14:paraId="3CC1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707C3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A364C8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default"/>
                      <w:bCs/>
                      <w:color w:val="auto"/>
                      <w:sz w:val="21"/>
                      <w:szCs w:val="21"/>
                      <w:highlight w:val="none"/>
                    </w:rPr>
                    <w:t>15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A2F0AA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ascii="宋体" w:hAnsi="宋体" w:eastAsia="宋体" w:cs="宋体"/>
                      <w:b w:val="0"/>
                      <w:bCs w:val="0"/>
                      <w:color w:val="auto"/>
                      <w:sz w:val="21"/>
                      <w:szCs w:val="21"/>
                      <w:highlight w:val="none"/>
                    </w:rPr>
                    <w:t>硫化物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CA7682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r>
                    <w:rPr>
                      <w:rFonts w:hint="eastAsia"/>
                      <w:bCs/>
                      <w:color w:val="auto"/>
                      <w:sz w:val="21"/>
                      <w:szCs w:val="21"/>
                      <w:highlight w:val="none"/>
                    </w:rPr>
                    <w:t>生活饮用水标准检验方法 第5部分：无机非金属指标GB/T5750.5-2023 9.1N,N-二乙基对苯二胺分光光度法</w:t>
                  </w:r>
                </w:p>
              </w:tc>
            </w:tr>
            <w:tr w14:paraId="5D96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48BAA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96C9E2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2CB775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磷酸盐</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9EEFC6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第5部分：无机非金属指标 GB/T5750.5-2023 10.1磷钼蓝分光光度法</w:t>
                  </w:r>
                </w:p>
              </w:tc>
            </w:tr>
            <w:tr w14:paraId="3C46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FBA89B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420FB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39DFE3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氨</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9516AE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第5部分：无机非金属指标 GB/T5750.5-2023 11.1纳氏试剂分光光度法</w:t>
                  </w:r>
                </w:p>
              </w:tc>
            </w:tr>
            <w:tr w14:paraId="4A72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6A091F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31C8F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1EAC82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Times New Roman" w:hAnsi="Times New Roman" w:eastAsia="宋体" w:cs="Times New Roman"/>
                      <w:bCs/>
                      <w:color w:val="auto"/>
                      <w:sz w:val="21"/>
                      <w:szCs w:val="21"/>
                      <w:highlight w:val="none"/>
                    </w:rPr>
                    <w:t>亚硝酸盐（以N计）</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8CF0F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第5部分：无机非金属指标 GB/T 5750.5-2023 12.1 重氮偶合分光光度法</w:t>
                  </w:r>
                </w:p>
              </w:tc>
            </w:tr>
            <w:tr w14:paraId="49BD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910DB0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D4B44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19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96794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铝</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E164F9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4.1 铬天青S分光光度法</w:t>
                  </w:r>
                </w:p>
              </w:tc>
            </w:tr>
            <w:tr w14:paraId="16F1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D83112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4B482A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8AB00B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铁</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03F670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生活饮用水标准检验方法第6部分：金属和类金属指标GB/T5750.6-2023 5.1 火焰原子吸收分光光度法</w:t>
                  </w:r>
                </w:p>
              </w:tc>
            </w:tr>
            <w:tr w14:paraId="4CE5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2365E9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47267A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1E9E81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143E64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第6部分：金属和类金属指标GB/T5750.6-2023 6.1火焰原子吸收分光光度法</w:t>
                  </w:r>
                </w:p>
              </w:tc>
            </w:tr>
            <w:tr w14:paraId="29DA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111741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699A2B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FA46F7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铜</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C83389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第6部分：金属和类金属指标GB/T5750.6-2023 7.1无火焰原子吸收分光光度法</w:t>
                  </w:r>
                </w:p>
              </w:tc>
            </w:tr>
            <w:tr w14:paraId="75AF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D0C64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D90D9D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92F8EC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锌</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044BE6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第6部分：金属和类金属指标GB/T5750.6-2023 8.1 火焰原子吸收分光光度法</w:t>
                  </w:r>
                </w:p>
              </w:tc>
            </w:tr>
            <w:tr w14:paraId="4844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6A0E9B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8773EF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69A2C5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C0B3F6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生活饮用水标准检验方法第6部分：金属和类金属指标GB/T5750.6-2023 9.1氢化物原子荧光法</w:t>
                  </w:r>
                </w:p>
              </w:tc>
            </w:tr>
            <w:tr w14:paraId="6B0C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92C9D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849F77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25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0B18DE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硒</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6617A6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ascii="Times New Roman" w:hAnsi="Times New Roman" w:eastAsia="宋体" w:cs="Times New Roman"/>
                      <w:bCs/>
                      <w:color w:val="auto"/>
                      <w:sz w:val="21"/>
                      <w:szCs w:val="21"/>
                      <w:highlight w:val="none"/>
                    </w:rPr>
                    <w:t>生活饮用水标准检验方法第6部分：金属和类金属指标GB/T5750.6-2023 10.1氢化物原子荧光法</w:t>
                  </w:r>
                </w:p>
              </w:tc>
            </w:tr>
            <w:tr w14:paraId="6E1C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A35888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284B06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BAF7D9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汞</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C579A6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Cs/>
                      <w:color w:val="auto"/>
                      <w:sz w:val="21"/>
                      <w:szCs w:val="21"/>
                      <w:highlight w:val="none"/>
                    </w:rPr>
                  </w:pPr>
                  <w:r>
                    <w:rPr>
                      <w:rFonts w:hint="eastAsia"/>
                      <w:bCs/>
                      <w:color w:val="auto"/>
                      <w:sz w:val="21"/>
                      <w:szCs w:val="21"/>
                      <w:highlight w:val="none"/>
                    </w:rPr>
                    <w:t>生活饮用水标准检验方法 第6部分：金属和类金属指标GB/T 5750.6-2023 11.1原子荧光法</w:t>
                  </w:r>
                </w:p>
              </w:tc>
            </w:tr>
            <w:tr w14:paraId="7E49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FBE7A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DB94F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eastAsia="宋体"/>
                      <w:bCs/>
                      <w:color w:val="auto"/>
                      <w:sz w:val="21"/>
                      <w:szCs w:val="21"/>
                      <w:highlight w:val="none"/>
                      <w:lang w:val="en-US" w:eastAsia="zh-CN"/>
                    </w:rPr>
                  </w:pPr>
                  <w:r>
                    <w:rPr>
                      <w:rFonts w:hint="eastAsia"/>
                      <w:bCs/>
                      <w:color w:val="auto"/>
                      <w:sz w:val="21"/>
                      <w:szCs w:val="21"/>
                      <w:highlight w:val="none"/>
                      <w:lang w:val="en-US" w:eastAsia="zh-CN"/>
                    </w:rPr>
                    <w:t>27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91CEC9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镉</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5FD650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12.1无火焰原子吸收分光光度法</w:t>
                  </w:r>
                </w:p>
              </w:tc>
            </w:tr>
            <w:tr w14:paraId="612D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1FB8AD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BDA80CA">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141DDB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铬（六价）</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44F1EE2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13.1二苯碳酰二肼分光光度法</w:t>
                  </w:r>
                </w:p>
              </w:tc>
            </w:tr>
            <w:tr w14:paraId="124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0327E96">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p w14:paraId="2617831A">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4BB129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29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33157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铅</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33A60D4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14.1无火焰原子吸收分光光度法</w:t>
                  </w:r>
                </w:p>
              </w:tc>
            </w:tr>
            <w:tr w14:paraId="455F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AF901D8">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302264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BA1B85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银</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4DDCE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15.1无火焰原子吸收分光光度法</w:t>
                  </w:r>
                </w:p>
              </w:tc>
            </w:tr>
            <w:tr w14:paraId="4ED6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35B779B">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123DAE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405043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镍</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D6E27F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18.1无火焰原子吸收分光光度法</w:t>
                  </w:r>
                </w:p>
              </w:tc>
            </w:tr>
            <w:tr w14:paraId="4F01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A859DC4">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2C8479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9F3B23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锑</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CF7AA9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 金属和类金属指标 GB/T 5750.6-2023 22.1 氢化物原子荧光法</w:t>
                  </w:r>
                </w:p>
              </w:tc>
            </w:tr>
            <w:tr w14:paraId="730E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6BD5477B">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1018B70">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3C6653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钠</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9B5E03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第6部分：金属和类金属指标 GB/T 5750.6-2023 25.1火焰原子吸收分光光度法</w:t>
                  </w:r>
                </w:p>
              </w:tc>
            </w:tr>
            <w:tr w14:paraId="6F15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7FEEA34">
                  <w:pPr>
                    <w:pStyle w:val="9"/>
                    <w:keepNext w:val="0"/>
                    <w:keepLines w:val="0"/>
                    <w:suppressLineNumbers w:val="0"/>
                    <w:spacing w:before="0" w:beforeAutospacing="0" w:after="0" w:afterAutospacing="0"/>
                    <w:ind w:left="0" w:right="0"/>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FDD0D2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3369E0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高锰酸盐指数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C60271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第7部分：有机物综合指标 GB/T 5750.7-2023 4.1酸性高锰酸钾滴定法</w:t>
                  </w:r>
                </w:p>
              </w:tc>
            </w:tr>
            <w:tr w14:paraId="0E76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3F22978">
                  <w:pPr>
                    <w:pStyle w:val="9"/>
                    <w:keepNext w:val="0"/>
                    <w:keepLines w:val="0"/>
                    <w:suppressLineNumbers w:val="0"/>
                    <w:spacing w:before="0" w:beforeAutospacing="0" w:after="0" w:afterAutospacing="0"/>
                    <w:ind w:left="0" w:right="0"/>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903AA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62BB8D6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18EA26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第8部分：有机物指标 GB/T 5750.8-2023 21.1 液液萃取毛细管柱气相色谱法</w:t>
                  </w:r>
                </w:p>
              </w:tc>
            </w:tr>
            <w:tr w14:paraId="15D3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7BBFA776">
                  <w:pPr>
                    <w:pStyle w:val="8"/>
                    <w:keepNext w:val="0"/>
                    <w:keepLines w:val="0"/>
                    <w:suppressLineNumbers w:val="0"/>
                    <w:spacing w:beforeAutospacing="0" w:afterAutospacing="0"/>
                    <w:ind w:left="0"/>
                    <w:rPr>
                      <w:rFonts w:hint="default"/>
                      <w:color w:val="auto"/>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B2F137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36</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66CD44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甲苯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B55FC94">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第8部分：有机物指标 GB/T 5750.8-2023 22.2液液萃取毛细管柱气相色谱法</w:t>
                  </w:r>
                </w:p>
              </w:tc>
            </w:tr>
            <w:tr w14:paraId="28BC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951955D">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FBD135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37</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35CBE3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乙苯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D00E3A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第8部分：有机物指标 GB/T 5750.8-2023 24.2 液液萃取毛细管柱气相色谱法</w:t>
                  </w:r>
                </w:p>
              </w:tc>
            </w:tr>
            <w:tr w14:paraId="26F3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8594FD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07A7549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38</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562883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二甲苯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AC0714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第8部分：有机物指标 GB/T 5750.8-2023 23.2液液萃取毛细管柱气相色谱法</w:t>
                  </w:r>
                </w:p>
              </w:tc>
            </w:tr>
            <w:tr w14:paraId="0196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66D3BA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4478F6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39</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0894CE5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苯乙烯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91048C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第8部分：有机物指标 GB/T 5750.8-2023 38.1液液萃取毛细管柱气相色谱法</w:t>
                  </w:r>
                </w:p>
              </w:tc>
            </w:tr>
            <w:tr w14:paraId="02F0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377D6F0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9746ED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40</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6E56465">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游离氯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1970AF91">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第11部分：消毒剂指标 GB/T 5750.11-2023 4.1 N，N-二乙基对苯二胺（DPD）分光光度法 4. 2 3,3’</w:t>
                  </w:r>
                  <w:r>
                    <w:rPr>
                      <w:rFonts w:hint="eastAsia"/>
                      <w:bCs/>
                      <w:color w:val="auto"/>
                      <w:sz w:val="21"/>
                      <w:szCs w:val="21"/>
                      <w:highlight w:val="none"/>
                      <w:lang w:eastAsia="zh-CN"/>
                    </w:rPr>
                    <w:t>，</w:t>
                  </w:r>
                  <w:r>
                    <w:rPr>
                      <w:rFonts w:hint="eastAsia"/>
                      <w:bCs/>
                      <w:color w:val="auto"/>
                      <w:sz w:val="21"/>
                      <w:szCs w:val="21"/>
                      <w:highlight w:val="none"/>
                    </w:rPr>
                    <w:t>5,5’-四甲基联苯胺比色法</w:t>
                  </w:r>
                </w:p>
              </w:tc>
            </w:tr>
            <w:tr w14:paraId="63BF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120C07E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A68A29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41</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7E04C9A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细菌总数</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77E681C3">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第12部分：微生物指标 GB/T5750.12-2023 4.1平皿计数法</w:t>
                  </w:r>
                </w:p>
              </w:tc>
            </w:tr>
            <w:tr w14:paraId="5380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20DA22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A48ED5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42</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9A5E51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总大肠菌群</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269A5AE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第12部分：微生物指标 GB/T 5750.12-2023 5.1多管发酵法</w:t>
                  </w:r>
                </w:p>
              </w:tc>
            </w:tr>
            <w:tr w14:paraId="6647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203ABD7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B1FD87F">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43</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3FB0A25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耐热大肠菌群</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07C7D14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第12部分：微生物指标 GB/T 5750.12-2023 6.1多管发酵法</w:t>
                  </w:r>
                </w:p>
              </w:tc>
            </w:tr>
            <w:tr w14:paraId="4B21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0F2B4F79">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12C0956B">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44</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48274EC8">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总氯</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53841DB2">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第11部分：消毒剂指标GB/T5750.11-2023 5.2 3,3’</w:t>
                  </w:r>
                  <w:r>
                    <w:rPr>
                      <w:rFonts w:hint="eastAsia"/>
                      <w:bCs/>
                      <w:color w:val="auto"/>
                      <w:sz w:val="21"/>
                      <w:szCs w:val="21"/>
                      <w:highlight w:val="none"/>
                      <w:lang w:eastAsia="zh-CN"/>
                    </w:rPr>
                    <w:t>，</w:t>
                  </w:r>
                  <w:r>
                    <w:rPr>
                      <w:rFonts w:hint="eastAsia"/>
                      <w:bCs/>
                      <w:color w:val="auto"/>
                      <w:sz w:val="21"/>
                      <w:szCs w:val="21"/>
                      <w:highlight w:val="none"/>
                    </w:rPr>
                    <w:t>5,5’-四甲基联苯胺比色法</w:t>
                  </w:r>
                </w:p>
              </w:tc>
            </w:tr>
            <w:tr w14:paraId="1A77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837" w:type="dxa"/>
                  <w:vMerge w:val="continue"/>
                  <w:tcBorders>
                    <w:left w:val="single" w:color="auto" w:sz="4" w:space="0"/>
                    <w:right w:val="single" w:color="auto" w:sz="4" w:space="0"/>
                  </w:tcBorders>
                  <w:noWrap w:val="0"/>
                  <w:vAlign w:val="center"/>
                </w:tcPr>
                <w:p w14:paraId="4542696E">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302957E7">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default"/>
                      <w:bCs/>
                      <w:color w:val="auto"/>
                      <w:sz w:val="21"/>
                      <w:szCs w:val="21"/>
                      <w:highlight w:val="none"/>
                      <w:lang w:val="en-US" w:eastAsia="zh-CN"/>
                    </w:rPr>
                  </w:pPr>
                  <w:r>
                    <w:rPr>
                      <w:rFonts w:hint="eastAsia"/>
                      <w:bCs/>
                      <w:color w:val="auto"/>
                      <w:sz w:val="21"/>
                      <w:szCs w:val="21"/>
                      <w:highlight w:val="none"/>
                      <w:lang w:val="en-US" w:eastAsia="zh-CN"/>
                    </w:rPr>
                    <w:t>45</w:t>
                  </w:r>
                </w:p>
              </w:tc>
              <w:tc>
                <w:tcPr>
                  <w:tcW w:w="1476" w:type="dxa"/>
                  <w:tcBorders>
                    <w:top w:val="single" w:color="auto" w:sz="4" w:space="0"/>
                    <w:left w:val="single" w:color="auto" w:sz="4" w:space="0"/>
                    <w:bottom w:val="single" w:color="auto" w:sz="4" w:space="0"/>
                    <w:right w:val="single" w:color="auto" w:sz="4" w:space="0"/>
                  </w:tcBorders>
                  <w:noWrap w:val="0"/>
                  <w:vAlign w:val="center"/>
                </w:tcPr>
                <w:p w14:paraId="238446CC">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碘化物</w:t>
                  </w:r>
                </w:p>
              </w:tc>
              <w:tc>
                <w:tcPr>
                  <w:tcW w:w="5187" w:type="dxa"/>
                  <w:tcBorders>
                    <w:top w:val="single" w:color="auto" w:sz="4" w:space="0"/>
                    <w:left w:val="single" w:color="auto" w:sz="4" w:space="0"/>
                    <w:bottom w:val="single" w:color="auto" w:sz="4" w:space="0"/>
                    <w:right w:val="single" w:color="auto" w:sz="4" w:space="0"/>
                  </w:tcBorders>
                  <w:noWrap w:val="0"/>
                  <w:vAlign w:val="center"/>
                </w:tcPr>
                <w:p w14:paraId="6B8937C6">
                  <w:pPr>
                    <w:keepNext w:val="0"/>
                    <w:keepLines w:val="0"/>
                    <w:pageBreakBefore w:val="0"/>
                    <w:suppressLineNumbers w:val="0"/>
                    <w:kinsoku/>
                    <w:wordWrap/>
                    <w:overflowPunct/>
                    <w:topLinePunct w:val="0"/>
                    <w:bidi w:val="0"/>
                    <w:snapToGrid/>
                    <w:spacing w:before="0" w:beforeAutospacing="0" w:after="0" w:afterAutospacing="0" w:line="240" w:lineRule="atLeast"/>
                    <w:ind w:left="0" w:right="0" w:firstLine="0" w:firstLineChars="0"/>
                    <w:jc w:val="center"/>
                    <w:textAlignment w:val="auto"/>
                    <w:rPr>
                      <w:rFonts w:hint="eastAsia"/>
                      <w:bCs/>
                      <w:color w:val="auto"/>
                      <w:sz w:val="21"/>
                      <w:szCs w:val="21"/>
                      <w:highlight w:val="none"/>
                    </w:rPr>
                  </w:pPr>
                  <w:r>
                    <w:rPr>
                      <w:rFonts w:hint="eastAsia"/>
                      <w:bCs/>
                      <w:color w:val="auto"/>
                      <w:sz w:val="21"/>
                      <w:szCs w:val="21"/>
                      <w:highlight w:val="none"/>
                    </w:rPr>
                    <w:t>生活饮用水标准检验方法 第5部分：无机非金属指标 GB/T5750.5-2023</w:t>
                  </w:r>
                </w:p>
              </w:tc>
            </w:tr>
          </w:tbl>
          <w:p w14:paraId="01D10C9C">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textAlignment w:val="auto"/>
              <w:rPr>
                <w:rFonts w:hint="default"/>
                <w:color w:val="auto"/>
                <w:highlight w:val="none"/>
              </w:rPr>
            </w:pPr>
            <w:r>
              <w:rPr>
                <w:rFonts w:hint="default"/>
                <w:color w:val="auto"/>
                <w:highlight w:val="none"/>
              </w:rPr>
              <w:t>表</w:t>
            </w:r>
            <w:r>
              <w:rPr>
                <w:rFonts w:hint="eastAsia"/>
                <w:color w:val="auto"/>
                <w:highlight w:val="none"/>
              </w:rPr>
              <w:t>2-</w:t>
            </w:r>
            <w:r>
              <w:rPr>
                <w:rFonts w:hint="eastAsia"/>
                <w:color w:val="auto"/>
                <w:highlight w:val="none"/>
                <w:lang w:val="en-US" w:eastAsia="zh-CN"/>
              </w:rPr>
              <w:t>4  实验室检测年工作量</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477"/>
              <w:gridCol w:w="2378"/>
              <w:gridCol w:w="1870"/>
              <w:gridCol w:w="1851"/>
            </w:tblGrid>
            <w:tr w14:paraId="694D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68" w:type="pct"/>
                  <w:noWrap w:val="0"/>
                  <w:vAlign w:val="center"/>
                </w:tcPr>
                <w:p w14:paraId="1F4C3E7F">
                  <w:pPr>
                    <w:pStyle w:val="27"/>
                    <w:keepNext w:val="0"/>
                    <w:keepLines w:val="0"/>
                    <w:suppressLineNumbers w:val="0"/>
                    <w:bidi w:val="0"/>
                    <w:spacing w:before="0" w:beforeAutospacing="0" w:after="0" w:afterAutospacing="0"/>
                    <w:ind w:left="0" w:right="0"/>
                    <w:rPr>
                      <w:b/>
                      <w:bCs/>
                      <w:color w:val="auto"/>
                      <w:highlight w:val="none"/>
                      <w:lang w:val="en-US"/>
                    </w:rPr>
                  </w:pPr>
                  <w:r>
                    <w:rPr>
                      <w:b/>
                      <w:bCs/>
                      <w:color w:val="auto"/>
                      <w:highlight w:val="none"/>
                      <w:lang w:val="en-US"/>
                    </w:rPr>
                    <w:t>序号</w:t>
                  </w:r>
                </w:p>
              </w:tc>
              <w:tc>
                <w:tcPr>
                  <w:tcW w:w="883" w:type="pct"/>
                  <w:noWrap w:val="0"/>
                  <w:vAlign w:val="center"/>
                </w:tcPr>
                <w:p w14:paraId="369ADDBE">
                  <w:pPr>
                    <w:pStyle w:val="27"/>
                    <w:keepNext w:val="0"/>
                    <w:keepLines w:val="0"/>
                    <w:suppressLineNumbers w:val="0"/>
                    <w:bidi w:val="0"/>
                    <w:spacing w:before="0" w:beforeAutospacing="0" w:after="0" w:afterAutospacing="0"/>
                    <w:ind w:left="0" w:right="0"/>
                    <w:rPr>
                      <w:rFonts w:hint="default" w:eastAsia="宋体"/>
                      <w:b/>
                      <w:bCs/>
                      <w:color w:val="auto"/>
                      <w:highlight w:val="none"/>
                      <w:lang w:val="en-US" w:eastAsia="zh-CN"/>
                    </w:rPr>
                  </w:pPr>
                  <w:r>
                    <w:rPr>
                      <w:rFonts w:hint="eastAsia"/>
                      <w:b/>
                      <w:bCs/>
                      <w:color w:val="auto"/>
                      <w:highlight w:val="none"/>
                      <w:lang w:val="en-US" w:eastAsia="zh-CN"/>
                    </w:rPr>
                    <w:t>检测项目</w:t>
                  </w:r>
                </w:p>
              </w:tc>
              <w:tc>
                <w:tcPr>
                  <w:tcW w:w="1422" w:type="pct"/>
                  <w:noWrap w:val="0"/>
                  <w:vAlign w:val="center"/>
                </w:tcPr>
                <w:p w14:paraId="526634D9">
                  <w:pPr>
                    <w:pStyle w:val="27"/>
                    <w:keepNext w:val="0"/>
                    <w:keepLines w:val="0"/>
                    <w:suppressLineNumbers w:val="0"/>
                    <w:bidi w:val="0"/>
                    <w:spacing w:before="0" w:beforeAutospacing="0" w:after="0" w:afterAutospacing="0"/>
                    <w:ind w:left="0" w:right="0"/>
                    <w:rPr>
                      <w:b/>
                      <w:bCs/>
                      <w:color w:val="auto"/>
                      <w:highlight w:val="none"/>
                      <w:lang w:val="en-US"/>
                    </w:rPr>
                  </w:pPr>
                  <w:r>
                    <w:rPr>
                      <w:b/>
                      <w:bCs/>
                      <w:color w:val="auto"/>
                      <w:highlight w:val="none"/>
                      <w:lang w:val="en-US"/>
                    </w:rPr>
                    <w:t>最大检验批次（每家受检方按1批次计算）</w:t>
                  </w:r>
                </w:p>
              </w:tc>
              <w:tc>
                <w:tcPr>
                  <w:tcW w:w="1118" w:type="pct"/>
                  <w:noWrap w:val="0"/>
                  <w:vAlign w:val="center"/>
                </w:tcPr>
                <w:p w14:paraId="45900721">
                  <w:pPr>
                    <w:pStyle w:val="27"/>
                    <w:keepNext w:val="0"/>
                    <w:keepLines w:val="0"/>
                    <w:suppressLineNumbers w:val="0"/>
                    <w:bidi w:val="0"/>
                    <w:spacing w:before="0" w:beforeAutospacing="0" w:after="0" w:afterAutospacing="0"/>
                    <w:ind w:left="0" w:right="0"/>
                    <w:rPr>
                      <w:b/>
                      <w:bCs/>
                      <w:color w:val="auto"/>
                      <w:highlight w:val="none"/>
                      <w:lang w:val="en-US"/>
                    </w:rPr>
                  </w:pPr>
                  <w:r>
                    <w:rPr>
                      <w:rFonts w:hint="eastAsia"/>
                      <w:b/>
                      <w:bCs/>
                      <w:color w:val="auto"/>
                      <w:highlight w:val="none"/>
                      <w:lang w:val="en-US"/>
                    </w:rPr>
                    <w:t>每批次检测样品数量</w:t>
                  </w:r>
                </w:p>
              </w:tc>
              <w:tc>
                <w:tcPr>
                  <w:tcW w:w="1107" w:type="pct"/>
                  <w:noWrap w:val="0"/>
                  <w:vAlign w:val="center"/>
                </w:tcPr>
                <w:p w14:paraId="3E151E1D">
                  <w:pPr>
                    <w:pStyle w:val="27"/>
                    <w:keepNext w:val="0"/>
                    <w:keepLines w:val="0"/>
                    <w:suppressLineNumbers w:val="0"/>
                    <w:bidi w:val="0"/>
                    <w:spacing w:before="0" w:beforeAutospacing="0" w:after="0" w:afterAutospacing="0"/>
                    <w:ind w:left="0" w:right="0"/>
                    <w:rPr>
                      <w:rFonts w:hint="eastAsia" w:eastAsia="宋体"/>
                      <w:b/>
                      <w:bCs/>
                      <w:color w:val="auto"/>
                      <w:highlight w:val="none"/>
                      <w:lang w:val="en-US" w:eastAsia="zh-CN"/>
                    </w:rPr>
                  </w:pPr>
                  <w:r>
                    <w:rPr>
                      <w:rFonts w:hint="eastAsia"/>
                      <w:b/>
                      <w:bCs/>
                      <w:color w:val="auto"/>
                      <w:highlight w:val="none"/>
                      <w:lang w:val="en-US" w:eastAsia="zh-CN"/>
                    </w:rPr>
                    <w:t>样品状态</w:t>
                  </w:r>
                </w:p>
              </w:tc>
            </w:tr>
            <w:tr w14:paraId="7FA2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5F467D72">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1</w:t>
                  </w:r>
                </w:p>
              </w:tc>
              <w:tc>
                <w:tcPr>
                  <w:tcW w:w="883" w:type="pct"/>
                  <w:noWrap w:val="0"/>
                  <w:vAlign w:val="center"/>
                </w:tcPr>
                <w:p w14:paraId="6B505C5D">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地表水</w:t>
                  </w:r>
                </w:p>
              </w:tc>
              <w:tc>
                <w:tcPr>
                  <w:tcW w:w="2385" w:type="dxa"/>
                  <w:noWrap w:val="0"/>
                  <w:vAlign w:val="center"/>
                </w:tcPr>
                <w:p w14:paraId="5C591D60">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120</w:t>
                  </w:r>
                </w:p>
              </w:tc>
              <w:tc>
                <w:tcPr>
                  <w:tcW w:w="1875" w:type="dxa"/>
                  <w:noWrap w:val="0"/>
                  <w:vAlign w:val="center"/>
                </w:tcPr>
                <w:p w14:paraId="3DF88E27">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lang w:val="en-US" w:eastAsia="zh-CN"/>
                    </w:rPr>
                    <w:t>4</w:t>
                  </w:r>
                </w:p>
              </w:tc>
              <w:tc>
                <w:tcPr>
                  <w:tcW w:w="1107" w:type="pct"/>
                  <w:noWrap w:val="0"/>
                  <w:vAlign w:val="center"/>
                </w:tcPr>
                <w:p w14:paraId="18159AA2">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液体</w:t>
                  </w:r>
                </w:p>
              </w:tc>
            </w:tr>
            <w:tr w14:paraId="51B5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72828E46">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w:t>
                  </w:r>
                </w:p>
              </w:tc>
              <w:tc>
                <w:tcPr>
                  <w:tcW w:w="883" w:type="pct"/>
                  <w:noWrap w:val="0"/>
                  <w:vAlign w:val="center"/>
                </w:tcPr>
                <w:p w14:paraId="64C58E92">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废水</w:t>
                  </w:r>
                </w:p>
              </w:tc>
              <w:tc>
                <w:tcPr>
                  <w:tcW w:w="2385" w:type="dxa"/>
                  <w:noWrap w:val="0"/>
                  <w:vAlign w:val="center"/>
                </w:tcPr>
                <w:p w14:paraId="157A2D1D">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color w:val="auto"/>
                      <w:highlight w:val="none"/>
                      <w:lang w:val="en-US" w:eastAsia="zh-CN"/>
                    </w:rPr>
                    <w:t>180</w:t>
                  </w:r>
                </w:p>
              </w:tc>
              <w:tc>
                <w:tcPr>
                  <w:tcW w:w="1875" w:type="dxa"/>
                  <w:noWrap w:val="0"/>
                  <w:vAlign w:val="center"/>
                </w:tcPr>
                <w:p w14:paraId="30535547">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4</w:t>
                  </w:r>
                </w:p>
              </w:tc>
              <w:tc>
                <w:tcPr>
                  <w:tcW w:w="1107" w:type="pct"/>
                  <w:noWrap w:val="0"/>
                  <w:vAlign w:val="center"/>
                </w:tcPr>
                <w:p w14:paraId="6E4325B4">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液体</w:t>
                  </w:r>
                </w:p>
              </w:tc>
            </w:tr>
            <w:tr w14:paraId="14E1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33673DC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3</w:t>
                  </w:r>
                </w:p>
              </w:tc>
              <w:tc>
                <w:tcPr>
                  <w:tcW w:w="883" w:type="pct"/>
                  <w:noWrap w:val="0"/>
                  <w:vAlign w:val="center"/>
                </w:tcPr>
                <w:p w14:paraId="11C0AA2B">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地下水</w:t>
                  </w:r>
                </w:p>
              </w:tc>
              <w:tc>
                <w:tcPr>
                  <w:tcW w:w="2385" w:type="dxa"/>
                  <w:noWrap w:val="0"/>
                  <w:vAlign w:val="center"/>
                </w:tcPr>
                <w:p w14:paraId="190B7A13">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150</w:t>
                  </w:r>
                </w:p>
              </w:tc>
              <w:tc>
                <w:tcPr>
                  <w:tcW w:w="1875" w:type="dxa"/>
                  <w:noWrap w:val="0"/>
                  <w:vAlign w:val="center"/>
                </w:tcPr>
                <w:p w14:paraId="5E4D5A70">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1</w:t>
                  </w:r>
                </w:p>
              </w:tc>
              <w:tc>
                <w:tcPr>
                  <w:tcW w:w="1107" w:type="pct"/>
                  <w:noWrap w:val="0"/>
                  <w:vAlign w:val="center"/>
                </w:tcPr>
                <w:p w14:paraId="1C46D25F">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液体</w:t>
                  </w:r>
                </w:p>
              </w:tc>
            </w:tr>
            <w:tr w14:paraId="5ED0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5B3CAD61">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4</w:t>
                  </w:r>
                </w:p>
              </w:tc>
              <w:tc>
                <w:tcPr>
                  <w:tcW w:w="883" w:type="pct"/>
                  <w:noWrap w:val="0"/>
                  <w:vAlign w:val="center"/>
                </w:tcPr>
                <w:p w14:paraId="4FCB65D6">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土壤</w:t>
                  </w:r>
                </w:p>
              </w:tc>
              <w:tc>
                <w:tcPr>
                  <w:tcW w:w="2385" w:type="dxa"/>
                  <w:noWrap w:val="0"/>
                  <w:vAlign w:val="center"/>
                </w:tcPr>
                <w:p w14:paraId="7B16F541">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color w:val="auto"/>
                      <w:highlight w:val="none"/>
                      <w:lang w:val="en-US" w:eastAsia="zh-CN"/>
                    </w:rPr>
                    <w:t>80</w:t>
                  </w:r>
                </w:p>
              </w:tc>
              <w:tc>
                <w:tcPr>
                  <w:tcW w:w="1875" w:type="dxa"/>
                  <w:noWrap w:val="0"/>
                  <w:vAlign w:val="center"/>
                </w:tcPr>
                <w:p w14:paraId="27C7C83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4</w:t>
                  </w:r>
                </w:p>
              </w:tc>
              <w:tc>
                <w:tcPr>
                  <w:tcW w:w="1107" w:type="pct"/>
                  <w:noWrap w:val="0"/>
                  <w:vAlign w:val="center"/>
                </w:tcPr>
                <w:p w14:paraId="5FF72E1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固体</w:t>
                  </w:r>
                </w:p>
              </w:tc>
            </w:tr>
            <w:tr w14:paraId="1182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59D5E168">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5</w:t>
                  </w:r>
                </w:p>
              </w:tc>
              <w:tc>
                <w:tcPr>
                  <w:tcW w:w="883" w:type="pct"/>
                  <w:noWrap w:val="0"/>
                  <w:vAlign w:val="center"/>
                </w:tcPr>
                <w:p w14:paraId="77BFE466">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噪声</w:t>
                  </w:r>
                </w:p>
              </w:tc>
              <w:tc>
                <w:tcPr>
                  <w:tcW w:w="2385" w:type="dxa"/>
                  <w:noWrap w:val="0"/>
                  <w:vAlign w:val="center"/>
                </w:tcPr>
                <w:p w14:paraId="5A6BC6B0">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color w:val="auto"/>
                      <w:highlight w:val="none"/>
                      <w:lang w:val="en-US" w:eastAsia="zh-CN"/>
                    </w:rPr>
                    <w:t>180</w:t>
                  </w:r>
                </w:p>
              </w:tc>
              <w:tc>
                <w:tcPr>
                  <w:tcW w:w="1875" w:type="dxa"/>
                  <w:noWrap w:val="0"/>
                  <w:vAlign w:val="center"/>
                </w:tcPr>
                <w:p w14:paraId="6FF11D55">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w:t>
                  </w:r>
                </w:p>
              </w:tc>
              <w:tc>
                <w:tcPr>
                  <w:tcW w:w="1107" w:type="pct"/>
                  <w:noWrap w:val="0"/>
                  <w:vAlign w:val="center"/>
                </w:tcPr>
                <w:p w14:paraId="3AAEF5D4">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r>
            <w:tr w14:paraId="7C1B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2ACB991C">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w:t>
                  </w:r>
                </w:p>
              </w:tc>
              <w:tc>
                <w:tcPr>
                  <w:tcW w:w="883" w:type="pct"/>
                  <w:noWrap w:val="0"/>
                  <w:vAlign w:val="center"/>
                </w:tcPr>
                <w:p w14:paraId="79C4F5E3">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环境空气</w:t>
                  </w:r>
                </w:p>
              </w:tc>
              <w:tc>
                <w:tcPr>
                  <w:tcW w:w="2385" w:type="dxa"/>
                  <w:noWrap w:val="0"/>
                  <w:vAlign w:val="center"/>
                </w:tcPr>
                <w:p w14:paraId="781C1E7D">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150</w:t>
                  </w:r>
                </w:p>
              </w:tc>
              <w:tc>
                <w:tcPr>
                  <w:tcW w:w="1875" w:type="dxa"/>
                  <w:noWrap w:val="0"/>
                  <w:vAlign w:val="center"/>
                </w:tcPr>
                <w:p w14:paraId="083402D1">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4</w:t>
                  </w:r>
                </w:p>
              </w:tc>
              <w:tc>
                <w:tcPr>
                  <w:tcW w:w="1107" w:type="pct"/>
                  <w:noWrap w:val="0"/>
                  <w:vAlign w:val="center"/>
                </w:tcPr>
                <w:p w14:paraId="1E798C3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气态</w:t>
                  </w:r>
                </w:p>
              </w:tc>
            </w:tr>
            <w:tr w14:paraId="69FD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noWrap w:val="0"/>
                  <w:vAlign w:val="center"/>
                </w:tcPr>
                <w:p w14:paraId="1E676485">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7</w:t>
                  </w:r>
                </w:p>
              </w:tc>
              <w:tc>
                <w:tcPr>
                  <w:tcW w:w="883" w:type="pct"/>
                  <w:noWrap w:val="0"/>
                  <w:vAlign w:val="center"/>
                </w:tcPr>
                <w:p w14:paraId="556F7DD7">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废气</w:t>
                  </w:r>
                </w:p>
              </w:tc>
              <w:tc>
                <w:tcPr>
                  <w:tcW w:w="2385" w:type="dxa"/>
                  <w:noWrap w:val="0"/>
                  <w:vAlign w:val="center"/>
                </w:tcPr>
                <w:p w14:paraId="2BA6F6C5">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200</w:t>
                  </w:r>
                </w:p>
              </w:tc>
              <w:tc>
                <w:tcPr>
                  <w:tcW w:w="1875" w:type="dxa"/>
                  <w:noWrap w:val="0"/>
                  <w:vAlign w:val="center"/>
                </w:tcPr>
                <w:p w14:paraId="56AB3EDC">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3</w:t>
                  </w:r>
                </w:p>
              </w:tc>
              <w:tc>
                <w:tcPr>
                  <w:tcW w:w="1107" w:type="pct"/>
                  <w:noWrap w:val="0"/>
                  <w:vAlign w:val="center"/>
                </w:tcPr>
                <w:p w14:paraId="32B4894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气态/液体/固体</w:t>
                  </w:r>
                </w:p>
              </w:tc>
            </w:tr>
          </w:tbl>
          <w:p w14:paraId="46144162">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4项目</w:t>
            </w:r>
            <w:r>
              <w:rPr>
                <w:rFonts w:hint="default"/>
                <w:b/>
                <w:bCs/>
                <w:color w:val="auto"/>
                <w:highlight w:val="none"/>
              </w:rPr>
              <w:t>原辅材料</w:t>
            </w:r>
          </w:p>
          <w:p w14:paraId="7AB07938">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项目主要原辅材料种类及消耗量详见表</w:t>
            </w:r>
            <w:r>
              <w:rPr>
                <w:rFonts w:hint="eastAsia"/>
                <w:color w:val="auto"/>
                <w:highlight w:val="none"/>
              </w:rPr>
              <w:t>2-</w:t>
            </w:r>
            <w:r>
              <w:rPr>
                <w:rFonts w:hint="eastAsia"/>
                <w:color w:val="auto"/>
                <w:highlight w:val="none"/>
                <w:lang w:val="en-US" w:eastAsia="zh-CN"/>
              </w:rPr>
              <w:t>5</w:t>
            </w:r>
            <w:r>
              <w:rPr>
                <w:rFonts w:hint="eastAsia"/>
                <w:color w:val="auto"/>
                <w:highlight w:val="none"/>
              </w:rPr>
              <w:t>。</w:t>
            </w:r>
          </w:p>
          <w:p w14:paraId="4CC16DD3">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r>
              <w:rPr>
                <w:rFonts w:hint="default"/>
                <w:color w:val="auto"/>
                <w:highlight w:val="none"/>
              </w:rPr>
              <w:t>表</w:t>
            </w:r>
            <w:r>
              <w:rPr>
                <w:rFonts w:hint="eastAsia"/>
                <w:color w:val="auto"/>
                <w:highlight w:val="none"/>
              </w:rPr>
              <w:t>2-</w:t>
            </w:r>
            <w:r>
              <w:rPr>
                <w:rFonts w:hint="eastAsia"/>
                <w:color w:val="auto"/>
                <w:highlight w:val="none"/>
                <w:lang w:val="en-US" w:eastAsia="zh-CN"/>
              </w:rPr>
              <w:t xml:space="preserve">5  </w:t>
            </w:r>
            <w:r>
              <w:rPr>
                <w:rFonts w:hint="default"/>
                <w:color w:val="auto"/>
                <w:highlight w:val="none"/>
              </w:rPr>
              <w:t>主要原辅材料消耗情况一览表</w:t>
            </w:r>
          </w:p>
          <w:tbl>
            <w:tblPr>
              <w:tblStyle w:val="18"/>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5"/>
              <w:gridCol w:w="1920"/>
              <w:gridCol w:w="1116"/>
              <w:gridCol w:w="947"/>
              <w:gridCol w:w="1143"/>
              <w:gridCol w:w="1428"/>
              <w:gridCol w:w="1201"/>
            </w:tblGrid>
            <w:tr w14:paraId="55113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63CF1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序号</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5547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原辅料名称</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99E5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规格</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4EBF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消耗量</w:t>
                  </w:r>
                </w:p>
                <w:p w14:paraId="0BA6D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瓶/年</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6803C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最大贮存量（瓶）</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1F9A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包装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0176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b/>
                      <w:bCs/>
                      <w:color w:val="auto"/>
                      <w:sz w:val="21"/>
                      <w:szCs w:val="21"/>
                      <w:highlight w:val="none"/>
                    </w:rPr>
                  </w:pPr>
                  <w:r>
                    <w:rPr>
                      <w:rFonts w:hint="default"/>
                      <w:b/>
                      <w:bCs/>
                      <w:color w:val="auto"/>
                      <w:sz w:val="21"/>
                      <w:szCs w:val="21"/>
                      <w:highlight w:val="none"/>
                    </w:rPr>
                    <w:t>存放地点</w:t>
                  </w:r>
                </w:p>
              </w:tc>
            </w:tr>
            <w:tr w14:paraId="3988E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6FCF7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一</w:t>
                  </w:r>
                </w:p>
              </w:tc>
              <w:tc>
                <w:tcPr>
                  <w:tcW w:w="4643" w:type="pct"/>
                  <w:gridSpan w:val="6"/>
                  <w:tcBorders>
                    <w:top w:val="single" w:color="auto" w:sz="6" w:space="0"/>
                    <w:left w:val="single" w:color="auto" w:sz="6" w:space="0"/>
                    <w:bottom w:val="single" w:color="auto" w:sz="6" w:space="0"/>
                    <w:right w:val="single" w:color="auto" w:sz="6" w:space="0"/>
                  </w:tcBorders>
                  <w:noWrap w:val="0"/>
                  <w:vAlign w:val="center"/>
                </w:tcPr>
                <w:p w14:paraId="7F630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color w:val="auto"/>
                      <w:sz w:val="21"/>
                      <w:szCs w:val="21"/>
                      <w:highlight w:val="none"/>
                    </w:rPr>
                  </w:pPr>
                  <w:r>
                    <w:rPr>
                      <w:rFonts w:hint="default"/>
                      <w:color w:val="auto"/>
                      <w:sz w:val="21"/>
                      <w:szCs w:val="21"/>
                      <w:highlight w:val="none"/>
                    </w:rPr>
                    <w:t>化学试剂</w:t>
                  </w:r>
                </w:p>
              </w:tc>
            </w:tr>
            <w:tr w14:paraId="130E9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3019A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1150" w:type="pct"/>
                  <w:tcBorders>
                    <w:top w:val="single" w:color="auto" w:sz="4" w:space="0"/>
                    <w:left w:val="single" w:color="auto" w:sz="6" w:space="0"/>
                    <w:bottom w:val="single" w:color="auto" w:sz="6" w:space="0"/>
                    <w:right w:val="single" w:color="auto" w:sz="6" w:space="0"/>
                  </w:tcBorders>
                  <w:noWrap w:val="0"/>
                  <w:vAlign w:val="center"/>
                </w:tcPr>
                <w:p w14:paraId="0F1EF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9819C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GR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6703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0477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5F4A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9494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3C03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05AFC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4BC6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4506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A884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C1BC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CA22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38F4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71B8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10642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7AFF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1A16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A34C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5ADA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73E4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42096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C2E4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695A2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3644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氢氧化铝</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E70A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3AFA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7359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F442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E481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C03E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11C8A8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0D82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氢氧化铵</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67C9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8D3E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722A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4A34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CC6F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8865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6CCDC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A3F8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氢氧化钡</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8280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5870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7DFD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9588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9C85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2755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43D55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90B6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草酸钠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EE1E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F707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7976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B439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5</w:t>
                  </w:r>
                  <w:r>
                    <w:rPr>
                      <w:rFonts w:hint="default"/>
                      <w:color w:val="auto"/>
                      <w:sz w:val="21"/>
                      <w:szCs w:val="21"/>
                      <w:highlight w:val="none"/>
                    </w:rPr>
                    <w:t>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B541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5D90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04B8E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8DE3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过氧化氢%</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B54E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CP</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AD97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FA2E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D7F0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3069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6CD1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334C7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61E5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盐酸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DF8C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7A7F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A0E6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1036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CEC0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7EB5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11A4A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9C2E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乙醇</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2E90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CP</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5C17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0E26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7727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530B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60A7D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4684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1808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氨水</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E8A1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B6D1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1656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AD77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FFFF6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E00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7C4D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5A68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丙酮</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9ADB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D2D65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2AB7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572D12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8F86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3586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7472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B441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碘化汞</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FFCA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0836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66949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F66F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2D63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2994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10B05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E8A4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硝酸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3254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GR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886C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6510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7705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8A31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E5E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0989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1</w:t>
                  </w:r>
                  <w:r>
                    <w:rPr>
                      <w:rFonts w:hint="eastAsia"/>
                      <w:color w:val="auto"/>
                      <w:sz w:val="21"/>
                      <w:szCs w:val="21"/>
                      <w:highlight w:val="none"/>
                      <w:lang w:val="en-US" w:eastAsia="zh-CN"/>
                    </w:rPr>
                    <w:t>5</w:t>
                  </w:r>
                </w:p>
              </w:tc>
              <w:tc>
                <w:tcPr>
                  <w:tcW w:w="1150" w:type="pct"/>
                  <w:tcBorders>
                    <w:top w:val="single" w:color="auto" w:sz="6" w:space="0"/>
                    <w:left w:val="single" w:color="auto" w:sz="6" w:space="0"/>
                    <w:bottom w:val="single" w:color="auto" w:sz="4" w:space="0"/>
                    <w:right w:val="single" w:color="auto" w:sz="6" w:space="0"/>
                  </w:tcBorders>
                  <w:noWrap w:val="0"/>
                  <w:vAlign w:val="center"/>
                </w:tcPr>
                <w:p w14:paraId="48C36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磷酸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6587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8F0E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8</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8190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B075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9992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7E18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472B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1</w:t>
                  </w:r>
                  <w:r>
                    <w:rPr>
                      <w:rFonts w:hint="eastAsia"/>
                      <w:color w:val="auto"/>
                      <w:sz w:val="21"/>
                      <w:szCs w:val="21"/>
                      <w:highlight w:val="none"/>
                      <w:lang w:val="en-US" w:eastAsia="zh-CN"/>
                    </w:rPr>
                    <w:t>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A6AB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高氯酸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BC5E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GR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0E2E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A7A1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00D7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8FEE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17C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661B3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1</w:t>
                  </w:r>
                  <w:r>
                    <w:rPr>
                      <w:rFonts w:hint="eastAsia"/>
                      <w:color w:val="auto"/>
                      <w:sz w:val="21"/>
                      <w:szCs w:val="21"/>
                      <w:highlight w:val="none"/>
                      <w:lang w:val="en-US" w:eastAsia="zh-CN"/>
                    </w:rPr>
                    <w:t>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3857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硼酸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75C5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2F709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2519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34C5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862A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201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4" w:space="0"/>
                    <w:right w:val="single" w:color="auto" w:sz="6" w:space="0"/>
                  </w:tcBorders>
                  <w:noWrap w:val="0"/>
                  <w:vAlign w:val="center"/>
                </w:tcPr>
                <w:p w14:paraId="1D18F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1</w:t>
                  </w:r>
                  <w:r>
                    <w:rPr>
                      <w:rFonts w:hint="eastAsia"/>
                      <w:color w:val="auto"/>
                      <w:sz w:val="21"/>
                      <w:szCs w:val="21"/>
                      <w:highlight w:val="none"/>
                      <w:lang w:val="en-US" w:eastAsia="zh-CN"/>
                    </w:rPr>
                    <w:t>8</w:t>
                  </w:r>
                </w:p>
              </w:tc>
              <w:tc>
                <w:tcPr>
                  <w:tcW w:w="1150" w:type="pct"/>
                  <w:tcBorders>
                    <w:top w:val="single" w:color="auto" w:sz="6" w:space="0"/>
                    <w:left w:val="single" w:color="auto" w:sz="6" w:space="0"/>
                    <w:bottom w:val="single" w:color="auto" w:sz="4" w:space="0"/>
                    <w:right w:val="single" w:color="auto" w:sz="6" w:space="0"/>
                  </w:tcBorders>
                  <w:noWrap w:val="0"/>
                  <w:vAlign w:val="center"/>
                </w:tcPr>
                <w:p w14:paraId="04BE5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谷氨酸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7EAA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2BD5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9053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2E95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2BAF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FA100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4" w:space="0"/>
                    <w:left w:val="single" w:color="auto" w:sz="6" w:space="0"/>
                    <w:bottom w:val="single" w:color="auto" w:sz="6" w:space="0"/>
                    <w:right w:val="single" w:color="auto" w:sz="6" w:space="0"/>
                  </w:tcBorders>
                  <w:noWrap w:val="0"/>
                  <w:vAlign w:val="center"/>
                </w:tcPr>
                <w:p w14:paraId="3454E2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19</w:t>
                  </w:r>
                </w:p>
              </w:tc>
              <w:tc>
                <w:tcPr>
                  <w:tcW w:w="1150" w:type="pct"/>
                  <w:tcBorders>
                    <w:top w:val="single" w:color="auto" w:sz="4" w:space="0"/>
                    <w:left w:val="single" w:color="auto" w:sz="6" w:space="0"/>
                    <w:bottom w:val="single" w:color="auto" w:sz="6" w:space="0"/>
                    <w:right w:val="single" w:color="auto" w:sz="6" w:space="0"/>
                  </w:tcBorders>
                  <w:noWrap w:val="0"/>
                  <w:vAlign w:val="center"/>
                </w:tcPr>
                <w:p w14:paraId="0D21C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硫酸汞</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E900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EB88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90CB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0DF5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9DF2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F7EA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4" w:space="0"/>
                    <w:left w:val="single" w:color="auto" w:sz="6" w:space="0"/>
                    <w:bottom w:val="single" w:color="auto" w:sz="6" w:space="0"/>
                    <w:right w:val="single" w:color="auto" w:sz="6" w:space="0"/>
                  </w:tcBorders>
                  <w:noWrap w:val="0"/>
                  <w:vAlign w:val="center"/>
                </w:tcPr>
                <w:p w14:paraId="57F6965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20</w:t>
                  </w:r>
                </w:p>
              </w:tc>
              <w:tc>
                <w:tcPr>
                  <w:tcW w:w="1150" w:type="pct"/>
                  <w:tcBorders>
                    <w:top w:val="single" w:color="auto" w:sz="4" w:space="0"/>
                    <w:left w:val="single" w:color="auto" w:sz="6" w:space="0"/>
                    <w:bottom w:val="single" w:color="auto" w:sz="6" w:space="0"/>
                    <w:right w:val="single" w:color="auto" w:sz="6" w:space="0"/>
                  </w:tcBorders>
                  <w:noWrap w:val="0"/>
                  <w:vAlign w:val="center"/>
                </w:tcPr>
                <w:p w14:paraId="69F2434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乙酸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1F32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58D7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82EA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548FD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AD41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448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4" w:space="0"/>
                    <w:left w:val="single" w:color="auto" w:sz="6" w:space="0"/>
                    <w:bottom w:val="single" w:color="auto" w:sz="6" w:space="0"/>
                    <w:right w:val="single" w:color="auto" w:sz="6" w:space="0"/>
                  </w:tcBorders>
                  <w:noWrap w:val="0"/>
                  <w:vAlign w:val="center"/>
                </w:tcPr>
                <w:p w14:paraId="083F9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rPr>
                    <w:t>21</w:t>
                  </w:r>
                </w:p>
              </w:tc>
              <w:tc>
                <w:tcPr>
                  <w:tcW w:w="1150" w:type="pct"/>
                  <w:tcBorders>
                    <w:top w:val="single" w:color="auto" w:sz="4" w:space="0"/>
                    <w:left w:val="single" w:color="auto" w:sz="6" w:space="0"/>
                    <w:bottom w:val="single" w:color="auto" w:sz="6" w:space="0"/>
                    <w:right w:val="single" w:color="auto" w:sz="6" w:space="0"/>
                  </w:tcBorders>
                  <w:noWrap w:val="0"/>
                  <w:vAlign w:val="center"/>
                </w:tcPr>
                <w:p w14:paraId="7314D9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硫化钠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34AD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5C2C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3E69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929F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8362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4111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938D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D6FD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铅</w:t>
                  </w:r>
                  <w:r>
                    <w:rPr>
                      <w:rFonts w:hint="eastAsia"/>
                      <w:color w:val="auto"/>
                      <w:sz w:val="21"/>
                      <w:szCs w:val="21"/>
                      <w:highlight w:val="none"/>
                      <w:lang w:eastAsia="zh-CN"/>
                    </w:rPr>
                    <w:t>（</w:t>
                  </w:r>
                  <w:r>
                    <w:rPr>
                      <w:rFonts w:hint="eastAsia"/>
                      <w:color w:val="auto"/>
                      <w:sz w:val="21"/>
                      <w:szCs w:val="21"/>
                      <w:highlight w:val="none"/>
                      <w:lang w:val="en-US" w:eastAsia="zh-CN"/>
                    </w:rPr>
                    <w:t>标准溶液</w:t>
                  </w:r>
                  <w:r>
                    <w:rPr>
                      <w:rFonts w:hint="eastAsia"/>
                      <w:color w:val="auto"/>
                      <w:sz w:val="21"/>
                      <w:szCs w:val="21"/>
                      <w:highlight w:val="none"/>
                      <w:lang w:eastAsia="zh-CN"/>
                    </w:rPr>
                    <w: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86AE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5244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6036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4B4B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2B99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6576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F597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F1E9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镉</w:t>
                  </w:r>
                  <w:r>
                    <w:rPr>
                      <w:rFonts w:hint="eastAsia"/>
                      <w:color w:val="auto"/>
                      <w:sz w:val="21"/>
                      <w:szCs w:val="21"/>
                      <w:highlight w:val="none"/>
                      <w:lang w:eastAsia="zh-CN"/>
                    </w:rPr>
                    <w:t>（</w:t>
                  </w:r>
                  <w:r>
                    <w:rPr>
                      <w:rFonts w:hint="eastAsia"/>
                      <w:color w:val="auto"/>
                      <w:sz w:val="21"/>
                      <w:szCs w:val="21"/>
                      <w:highlight w:val="none"/>
                      <w:lang w:val="en-US" w:eastAsia="zh-CN"/>
                    </w:rPr>
                    <w:t>标准溶液</w:t>
                  </w:r>
                  <w:r>
                    <w:rPr>
                      <w:rFonts w:hint="eastAsia"/>
                      <w:color w:val="auto"/>
                      <w:sz w:val="21"/>
                      <w:szCs w:val="21"/>
                      <w:highlight w:val="none"/>
                      <w:lang w:eastAsia="zh-CN"/>
                    </w:rPr>
                    <w: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A924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698EF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9080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3649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10</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4DC6B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4553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77AB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61B5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铁</w:t>
                  </w:r>
                  <w:r>
                    <w:rPr>
                      <w:rFonts w:hint="eastAsia"/>
                      <w:color w:val="auto"/>
                      <w:sz w:val="21"/>
                      <w:szCs w:val="21"/>
                      <w:highlight w:val="none"/>
                      <w:lang w:eastAsia="zh-CN"/>
                    </w:rPr>
                    <w:t>（</w:t>
                  </w:r>
                  <w:r>
                    <w:rPr>
                      <w:rFonts w:hint="eastAsia"/>
                      <w:color w:val="auto"/>
                      <w:sz w:val="21"/>
                      <w:szCs w:val="21"/>
                      <w:highlight w:val="none"/>
                      <w:lang w:val="en-US" w:eastAsia="zh-CN"/>
                    </w:rPr>
                    <w:t>标准溶液</w:t>
                  </w:r>
                  <w:r>
                    <w:rPr>
                      <w:rFonts w:hint="eastAsia"/>
                      <w:color w:val="auto"/>
                      <w:sz w:val="21"/>
                      <w:szCs w:val="21"/>
                      <w:highlight w:val="none"/>
                      <w:lang w:eastAsia="zh-CN"/>
                    </w:rPr>
                    <w: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E6FE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CD60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3908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A7A8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10</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37B1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5836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76FA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EC92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锰</w:t>
                  </w:r>
                  <w:r>
                    <w:rPr>
                      <w:rFonts w:hint="eastAsia"/>
                      <w:color w:val="auto"/>
                      <w:sz w:val="21"/>
                      <w:szCs w:val="21"/>
                      <w:highlight w:val="none"/>
                      <w:lang w:eastAsia="zh-CN"/>
                    </w:rPr>
                    <w:t>（</w:t>
                  </w:r>
                  <w:r>
                    <w:rPr>
                      <w:rFonts w:hint="eastAsia"/>
                      <w:color w:val="auto"/>
                      <w:sz w:val="21"/>
                      <w:szCs w:val="21"/>
                      <w:highlight w:val="none"/>
                      <w:lang w:val="en-US" w:eastAsia="zh-CN"/>
                    </w:rPr>
                    <w:t>标准溶液</w:t>
                  </w:r>
                  <w:r>
                    <w:rPr>
                      <w:rFonts w:hint="eastAsia"/>
                      <w:color w:val="auto"/>
                      <w:sz w:val="21"/>
                      <w:szCs w:val="21"/>
                      <w:highlight w:val="none"/>
                      <w:lang w:eastAsia="zh-CN"/>
                    </w:rPr>
                    <w: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DD100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85B6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DB2E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9517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100</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E151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C3C1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F396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lang w:val="ru-RU"/>
                    </w:rPr>
                    <w:t>2</w:t>
                  </w:r>
                  <w:r>
                    <w:rPr>
                      <w:rFonts w:hint="eastAsia"/>
                      <w:color w:val="auto"/>
                      <w:sz w:val="21"/>
                      <w:szCs w:val="21"/>
                      <w:highlight w:val="none"/>
                      <w:lang w:val="en-US" w:eastAsia="zh-CN"/>
                    </w:rPr>
                    <w:t>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DC57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镍</w:t>
                  </w:r>
                  <w:r>
                    <w:rPr>
                      <w:rFonts w:hint="eastAsia"/>
                      <w:color w:val="auto"/>
                      <w:sz w:val="21"/>
                      <w:szCs w:val="21"/>
                      <w:highlight w:val="none"/>
                      <w:lang w:eastAsia="zh-CN"/>
                    </w:rPr>
                    <w:t>（</w:t>
                  </w:r>
                  <w:r>
                    <w:rPr>
                      <w:rFonts w:hint="eastAsia"/>
                      <w:color w:val="auto"/>
                      <w:sz w:val="21"/>
                      <w:szCs w:val="21"/>
                      <w:highlight w:val="none"/>
                      <w:lang w:val="en-US" w:eastAsia="zh-CN"/>
                    </w:rPr>
                    <w:t>标准溶液</w:t>
                  </w:r>
                  <w:r>
                    <w:rPr>
                      <w:rFonts w:hint="eastAsia"/>
                      <w:color w:val="auto"/>
                      <w:sz w:val="21"/>
                      <w:szCs w:val="21"/>
                      <w:highlight w:val="none"/>
                      <w:lang w:eastAsia="zh-CN"/>
                    </w:rPr>
                    <w: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CB53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B489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168E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00DF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A8B8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836D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56B7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val="ru-RU" w:eastAsia="zh-CN"/>
                    </w:rPr>
                  </w:pPr>
                  <w:r>
                    <w:rPr>
                      <w:rFonts w:hint="eastAsia"/>
                      <w:color w:val="auto"/>
                      <w:sz w:val="21"/>
                      <w:szCs w:val="21"/>
                      <w:highlight w:val="none"/>
                      <w:lang w:val="en-US" w:eastAsia="zh-CN"/>
                    </w:rPr>
                    <w:t>27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0105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lang w:val="ru-RU"/>
                    </w:rPr>
                    <w:t>氟化</w:t>
                  </w:r>
                  <w:r>
                    <w:rPr>
                      <w:rFonts w:hint="eastAsia"/>
                      <w:color w:val="auto"/>
                      <w:sz w:val="21"/>
                      <w:szCs w:val="21"/>
                      <w:highlight w:val="none"/>
                      <w:lang w:val="en-US" w:eastAsia="zh-CN"/>
                    </w:rPr>
                    <w:t>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708E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1F52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7BE5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25A3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6A99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677F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9B27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9D5C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rPr>
                    <w:t>碳酸钠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93E4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5A89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FFD5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0DDB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lang w:val="ru-RU"/>
                    </w:rPr>
                    <w:t>500</w:t>
                  </w:r>
                  <w:r>
                    <w:rPr>
                      <w:rFonts w:hint="default"/>
                      <w:color w:val="auto"/>
                      <w:sz w:val="21"/>
                      <w:szCs w:val="21"/>
                      <w:highlight w:val="none"/>
                    </w:rPr>
                    <w:t>克</w:t>
                  </w:r>
                  <w:r>
                    <w:rPr>
                      <w:rFonts w:hint="default"/>
                      <w:color w:val="auto"/>
                      <w:sz w:val="21"/>
                      <w:szCs w:val="21"/>
                      <w:highlight w:val="none"/>
                      <w:lang w:val="ru-RU"/>
                    </w:rPr>
                    <w:t>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EDC66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9613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2EBB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31F0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rPr>
                    <w:t>硫代硫酸钠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BD89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E55D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9802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2010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lang w:val="ru-RU"/>
                    </w:rPr>
                    <w:t>500</w:t>
                  </w:r>
                  <w:r>
                    <w:rPr>
                      <w:rFonts w:hint="default"/>
                      <w:color w:val="auto"/>
                      <w:sz w:val="21"/>
                      <w:szCs w:val="21"/>
                      <w:highlight w:val="none"/>
                    </w:rPr>
                    <w:t>克</w:t>
                  </w:r>
                  <w:r>
                    <w:rPr>
                      <w:rFonts w:hint="default"/>
                      <w:color w:val="auto"/>
                      <w:sz w:val="21"/>
                      <w:szCs w:val="21"/>
                      <w:highlight w:val="none"/>
                      <w:lang w:val="ru-RU"/>
                    </w:rPr>
                    <w:t>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41577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EF14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723B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default"/>
                      <w:color w:val="auto"/>
                      <w:sz w:val="21"/>
                      <w:szCs w:val="21"/>
                      <w:highlight w:val="none"/>
                    </w:rPr>
                    <w:t>30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D853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rPr>
                    <w:t>氯化钠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9B0A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E44E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3842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5FF03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lang w:val="ru-RU"/>
                    </w:rPr>
                    <w:t>500</w:t>
                  </w:r>
                  <w:r>
                    <w:rPr>
                      <w:rFonts w:hint="default"/>
                      <w:color w:val="auto"/>
                      <w:sz w:val="21"/>
                      <w:szCs w:val="21"/>
                      <w:highlight w:val="none"/>
                    </w:rPr>
                    <w:t>克</w:t>
                  </w:r>
                  <w:r>
                    <w:rPr>
                      <w:rFonts w:hint="default"/>
                      <w:color w:val="auto"/>
                      <w:sz w:val="21"/>
                      <w:szCs w:val="21"/>
                      <w:highlight w:val="none"/>
                      <w:lang w:val="ru-RU"/>
                    </w:rPr>
                    <w:t>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2C9A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3C00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A27C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ru-RU"/>
                    </w:rPr>
                  </w:pPr>
                  <w:r>
                    <w:rPr>
                      <w:rFonts w:hint="default"/>
                      <w:color w:val="auto"/>
                      <w:sz w:val="21"/>
                      <w:szCs w:val="21"/>
                      <w:highlight w:val="none"/>
                    </w:rPr>
                    <w:t>31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C9B5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eastAsia"/>
                      <w:color w:val="auto"/>
                      <w:sz w:val="21"/>
                      <w:szCs w:val="21"/>
                      <w:highlight w:val="none"/>
                      <w:lang w:val="en-US" w:eastAsia="zh-CN"/>
                    </w:rPr>
                    <w:t>可溶性</w:t>
                  </w:r>
                  <w:r>
                    <w:rPr>
                      <w:rFonts w:hint="default"/>
                      <w:color w:val="auto"/>
                      <w:sz w:val="21"/>
                      <w:szCs w:val="21"/>
                      <w:highlight w:val="none"/>
                      <w:lang w:val="ru-RU"/>
                    </w:rPr>
                    <w:t>淀粉</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C8FF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4F40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7</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38C5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6764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500</w:t>
                  </w:r>
                  <w:r>
                    <w:rPr>
                      <w:rFonts w:hint="default"/>
                      <w:color w:val="auto"/>
                      <w:sz w:val="21"/>
                      <w:szCs w:val="21"/>
                      <w:highlight w:val="none"/>
                    </w:rPr>
                    <w:t>克</w:t>
                  </w:r>
                  <w:r>
                    <w:rPr>
                      <w:rFonts w:hint="default"/>
                      <w:color w:val="auto"/>
                      <w:sz w:val="21"/>
                      <w:szCs w:val="21"/>
                      <w:highlight w:val="none"/>
                      <w:lang w:val="ru-RU"/>
                    </w:rPr>
                    <w:t>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B6EF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试剂室</w:t>
                  </w:r>
                </w:p>
              </w:tc>
            </w:tr>
            <w:tr w14:paraId="720FC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40B7A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rPr>
                    <w:t>32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8DFF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硝酸银</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B1CF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3EF4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2698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71DE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AA57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试剂室</w:t>
                  </w:r>
                </w:p>
              </w:tc>
            </w:tr>
            <w:tr w14:paraId="1E96D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315C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ru-RU"/>
                    </w:rPr>
                  </w:pPr>
                  <w:r>
                    <w:rPr>
                      <w:rFonts w:hint="default"/>
                      <w:color w:val="auto"/>
                      <w:sz w:val="21"/>
                      <w:szCs w:val="21"/>
                      <w:highlight w:val="none"/>
                    </w:rPr>
                    <w:t>33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6F750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氰化钾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94B6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标准溶液</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4D1C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C0E0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51919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100mL瓶装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28F5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ru-RU"/>
                    </w:rPr>
                  </w:pPr>
                  <w:r>
                    <w:rPr>
                      <w:rFonts w:hint="default"/>
                      <w:color w:val="auto"/>
                      <w:sz w:val="21"/>
                      <w:szCs w:val="21"/>
                      <w:highlight w:val="none"/>
                      <w:lang w:val="ru-RU"/>
                    </w:rPr>
                    <w:t>试剂室</w:t>
                  </w:r>
                </w:p>
              </w:tc>
            </w:tr>
            <w:tr w14:paraId="44DFE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1DCC5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299B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硝酸钠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BD25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2A60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F34D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E525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6D45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ACFB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3BC57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049B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亚硝酸钠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C53E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1F63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6549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9E82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D2B0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37D4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61683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1FA6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硝酸钾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D005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4990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E92D0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A67F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D6B9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174A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645F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A153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氯化钾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5AB5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7DFA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19DA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1F42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CCAE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7A04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095A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ADFC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氯化钙</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256EA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91FE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F61C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265D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5D73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E0D6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4A26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39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C591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无水硫酸钠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3F4D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9A9E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F1C0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19A5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E65D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6F59B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4808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1771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四氯乙烯</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F27C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环保专用</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E30D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1811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10</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75D3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4B779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9A6B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87F7E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39CF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氯化铵</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E3A4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37F7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3161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45D1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2DED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7125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19C05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EABD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三</w:t>
                  </w:r>
                  <w:r>
                    <w:rPr>
                      <w:rFonts w:hint="default"/>
                      <w:color w:val="auto"/>
                      <w:sz w:val="21"/>
                      <w:szCs w:val="21"/>
                      <w:highlight w:val="none"/>
                    </w:rPr>
                    <w:t>氯化铁</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BF84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764F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5455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F543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F819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7BA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8A15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43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916A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过</w:t>
                  </w:r>
                  <w:r>
                    <w:rPr>
                      <w:rFonts w:hint="default"/>
                      <w:color w:val="auto"/>
                      <w:sz w:val="21"/>
                      <w:szCs w:val="21"/>
                      <w:highlight w:val="none"/>
                    </w:rPr>
                    <w:t>硫酸钾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9291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B084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D6F7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19B3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F80A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529B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1EE0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default"/>
                      <w:color w:val="auto"/>
                      <w:sz w:val="21"/>
                      <w:szCs w:val="21"/>
                      <w:highlight w:val="none"/>
                    </w:rPr>
                    <w:t>4</w:t>
                  </w:r>
                  <w:r>
                    <w:rPr>
                      <w:rFonts w:hint="eastAsia"/>
                      <w:color w:val="auto"/>
                      <w:sz w:val="21"/>
                      <w:szCs w:val="21"/>
                      <w:highlight w:val="none"/>
                      <w:lang w:val="en-US" w:eastAsia="zh-CN"/>
                    </w:rPr>
                    <w:t>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960E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硫酸肼</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516C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8653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0945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0D32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rPr>
                    <w:t>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5F12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DAC9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C851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45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4E8C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硫酸银</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E3F2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EAC1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FD9D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3B36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547E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5613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65B11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3048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硫酸锰（无水二价）</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0497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6587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FA0A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50E1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250</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46D396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EE75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E3B6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1FDD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硫酸锌</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9CEC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C894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B753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595D4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48E7A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BE20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8FCD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0D92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硫酸铝钾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429C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1CBC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B42E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56BE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0984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2982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6FBD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4</w:t>
                  </w:r>
                  <w:r>
                    <w:rPr>
                      <w:rFonts w:hint="eastAsia"/>
                      <w:color w:val="auto"/>
                      <w:sz w:val="21"/>
                      <w:szCs w:val="21"/>
                      <w:highlight w:val="none"/>
                      <w:lang w:val="en-US" w:eastAsia="zh-CN"/>
                    </w:rPr>
                    <w:t>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9556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硫酸亚铁铵</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0FBF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C398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409D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D4155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7D61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55FC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FB6F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50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A70E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硫酸铁铵</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CBCF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B1C3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2135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3365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101E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6F16F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85BE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default"/>
                      <w:color w:val="auto"/>
                      <w:sz w:val="21"/>
                      <w:szCs w:val="21"/>
                      <w:highlight w:val="none"/>
                    </w:rPr>
                    <w:t>5</w:t>
                  </w:r>
                  <w:r>
                    <w:rPr>
                      <w:rFonts w:hint="eastAsia"/>
                      <w:color w:val="auto"/>
                      <w:sz w:val="21"/>
                      <w:szCs w:val="21"/>
                      <w:highlight w:val="none"/>
                      <w:lang w:val="en-US" w:eastAsia="zh-CN"/>
                    </w:rPr>
                    <w:t>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7F0D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硫酸镁（七水）</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8A44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3C21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CAC5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E9CA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8BE9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E2B4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9DF7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5</w:t>
                  </w:r>
                  <w:r>
                    <w:rPr>
                      <w:rFonts w:hint="eastAsia"/>
                      <w:color w:val="auto"/>
                      <w:sz w:val="21"/>
                      <w:szCs w:val="21"/>
                      <w:highlight w:val="none"/>
                      <w:lang w:val="en-US" w:eastAsia="zh-CN"/>
                    </w:rPr>
                    <w:t>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EE285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磷酸氢二钠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E3D4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9A9C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71FB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2B690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79FB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796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0DEF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5</w:t>
                  </w:r>
                  <w:r>
                    <w:rPr>
                      <w:rFonts w:hint="eastAsia"/>
                      <w:color w:val="auto"/>
                      <w:sz w:val="21"/>
                      <w:szCs w:val="21"/>
                      <w:highlight w:val="none"/>
                      <w:lang w:val="en-US" w:eastAsia="zh-CN"/>
                    </w:rPr>
                    <w:t>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670D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磷酸氢二钾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A6EF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E2A8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EE7D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56945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07374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5C00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DDE6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5</w:t>
                  </w:r>
                  <w:r>
                    <w:rPr>
                      <w:rFonts w:hint="eastAsia"/>
                      <w:color w:val="auto"/>
                      <w:sz w:val="21"/>
                      <w:szCs w:val="21"/>
                      <w:highlight w:val="none"/>
                      <w:lang w:val="en-US" w:eastAsia="zh-CN"/>
                    </w:rPr>
                    <w:t>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9744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磷酸二氢钠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C7C7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A11A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4</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1D6E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EAA9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09D4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A745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14B1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55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5D84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磷酸二氢钾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6B8E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6656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56AC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943BE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ACEE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A70E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2F08E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74759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柠檬酸三钠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F21D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05B52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298D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A4F6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6C17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6A1B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91B4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1ACE1E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乙二胺四乙酸二钠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FC3C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B1D3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C29D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83C1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rPr>
                    <w:t>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C162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1EDB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1309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B6AF9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酚酞</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AF7CC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5BFA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350F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73A05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DAE4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F5DF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BE86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9450F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甲亚胺</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8AF3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F2A0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B1BB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78C5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r>
                    <w:rPr>
                      <w:rFonts w:hint="default"/>
                      <w:color w:val="auto"/>
                      <w:sz w:val="21"/>
                      <w:szCs w:val="21"/>
                      <w:highlight w:val="none"/>
                    </w:rPr>
                    <w:t>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4EB12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0A6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2599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E3089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rPr>
                  </w:pPr>
                  <w:r>
                    <w:rPr>
                      <w:rFonts w:hint="default"/>
                      <w:color w:val="auto"/>
                      <w:sz w:val="21"/>
                      <w:szCs w:val="21"/>
                      <w:highlight w:val="none"/>
                    </w:rPr>
                    <w:t>邻菲</w:t>
                  </w:r>
                  <w:r>
                    <w:rPr>
                      <w:rFonts w:hint="eastAsia"/>
                      <w:color w:val="auto"/>
                      <w:sz w:val="21"/>
                      <w:szCs w:val="21"/>
                      <w:highlight w:val="none"/>
                      <w:lang w:val="en-US" w:eastAsia="zh-CN"/>
                    </w:rPr>
                    <w:t>啰</w:t>
                  </w:r>
                  <w:r>
                    <w:rPr>
                      <w:rFonts w:hint="default"/>
                      <w:color w:val="auto"/>
                      <w:sz w:val="21"/>
                      <w:szCs w:val="21"/>
                      <w:highlight w:val="none"/>
                    </w:rPr>
                    <w:t>啉</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3C29D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8948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254E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406F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color w:val="auto"/>
                      <w:sz w:val="21"/>
                      <w:szCs w:val="21"/>
                      <w:highlight w:val="none"/>
                      <w:lang w:val="en-US" w:eastAsia="zh-CN"/>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FA79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6A4B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4F8F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332A1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铬黑T</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C66B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53C4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7D66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55782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304A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08E89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BB1B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23D6D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酒石酸钾钠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1C1CA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323E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05A3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1E3D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60C6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1D84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C1AB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5AE41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异烟酸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6C1C1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D1C4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A8CE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4BEA1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8990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7C41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89D9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705EDA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甲基橙</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7ED90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指示剂</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00AB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D133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105C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F989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3BF9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AFBA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0581F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溴酸钾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0836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4AC47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611A4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174C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5486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90CA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67021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C4829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溴化钾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2167F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57BC1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2</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59038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96EF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5B5B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76C5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FEAE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A4F618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高锰酸钾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36F0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7EFF49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5FE0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BA7C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2171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085B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92FD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F5AAB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铜</w:t>
                  </w:r>
                  <w:r>
                    <w:rPr>
                      <w:rFonts w:hint="eastAsia"/>
                      <w:color w:val="auto"/>
                      <w:sz w:val="21"/>
                      <w:szCs w:val="21"/>
                      <w:highlight w:val="none"/>
                      <w:lang w:val="en-US" w:eastAsia="zh-CN"/>
                    </w:rPr>
                    <w:t>粉</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2AEC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0F55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7775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E2B3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rPr>
                    <w:t>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7C7A9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6407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EB7C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69</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65951E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碘化钾</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42C8C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8561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CFFC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0463D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52C49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B3CA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77B99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07BC7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酒石酸钾钠</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18F00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0096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0D771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33134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500克瓶装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CACD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C2ED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49F01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71</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6D8B6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硫酸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592A6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23740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28102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191B9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15F15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292E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2845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72</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41EB2E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钼酸</w:t>
                  </w:r>
                </w:p>
              </w:tc>
              <w:tc>
                <w:tcPr>
                  <w:tcW w:w="668" w:type="pct"/>
                  <w:tcBorders>
                    <w:top w:val="single" w:color="auto" w:sz="6" w:space="0"/>
                    <w:left w:val="single" w:color="auto" w:sz="6" w:space="0"/>
                    <w:bottom w:val="single" w:color="auto" w:sz="6" w:space="0"/>
                    <w:right w:val="single" w:color="auto" w:sz="6" w:space="0"/>
                  </w:tcBorders>
                  <w:noWrap w:val="0"/>
                  <w:vAlign w:val="center"/>
                </w:tcPr>
                <w:p w14:paraId="03878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C1D3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9FE3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855" w:type="pct"/>
                  <w:tcBorders>
                    <w:top w:val="single" w:color="auto" w:sz="6" w:space="0"/>
                    <w:left w:val="single" w:color="auto" w:sz="6" w:space="0"/>
                    <w:bottom w:val="single" w:color="auto" w:sz="6" w:space="0"/>
                    <w:right w:val="single" w:color="auto" w:sz="6" w:space="0"/>
                  </w:tcBorders>
                  <w:noWrap w:val="0"/>
                  <w:vAlign w:val="center"/>
                </w:tcPr>
                <w:p w14:paraId="6FC18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58D8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36288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3F4DA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73</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6D18F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2,6-二硝基酚</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66952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09615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43DA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547BF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173DEA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44B0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6FE44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74</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0D6FB6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二硫化碳</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72FF05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61F785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7D21C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77371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1</w:t>
                  </w:r>
                  <w:r>
                    <w:rPr>
                      <w:rFonts w:hint="default"/>
                      <w:color w:val="auto"/>
                      <w:sz w:val="21"/>
                      <w:szCs w:val="21"/>
                      <w:highlight w:val="none"/>
                      <w:lang w:val="ru-RU"/>
                    </w:rPr>
                    <w:t>0mL瓶装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4CABB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lang w:val="ru-RU"/>
                    </w:rPr>
                    <w:t>试剂室</w:t>
                  </w:r>
                </w:p>
              </w:tc>
            </w:tr>
            <w:tr w14:paraId="6B7F0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5DD5A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17A6C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重铬酸钾</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3AF50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C804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5925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47B19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25</w:t>
                  </w:r>
                  <w:r>
                    <w:rPr>
                      <w:rFonts w:hint="default"/>
                      <w:color w:val="auto"/>
                      <w:sz w:val="21"/>
                      <w:szCs w:val="21"/>
                      <w:highlight w:val="none"/>
                    </w:rPr>
                    <w:t>克瓶装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201A4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13B8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29A81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76</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58E116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亚铁灵指示剂溶液</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25E195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33205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4F0BE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055FE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66F8B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54235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5" w:type="dxa"/>
                  <w:tcBorders>
                    <w:top w:val="single" w:color="auto" w:sz="6" w:space="0"/>
                    <w:left w:val="single" w:color="auto" w:sz="6" w:space="0"/>
                    <w:bottom w:val="single" w:color="auto" w:sz="6" w:space="0"/>
                    <w:right w:val="single" w:color="auto" w:sz="6" w:space="0"/>
                  </w:tcBorders>
                  <w:noWrap w:val="0"/>
                  <w:vAlign w:val="center"/>
                </w:tcPr>
                <w:p w14:paraId="00877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77</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3A8A32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三氯甲烷</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4BC6A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562A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13D75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1FA10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7F595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64AEF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6F03B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78</w:t>
                  </w:r>
                </w:p>
              </w:tc>
              <w:tc>
                <w:tcPr>
                  <w:tcW w:w="1150" w:type="pct"/>
                  <w:tcBorders>
                    <w:top w:val="single" w:color="auto" w:sz="6" w:space="0"/>
                    <w:left w:val="single" w:color="auto" w:sz="6" w:space="0"/>
                    <w:bottom w:val="single" w:color="auto" w:sz="6" w:space="0"/>
                    <w:right w:val="single" w:color="auto" w:sz="6" w:space="0"/>
                  </w:tcBorders>
                  <w:noWrap w:val="0"/>
                  <w:vAlign w:val="center"/>
                </w:tcPr>
                <w:p w14:paraId="241ECC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甲醛</w:t>
                  </w:r>
                </w:p>
              </w:tc>
              <w:tc>
                <w:tcPr>
                  <w:tcW w:w="1116" w:type="dxa"/>
                  <w:tcBorders>
                    <w:top w:val="single" w:color="auto" w:sz="6" w:space="0"/>
                    <w:left w:val="single" w:color="auto" w:sz="6" w:space="0"/>
                    <w:bottom w:val="single" w:color="auto" w:sz="6" w:space="0"/>
                    <w:right w:val="single" w:color="auto" w:sz="6" w:space="0"/>
                  </w:tcBorders>
                  <w:noWrap w:val="0"/>
                  <w:vAlign w:val="center"/>
                </w:tcPr>
                <w:p w14:paraId="2054E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AR</w:t>
                  </w:r>
                </w:p>
              </w:tc>
              <w:tc>
                <w:tcPr>
                  <w:tcW w:w="566" w:type="pct"/>
                  <w:tcBorders>
                    <w:top w:val="single" w:color="auto" w:sz="6" w:space="0"/>
                    <w:left w:val="single" w:color="auto" w:sz="6" w:space="0"/>
                    <w:bottom w:val="single" w:color="auto" w:sz="6" w:space="0"/>
                    <w:right w:val="single" w:color="auto" w:sz="6" w:space="0"/>
                  </w:tcBorders>
                  <w:noWrap w:val="0"/>
                  <w:vAlign w:val="center"/>
                </w:tcPr>
                <w:p w14:paraId="1A9AB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684" w:type="pct"/>
                  <w:tcBorders>
                    <w:top w:val="single" w:color="auto" w:sz="6" w:space="0"/>
                    <w:left w:val="single" w:color="auto" w:sz="6" w:space="0"/>
                    <w:bottom w:val="single" w:color="auto" w:sz="6" w:space="0"/>
                    <w:right w:val="single" w:color="auto" w:sz="6" w:space="0"/>
                  </w:tcBorders>
                  <w:noWrap w:val="0"/>
                  <w:vAlign w:val="center"/>
                </w:tcPr>
                <w:p w14:paraId="3945F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428" w:type="dxa"/>
                  <w:tcBorders>
                    <w:top w:val="single" w:color="auto" w:sz="6" w:space="0"/>
                    <w:left w:val="single" w:color="auto" w:sz="6" w:space="0"/>
                    <w:bottom w:val="single" w:color="auto" w:sz="6" w:space="0"/>
                    <w:right w:val="single" w:color="auto" w:sz="6" w:space="0"/>
                  </w:tcBorders>
                  <w:noWrap w:val="0"/>
                  <w:vAlign w:val="center"/>
                </w:tcPr>
                <w:p w14:paraId="7B17C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500mL瓶装</w:t>
                  </w:r>
                </w:p>
              </w:tc>
              <w:tc>
                <w:tcPr>
                  <w:tcW w:w="1201" w:type="dxa"/>
                  <w:tcBorders>
                    <w:top w:val="single" w:color="auto" w:sz="6" w:space="0"/>
                    <w:left w:val="single" w:color="auto" w:sz="6" w:space="0"/>
                    <w:bottom w:val="single" w:color="auto" w:sz="6" w:space="0"/>
                    <w:right w:val="single" w:color="auto" w:sz="6" w:space="0"/>
                  </w:tcBorders>
                  <w:noWrap w:val="0"/>
                  <w:vAlign w:val="center"/>
                </w:tcPr>
                <w:p w14:paraId="23C70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试剂室</w:t>
                  </w:r>
                </w:p>
              </w:tc>
            </w:tr>
            <w:tr w14:paraId="77A0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3D832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color w:val="auto"/>
                      <w:sz w:val="21"/>
                      <w:szCs w:val="21"/>
                      <w:highlight w:val="none"/>
                    </w:rPr>
                  </w:pPr>
                  <w:r>
                    <w:rPr>
                      <w:rFonts w:hint="default"/>
                      <w:color w:val="auto"/>
                      <w:sz w:val="21"/>
                      <w:szCs w:val="21"/>
                      <w:highlight w:val="none"/>
                    </w:rPr>
                    <w:t>二</w:t>
                  </w:r>
                </w:p>
              </w:tc>
              <w:tc>
                <w:tcPr>
                  <w:tcW w:w="4643" w:type="pct"/>
                  <w:gridSpan w:val="6"/>
                  <w:tcBorders>
                    <w:top w:val="single" w:color="auto" w:sz="6" w:space="0"/>
                    <w:left w:val="single" w:color="auto" w:sz="6" w:space="0"/>
                    <w:bottom w:val="single" w:color="auto" w:sz="6" w:space="0"/>
                    <w:right w:val="single" w:color="auto" w:sz="6" w:space="0"/>
                  </w:tcBorders>
                  <w:noWrap w:val="0"/>
                  <w:vAlign w:val="center"/>
                </w:tcPr>
                <w:p w14:paraId="53366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default"/>
                      <w:color w:val="auto"/>
                      <w:sz w:val="21"/>
                      <w:szCs w:val="21"/>
                      <w:highlight w:val="none"/>
                    </w:rPr>
                  </w:pPr>
                  <w:r>
                    <w:rPr>
                      <w:rFonts w:hint="default"/>
                      <w:color w:val="auto"/>
                      <w:sz w:val="21"/>
                      <w:szCs w:val="21"/>
                      <w:highlight w:val="none"/>
                    </w:rPr>
                    <w:t>能源消耗</w:t>
                  </w:r>
                </w:p>
              </w:tc>
            </w:tr>
            <w:tr w14:paraId="256F4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036AA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1818" w:type="pct"/>
                  <w:gridSpan w:val="2"/>
                  <w:tcBorders>
                    <w:top w:val="single" w:color="auto" w:sz="6" w:space="0"/>
                    <w:left w:val="single" w:color="auto" w:sz="6" w:space="0"/>
                    <w:bottom w:val="single" w:color="auto" w:sz="6" w:space="0"/>
                    <w:right w:val="single" w:color="auto" w:sz="6" w:space="0"/>
                  </w:tcBorders>
                  <w:noWrap w:val="0"/>
                  <w:vAlign w:val="center"/>
                </w:tcPr>
                <w:p w14:paraId="769EC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能源名称</w:t>
                  </w:r>
                </w:p>
              </w:tc>
              <w:tc>
                <w:tcPr>
                  <w:tcW w:w="2106" w:type="pct"/>
                  <w:gridSpan w:val="3"/>
                  <w:tcBorders>
                    <w:top w:val="single" w:color="auto" w:sz="6" w:space="0"/>
                    <w:left w:val="single" w:color="auto" w:sz="6" w:space="0"/>
                    <w:bottom w:val="single" w:color="auto" w:sz="6" w:space="0"/>
                    <w:right w:val="single" w:color="auto" w:sz="6" w:space="0"/>
                  </w:tcBorders>
                  <w:noWrap w:val="0"/>
                  <w:vAlign w:val="center"/>
                </w:tcPr>
                <w:p w14:paraId="623F5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消耗量</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6D7C2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备注</w:t>
                  </w:r>
                </w:p>
              </w:tc>
            </w:tr>
            <w:tr w14:paraId="41F8B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41A85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1</w:t>
                  </w:r>
                </w:p>
              </w:tc>
              <w:tc>
                <w:tcPr>
                  <w:tcW w:w="1818" w:type="pct"/>
                  <w:gridSpan w:val="2"/>
                  <w:tcBorders>
                    <w:top w:val="single" w:color="auto" w:sz="6" w:space="0"/>
                    <w:left w:val="single" w:color="auto" w:sz="6" w:space="0"/>
                    <w:bottom w:val="single" w:color="auto" w:sz="6" w:space="0"/>
                    <w:right w:val="single" w:color="auto" w:sz="6" w:space="0"/>
                  </w:tcBorders>
                  <w:noWrap w:val="0"/>
                  <w:vAlign w:val="center"/>
                </w:tcPr>
                <w:p w14:paraId="08811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水</w:t>
                  </w:r>
                </w:p>
              </w:tc>
              <w:tc>
                <w:tcPr>
                  <w:tcW w:w="2106" w:type="pct"/>
                  <w:gridSpan w:val="3"/>
                  <w:tcBorders>
                    <w:top w:val="single" w:color="auto" w:sz="6" w:space="0"/>
                    <w:left w:val="single" w:color="auto" w:sz="6" w:space="0"/>
                    <w:bottom w:val="single" w:color="auto" w:sz="6" w:space="0"/>
                    <w:right w:val="single" w:color="auto" w:sz="6" w:space="0"/>
                  </w:tcBorders>
                  <w:noWrap w:val="0"/>
                  <w:vAlign w:val="center"/>
                </w:tcPr>
                <w:p w14:paraId="224A0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0000FF"/>
                      <w:sz w:val="21"/>
                      <w:szCs w:val="21"/>
                      <w:highlight w:val="none"/>
                      <w:lang w:val="en-US" w:eastAsia="zh-CN"/>
                    </w:rPr>
                    <w:t>1826.1</w:t>
                  </w:r>
                  <w:r>
                    <w:rPr>
                      <w:rFonts w:hint="default"/>
                      <w:color w:val="0000FF"/>
                      <w:sz w:val="21"/>
                      <w:szCs w:val="21"/>
                      <w:highlight w:val="none"/>
                    </w:rPr>
                    <w:t>t/a</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39448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市政供水</w:t>
                  </w:r>
                </w:p>
              </w:tc>
            </w:tr>
            <w:tr w14:paraId="5B95A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6" w:type="pct"/>
                  <w:tcBorders>
                    <w:top w:val="single" w:color="auto" w:sz="6" w:space="0"/>
                    <w:left w:val="single" w:color="auto" w:sz="6" w:space="0"/>
                    <w:bottom w:val="single" w:color="auto" w:sz="6" w:space="0"/>
                    <w:right w:val="single" w:color="auto" w:sz="6" w:space="0"/>
                  </w:tcBorders>
                  <w:noWrap w:val="0"/>
                  <w:vAlign w:val="center"/>
                </w:tcPr>
                <w:p w14:paraId="4CA29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2</w:t>
                  </w:r>
                </w:p>
              </w:tc>
              <w:tc>
                <w:tcPr>
                  <w:tcW w:w="1818" w:type="pct"/>
                  <w:gridSpan w:val="2"/>
                  <w:tcBorders>
                    <w:top w:val="single" w:color="auto" w:sz="6" w:space="0"/>
                    <w:left w:val="single" w:color="auto" w:sz="6" w:space="0"/>
                    <w:bottom w:val="single" w:color="auto" w:sz="6" w:space="0"/>
                    <w:right w:val="single" w:color="auto" w:sz="6" w:space="0"/>
                  </w:tcBorders>
                  <w:noWrap w:val="0"/>
                  <w:vAlign w:val="center"/>
                </w:tcPr>
                <w:p w14:paraId="12E41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电</w:t>
                  </w:r>
                </w:p>
              </w:tc>
              <w:tc>
                <w:tcPr>
                  <w:tcW w:w="2106" w:type="pct"/>
                  <w:gridSpan w:val="3"/>
                  <w:tcBorders>
                    <w:top w:val="single" w:color="auto" w:sz="6" w:space="0"/>
                    <w:left w:val="single" w:color="auto" w:sz="6" w:space="0"/>
                    <w:bottom w:val="single" w:color="auto" w:sz="6" w:space="0"/>
                    <w:right w:val="single" w:color="auto" w:sz="6" w:space="0"/>
                  </w:tcBorders>
                  <w:noWrap w:val="0"/>
                  <w:vAlign w:val="center"/>
                </w:tcPr>
                <w:p w14:paraId="3EDAC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5000</w:t>
                  </w:r>
                  <w:r>
                    <w:rPr>
                      <w:rFonts w:hint="default"/>
                      <w:color w:val="auto"/>
                      <w:sz w:val="21"/>
                      <w:szCs w:val="21"/>
                      <w:highlight w:val="none"/>
                    </w:rPr>
                    <w:t>kW•h/a</w:t>
                  </w:r>
                </w:p>
              </w:tc>
              <w:tc>
                <w:tcPr>
                  <w:tcW w:w="718" w:type="pct"/>
                  <w:tcBorders>
                    <w:top w:val="single" w:color="auto" w:sz="6" w:space="0"/>
                    <w:left w:val="single" w:color="auto" w:sz="6" w:space="0"/>
                    <w:bottom w:val="single" w:color="auto" w:sz="6" w:space="0"/>
                    <w:right w:val="single" w:color="auto" w:sz="6" w:space="0"/>
                  </w:tcBorders>
                  <w:noWrap w:val="0"/>
                  <w:vAlign w:val="center"/>
                </w:tcPr>
                <w:p w14:paraId="21C98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市政电网</w:t>
                  </w:r>
                </w:p>
              </w:tc>
            </w:tr>
          </w:tbl>
          <w:p w14:paraId="67E6EE47">
            <w:pPr>
              <w:pStyle w:val="14"/>
              <w:keepNext w:val="0"/>
              <w:keepLines w:val="0"/>
              <w:widowControl/>
              <w:suppressLineNumbers w:val="0"/>
              <w:shd w:val="clear" w:color="auto" w:fill="FFFFFF"/>
              <w:spacing w:before="0" w:beforeAutospacing="0" w:after="0" w:afterAutospacing="0"/>
              <w:ind w:left="0" w:right="0" w:firstLine="422" w:firstLineChars="200"/>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注：GR表示优级纯试剂，浓度为99.9%，AR表示分析纯试剂，浓度为99.5%。</w:t>
            </w:r>
          </w:p>
          <w:p w14:paraId="38007787">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主要原辅料理化性质：</w:t>
            </w:r>
          </w:p>
          <w:p w14:paraId="1D45C9CC">
            <w:pPr>
              <w:pStyle w:val="47"/>
              <w:keepNext w:val="0"/>
              <w:keepLines w:val="0"/>
              <w:suppressLineNumbers w:val="0"/>
              <w:spacing w:before="0" w:beforeAutospacing="0" w:after="0" w:afterAutospacing="0" w:line="360" w:lineRule="auto"/>
              <w:ind w:left="0" w:right="0"/>
              <w:rPr>
                <w:rFonts w:hint="default" w:eastAsia="宋体"/>
                <w:b/>
                <w:bCs/>
                <w:color w:val="auto"/>
                <w:sz w:val="21"/>
                <w:szCs w:val="21"/>
                <w:highlight w:val="none"/>
              </w:rPr>
            </w:pPr>
            <w:r>
              <w:rPr>
                <w:rFonts w:hint="default" w:eastAsia="宋体"/>
                <w:b/>
                <w:bCs/>
                <w:color w:val="auto"/>
                <w:sz w:val="21"/>
                <w:szCs w:val="21"/>
                <w:highlight w:val="none"/>
              </w:rPr>
              <w:t>表2-</w:t>
            </w:r>
            <w:r>
              <w:rPr>
                <w:rFonts w:hint="eastAsia" w:eastAsia="宋体"/>
                <w:b/>
                <w:bCs/>
                <w:color w:val="auto"/>
                <w:sz w:val="21"/>
                <w:szCs w:val="21"/>
                <w:highlight w:val="none"/>
                <w:lang w:val="en-US" w:eastAsia="zh-CN"/>
              </w:rPr>
              <w:t>6</w:t>
            </w:r>
            <w:r>
              <w:rPr>
                <w:rFonts w:hint="default" w:eastAsia="宋体"/>
                <w:b/>
                <w:bCs/>
                <w:color w:val="auto"/>
                <w:sz w:val="21"/>
                <w:szCs w:val="21"/>
                <w:highlight w:val="none"/>
              </w:rPr>
              <w:t xml:space="preserve"> </w:t>
            </w:r>
            <w:r>
              <w:rPr>
                <w:rFonts w:hint="eastAsia" w:eastAsia="宋体"/>
                <w:b/>
                <w:bCs/>
                <w:color w:val="auto"/>
                <w:sz w:val="21"/>
                <w:szCs w:val="21"/>
                <w:highlight w:val="none"/>
              </w:rPr>
              <w:t xml:space="preserve"> </w:t>
            </w:r>
            <w:r>
              <w:rPr>
                <w:rFonts w:hint="default" w:eastAsia="宋体"/>
                <w:b/>
                <w:bCs/>
                <w:color w:val="auto"/>
                <w:sz w:val="21"/>
                <w:szCs w:val="21"/>
                <w:highlight w:val="none"/>
              </w:rPr>
              <w:t>主要原辅料理化性质</w:t>
            </w:r>
          </w:p>
          <w:tbl>
            <w:tblPr>
              <w:tblStyle w:val="18"/>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447"/>
              <w:gridCol w:w="852"/>
              <w:gridCol w:w="997"/>
              <w:gridCol w:w="4024"/>
              <w:gridCol w:w="2058"/>
            </w:tblGrid>
            <w:tr w14:paraId="7E701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ACEE1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color w:val="auto"/>
                      <w:sz w:val="18"/>
                      <w:szCs w:val="18"/>
                      <w:highlight w:val="none"/>
                    </w:rPr>
                  </w:pPr>
                  <w:r>
                    <w:rPr>
                      <w:rFonts w:hint="default"/>
                      <w:b/>
                      <w:bCs/>
                      <w:color w:val="auto"/>
                      <w:sz w:val="18"/>
                      <w:szCs w:val="18"/>
                      <w:highlight w:val="none"/>
                    </w:rPr>
                    <w:t>序号</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C56E6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color w:val="auto"/>
                      <w:sz w:val="18"/>
                      <w:szCs w:val="18"/>
                      <w:highlight w:val="none"/>
                    </w:rPr>
                  </w:pPr>
                  <w:r>
                    <w:rPr>
                      <w:rFonts w:hint="default"/>
                      <w:b/>
                      <w:bCs/>
                      <w:color w:val="auto"/>
                      <w:sz w:val="18"/>
                      <w:szCs w:val="18"/>
                      <w:highlight w:val="none"/>
                    </w:rPr>
                    <w:t>试剂名称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06404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color w:val="auto"/>
                      <w:sz w:val="18"/>
                      <w:szCs w:val="18"/>
                      <w:highlight w:val="none"/>
                    </w:rPr>
                  </w:pPr>
                  <w:r>
                    <w:rPr>
                      <w:rFonts w:hint="default"/>
                      <w:b/>
                      <w:bCs/>
                      <w:color w:val="auto"/>
                      <w:sz w:val="18"/>
                      <w:szCs w:val="18"/>
                      <w:highlight w:val="none"/>
                    </w:rPr>
                    <w:t>分子式</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F7F97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color w:val="auto"/>
                      <w:sz w:val="18"/>
                      <w:szCs w:val="18"/>
                      <w:highlight w:val="none"/>
                    </w:rPr>
                  </w:pPr>
                  <w:r>
                    <w:rPr>
                      <w:rFonts w:hint="default"/>
                      <w:b/>
                      <w:bCs/>
                      <w:color w:val="auto"/>
                      <w:sz w:val="18"/>
                      <w:szCs w:val="18"/>
                      <w:highlight w:val="none"/>
                    </w:rPr>
                    <w:t>理化性质、爆炸性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151DD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color w:val="auto"/>
                      <w:sz w:val="18"/>
                      <w:szCs w:val="18"/>
                      <w:highlight w:val="none"/>
                    </w:rPr>
                  </w:pPr>
                  <w:r>
                    <w:rPr>
                      <w:rFonts w:hint="default"/>
                      <w:b/>
                      <w:bCs/>
                      <w:color w:val="auto"/>
                      <w:kern w:val="0"/>
                      <w:sz w:val="18"/>
                      <w:szCs w:val="18"/>
                      <w:highlight w:val="none"/>
                    </w:rPr>
                    <w:t>主要危险性</w:t>
                  </w:r>
                </w:p>
              </w:tc>
            </w:tr>
            <w:tr w14:paraId="141C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D4B28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20CCF3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氢氧化钠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2D3B8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NaOH</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E33065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俗称烧碱、火碱、苛性钠，纯品是无色透明的晶体，具有高腐蚀性、潮解性；密度2.130、熔点318.4℃、沸点1390℃</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7206A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：无资料；刺激性：家兔经眼：1%重度刺激；家兔经皮：50mg/24小时，重度刺激</w:t>
                  </w:r>
                </w:p>
              </w:tc>
            </w:tr>
            <w:tr w14:paraId="2D57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7D730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24249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氢氧化钾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DFB40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KOH</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D4A8D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白色粉末或片状固体，具强碱性及腐蚀性，溶于水，能溶于乙醇和甘油。相对密度2.044。熔点380℃（无水）</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531F9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：1230mg/kg(大鼠经口)；LC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0CAB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EACD7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AA4DE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氢氧化铝</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A8941B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Al(OH)</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CAF2B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固态，是铝的氢氧化物。是一种碱，由于又显一定的酸性，所以又可称之为一水合偏铝酸（HAlO</w:t>
                  </w:r>
                  <w:r>
                    <w:rPr>
                      <w:rFonts w:hint="default"/>
                      <w:color w:val="auto"/>
                      <w:sz w:val="18"/>
                      <w:szCs w:val="18"/>
                      <w:highlight w:val="none"/>
                      <w:vertAlign w:val="subscript"/>
                    </w:rPr>
                    <w:t>2</w:t>
                  </w: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O）</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F858C9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w:t>
                  </w:r>
                </w:p>
              </w:tc>
            </w:tr>
            <w:tr w14:paraId="0D1A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B006B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D75B7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氢氧化铵</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70CCE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NH</w:t>
                  </w:r>
                  <w:r>
                    <w:rPr>
                      <w:rFonts w:hint="default"/>
                      <w:color w:val="auto"/>
                      <w:sz w:val="18"/>
                      <w:szCs w:val="18"/>
                      <w:highlight w:val="none"/>
                      <w:vertAlign w:val="subscript"/>
                    </w:rPr>
                    <w:t>3</w:t>
                  </w: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EE483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易挥发逸出氨气；有强烈的刺激性气味，与水混溶，显弱碱性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6F993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w:t>
                  </w:r>
                </w:p>
              </w:tc>
            </w:tr>
            <w:tr w14:paraId="1B7B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B7D6E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DB2148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氢氧化钡</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A190F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Ba(OH)</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CFC09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无色透明结晶或白色粉末。可溶于水和甲醇，微溶于乙醇，几乎不溶于丙酮。相对密度2.188，熔点78℃，折光率1.471；有毒、有腐蚀性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BF1F3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：255mg/kg(小鼠腹腔)；LC</w:t>
                  </w:r>
                  <w:r>
                    <w:rPr>
                      <w:rFonts w:hint="default"/>
                      <w:color w:val="auto"/>
                      <w:sz w:val="18"/>
                      <w:szCs w:val="18"/>
                      <w:highlight w:val="none"/>
                      <w:vertAlign w:val="subscript"/>
                    </w:rPr>
                    <w:t>50</w:t>
                  </w:r>
                  <w:r>
                    <w:rPr>
                      <w:rFonts w:hint="default"/>
                      <w:color w:val="auto"/>
                      <w:sz w:val="18"/>
                      <w:szCs w:val="18"/>
                      <w:highlight w:val="none"/>
                    </w:rPr>
                    <w:t>：无资料</w:t>
                  </w:r>
                </w:p>
              </w:tc>
            </w:tr>
            <w:tr w14:paraId="37E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396C1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43DB6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草酸钠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B117A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2</w:t>
                  </w:r>
                  <w:r>
                    <w:rPr>
                      <w:rFonts w:hint="default"/>
                      <w:color w:val="auto"/>
                      <w:sz w:val="18"/>
                      <w:szCs w:val="18"/>
                      <w:highlight w:val="none"/>
                    </w:rPr>
                    <w:t>Na</w:t>
                  </w:r>
                  <w:r>
                    <w:rPr>
                      <w:rFonts w:hint="default"/>
                      <w:color w:val="auto"/>
                      <w:sz w:val="18"/>
                      <w:szCs w:val="18"/>
                      <w:highlight w:val="none"/>
                      <w:vertAlign w:val="subscript"/>
                    </w:rPr>
                    <w:t>2</w:t>
                  </w:r>
                  <w:r>
                    <w:rPr>
                      <w:rFonts w:hint="default"/>
                      <w:color w:val="auto"/>
                      <w:sz w:val="18"/>
                      <w:szCs w:val="18"/>
                      <w:highlight w:val="none"/>
                    </w:rPr>
                    <w:t>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7D090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它是一种白色结晶性粉末，无气味，有吸湿性。熔点（ºC）250~257（分解）；密度（水=1）</w:t>
                  </w:r>
                  <w:r>
                    <w:rPr>
                      <w:rFonts w:hint="eastAsia"/>
                      <w:color w:val="auto"/>
                      <w:sz w:val="18"/>
                      <w:szCs w:val="18"/>
                      <w:highlight w:val="none"/>
                      <w:lang w:eastAsia="zh-CN"/>
                    </w:rPr>
                    <w:t>：</w:t>
                  </w:r>
                  <w:r>
                    <w:rPr>
                      <w:rFonts w:hint="default"/>
                      <w:color w:val="auto"/>
                      <w:sz w:val="18"/>
                      <w:szCs w:val="18"/>
                      <w:highlight w:val="none"/>
                    </w:rPr>
                    <w:t>2.34；溶于水，不溶于乙醇。灼烧则分解为碳酸钠和一氧化碳</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04F35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：155mg/kg(小鼠腹腔)；LC</w:t>
                  </w:r>
                  <w:r>
                    <w:rPr>
                      <w:rFonts w:hint="default"/>
                      <w:color w:val="auto"/>
                      <w:sz w:val="18"/>
                      <w:szCs w:val="18"/>
                      <w:highlight w:val="none"/>
                      <w:vertAlign w:val="subscript"/>
                    </w:rPr>
                    <w:t>50</w:t>
                  </w:r>
                  <w:r>
                    <w:rPr>
                      <w:rFonts w:hint="default"/>
                      <w:color w:val="auto"/>
                      <w:sz w:val="18"/>
                      <w:szCs w:val="18"/>
                      <w:highlight w:val="none"/>
                    </w:rPr>
                    <w:t>：无资料</w:t>
                  </w:r>
                </w:p>
              </w:tc>
            </w:tr>
            <w:tr w14:paraId="1590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3D0B7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5E267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过氧化氢</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6B0EB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O</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B7300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俗称双氧水。水溶液为无色透明液体，溶于水、醇、乙醚，不溶于苯、石油醚，纯过氧化氢是淡蓝色的粘稠液体，熔点-0.43℃，沸点150.2℃，凝固点时固体密度为1.71g/cm</w:t>
                  </w:r>
                  <w:r>
                    <w:rPr>
                      <w:rFonts w:hint="default"/>
                      <w:color w:val="auto"/>
                      <w:sz w:val="18"/>
                      <w:szCs w:val="18"/>
                      <w:highlight w:val="none"/>
                      <w:vertAlign w:val="superscript"/>
                    </w:rPr>
                    <w:t>3</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EACE3D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：1200mg/kg(老鼠入口实验)；LC</w:t>
                  </w:r>
                  <w:r>
                    <w:rPr>
                      <w:rFonts w:hint="default"/>
                      <w:color w:val="auto"/>
                      <w:sz w:val="18"/>
                      <w:szCs w:val="18"/>
                      <w:highlight w:val="none"/>
                      <w:vertAlign w:val="subscript"/>
                    </w:rPr>
                    <w:t>50</w:t>
                  </w:r>
                  <w:r>
                    <w:rPr>
                      <w:rFonts w:hint="default"/>
                      <w:color w:val="auto"/>
                      <w:sz w:val="18"/>
                      <w:szCs w:val="18"/>
                      <w:highlight w:val="none"/>
                    </w:rPr>
                    <w:t>：无资料</w:t>
                  </w:r>
                </w:p>
              </w:tc>
            </w:tr>
            <w:tr w14:paraId="6E2A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07590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4C216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盐酸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0AFE4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HCl</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00793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俗称氢氯酸，为一元强酸，具有刺激性气味。熔点（℃）：-114.8（纯HCl），沸点（℃）：108.6（20%恒沸溶液），相对密度(水=1)：1.20</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2E2C8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：无资料；慢性影响：长期接触，引起慢性鼻炎、慢性支气管炎、牙齿酸蚀及皮肤损害</w:t>
                  </w:r>
                </w:p>
              </w:tc>
            </w:tr>
            <w:tr w14:paraId="5D85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0BC0C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72188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95%乙醇</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AA74F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CH</w:t>
                  </w:r>
                  <w:r>
                    <w:rPr>
                      <w:rFonts w:hint="default"/>
                      <w:color w:val="auto"/>
                      <w:sz w:val="18"/>
                      <w:szCs w:val="18"/>
                      <w:highlight w:val="none"/>
                      <w:vertAlign w:val="subscript"/>
                    </w:rPr>
                    <w:t>3</w:t>
                  </w:r>
                  <w:r>
                    <w:rPr>
                      <w:rFonts w:hint="default"/>
                      <w:color w:val="auto"/>
                      <w:sz w:val="18"/>
                      <w:szCs w:val="18"/>
                      <w:highlight w:val="none"/>
                    </w:rPr>
                    <w:t>CH</w:t>
                  </w:r>
                  <w:r>
                    <w:rPr>
                      <w:rFonts w:hint="default"/>
                      <w:color w:val="auto"/>
                      <w:sz w:val="18"/>
                      <w:szCs w:val="18"/>
                      <w:highlight w:val="none"/>
                      <w:vertAlign w:val="subscript"/>
                    </w:rPr>
                    <w:t>2</w:t>
                  </w:r>
                  <w:r>
                    <w:rPr>
                      <w:rFonts w:hint="default"/>
                      <w:color w:val="auto"/>
                      <w:sz w:val="18"/>
                      <w:szCs w:val="18"/>
                      <w:highlight w:val="none"/>
                    </w:rPr>
                    <w:t>OH</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99F30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液体有酒香。主要用于制酒工业、有机合成、消毒以及用作溶剂等。熔点：-114.1℃，沸点：78.3℃，饱和蒸汽压：5.8KPa/20℃；相对密度（水=1）：0.79；溶解性：溶于水，可混溶于醚、氯仿、甘油等多数有机溶剂。危险性类别：第3.2中闪点易燃液体。爆炸上限[%（V/V）]：19%</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92FE0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：7060mg/kg(兔经口)；LC</w:t>
                  </w:r>
                  <w:r>
                    <w:rPr>
                      <w:rFonts w:hint="default"/>
                      <w:color w:val="auto"/>
                      <w:sz w:val="18"/>
                      <w:szCs w:val="18"/>
                      <w:highlight w:val="none"/>
                      <w:vertAlign w:val="subscript"/>
                    </w:rPr>
                    <w:t>50</w:t>
                  </w:r>
                  <w:r>
                    <w:rPr>
                      <w:rFonts w:hint="default"/>
                      <w:color w:val="auto"/>
                      <w:sz w:val="18"/>
                      <w:szCs w:val="18"/>
                      <w:highlight w:val="none"/>
                    </w:rPr>
                    <w:t>：37620mg/m</w:t>
                  </w:r>
                  <w:r>
                    <w:rPr>
                      <w:rFonts w:hint="default"/>
                      <w:color w:val="auto"/>
                      <w:sz w:val="18"/>
                      <w:szCs w:val="18"/>
                      <w:highlight w:val="none"/>
                      <w:vertAlign w:val="superscript"/>
                    </w:rPr>
                    <w:t>3</w:t>
                  </w:r>
                  <w:r>
                    <w:rPr>
                      <w:rFonts w:hint="default"/>
                      <w:color w:val="auto"/>
                      <w:sz w:val="18"/>
                      <w:szCs w:val="18"/>
                      <w:highlight w:val="none"/>
                    </w:rPr>
                    <w:t>，10小时(大鼠吸入)</w:t>
                  </w:r>
                </w:p>
              </w:tc>
            </w:tr>
            <w:tr w14:paraId="6C46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2B114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86443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氨水</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52C0A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NH</w:t>
                  </w:r>
                  <w:r>
                    <w:rPr>
                      <w:rFonts w:hint="default"/>
                      <w:color w:val="auto"/>
                      <w:sz w:val="18"/>
                      <w:szCs w:val="18"/>
                      <w:highlight w:val="none"/>
                      <w:vertAlign w:val="subscript"/>
                    </w:rPr>
                    <w:t>4</w:t>
                  </w:r>
                  <w:r>
                    <w:rPr>
                      <w:rFonts w:hint="default"/>
                      <w:color w:val="auto"/>
                      <w:sz w:val="18"/>
                      <w:szCs w:val="18"/>
                      <w:highlight w:val="none"/>
                    </w:rPr>
                    <w:t>OH</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2789B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分子式：NH</w:t>
                  </w:r>
                  <w:r>
                    <w:rPr>
                      <w:rFonts w:hint="default"/>
                      <w:color w:val="auto"/>
                      <w:sz w:val="18"/>
                      <w:szCs w:val="18"/>
                      <w:highlight w:val="none"/>
                      <w:vertAlign w:val="subscript"/>
                    </w:rPr>
                    <w:t>4</w:t>
                  </w:r>
                  <w:r>
                    <w:rPr>
                      <w:rFonts w:hint="default"/>
                      <w:color w:val="auto"/>
                      <w:sz w:val="18"/>
                      <w:szCs w:val="18"/>
                      <w:highlight w:val="none"/>
                    </w:rPr>
                    <w:t>OH；分子量：35.05，熔点（℃）：-77，沸点（℃）：36，无色透明液体。有强烈的刺激性臭味。溶于水、醇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06314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：350mg/kg(大鼠经口)；LC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204A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127AE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6AB40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丙酮</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6FA05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3</w:t>
                  </w:r>
                  <w:r>
                    <w:rPr>
                      <w:rFonts w:hint="default"/>
                      <w:color w:val="auto"/>
                      <w:sz w:val="18"/>
                      <w:szCs w:val="18"/>
                      <w:highlight w:val="none"/>
                    </w:rPr>
                    <w:t>H</w:t>
                  </w:r>
                  <w:r>
                    <w:rPr>
                      <w:rFonts w:hint="default"/>
                      <w:color w:val="auto"/>
                      <w:sz w:val="18"/>
                      <w:szCs w:val="18"/>
                      <w:highlight w:val="none"/>
                      <w:vertAlign w:val="subscript"/>
                    </w:rPr>
                    <w:t>6</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A95539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香气味，极易挥发。熔点-94.6℃，沸点56.5℃，密度0.79，相对</w:t>
                  </w:r>
                  <w:r>
                    <w:rPr>
                      <w:rFonts w:hint="eastAsia"/>
                      <w:color w:val="auto"/>
                      <w:sz w:val="18"/>
                      <w:szCs w:val="18"/>
                      <w:highlight w:val="none"/>
                      <w:lang w:eastAsia="zh-CN"/>
                    </w:rPr>
                    <w:t>蒸气密度</w:t>
                  </w:r>
                  <w:r>
                    <w:rPr>
                      <w:rFonts w:hint="default"/>
                      <w:color w:val="auto"/>
                      <w:sz w:val="18"/>
                      <w:szCs w:val="18"/>
                      <w:highlight w:val="none"/>
                    </w:rPr>
                    <w:t>1.59，与水混溶，可混溶于醚、氯仿、甘油等多数有机溶剂。爆炸上限13.0%（V/V），爆炸下限2.5%（V/V），闪点</w:t>
                  </w:r>
                  <w:r>
                    <w:rPr>
                      <w:rFonts w:hint="eastAsia"/>
                      <w:color w:val="auto"/>
                      <w:sz w:val="18"/>
                      <w:szCs w:val="18"/>
                      <w:highlight w:val="none"/>
                      <w:lang w:eastAsia="zh-CN"/>
                    </w:rPr>
                    <w:t>：</w:t>
                  </w:r>
                  <w:r>
                    <w:rPr>
                      <w:rFonts w:hint="default"/>
                      <w:color w:val="auto"/>
                      <w:sz w:val="18"/>
                      <w:szCs w:val="18"/>
                      <w:highlight w:val="none"/>
                    </w:rPr>
                    <w:t>－20℃</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7F9A6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：5800mg/kg(大鼠经口)；20000mg/kg(兔经皮)；LC</w:t>
                  </w:r>
                  <w:r>
                    <w:rPr>
                      <w:rFonts w:hint="default"/>
                      <w:color w:val="auto"/>
                      <w:sz w:val="18"/>
                      <w:szCs w:val="18"/>
                      <w:highlight w:val="none"/>
                      <w:vertAlign w:val="subscript"/>
                    </w:rPr>
                    <w:t>50</w:t>
                  </w:r>
                  <w:r>
                    <w:rPr>
                      <w:rFonts w:hint="default"/>
                      <w:color w:val="auto"/>
                      <w:sz w:val="18"/>
                      <w:szCs w:val="18"/>
                      <w:highlight w:val="none"/>
                    </w:rPr>
                    <w:t>：无资料</w:t>
                  </w:r>
                </w:p>
              </w:tc>
            </w:tr>
            <w:tr w14:paraId="77E1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DF0C7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12A23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碘化汞</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7695B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HgI</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833774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四角晶体，相对密度6.36g/cm³（25℃）。在127℃转变为黄色，冷却时再变为红色。黄色碘化汞，正交晶体，相对密度6.094g/cm</w:t>
                  </w:r>
                  <w:r>
                    <w:rPr>
                      <w:rFonts w:hint="eastAsia"/>
                      <w:color w:val="auto"/>
                      <w:sz w:val="18"/>
                      <w:szCs w:val="18"/>
                      <w:highlight w:val="none"/>
                      <w:vertAlign w:val="superscript"/>
                      <w:lang w:val="en-US" w:eastAsia="zh-CN"/>
                    </w:rPr>
                    <w:t>3</w:t>
                  </w:r>
                  <w:r>
                    <w:rPr>
                      <w:rFonts w:hint="default"/>
                      <w:color w:val="auto"/>
                      <w:sz w:val="18"/>
                      <w:szCs w:val="18"/>
                      <w:highlight w:val="none"/>
                    </w:rPr>
                    <w:t>（127℃）。熔点259℃。沸点354℃。在室温下不稳定，经过几小时后就转变为稳定的红色变体。不溶于水</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4C9D6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fldChar w:fldCharType="begin"/>
                  </w:r>
                  <w:r>
                    <w:rPr>
                      <w:rFonts w:hint="default"/>
                      <w:color w:val="auto"/>
                      <w:sz w:val="18"/>
                      <w:szCs w:val="18"/>
                      <w:highlight w:val="none"/>
                    </w:rPr>
                    <w:instrText xml:space="preserve"> HYPERLINK "https://baike.baidu.com/item/LC50" \t "_blank" </w:instrText>
                  </w:r>
                  <w:r>
                    <w:rPr>
                      <w:rFonts w:hint="default"/>
                      <w:color w:val="auto"/>
                      <w:sz w:val="18"/>
                      <w:szCs w:val="18"/>
                      <w:highlight w:val="none"/>
                    </w:rPr>
                    <w:fldChar w:fldCharType="separate"/>
                  </w:r>
                  <w:r>
                    <w:rPr>
                      <w:rFonts w:hint="default"/>
                      <w:color w:val="auto"/>
                      <w:sz w:val="18"/>
                      <w:szCs w:val="18"/>
                      <w:highlight w:val="none"/>
                    </w:rPr>
                    <w:t>LC</w:t>
                  </w:r>
                  <w:r>
                    <w:rPr>
                      <w:rFonts w:hint="default"/>
                      <w:color w:val="auto"/>
                      <w:sz w:val="18"/>
                      <w:szCs w:val="18"/>
                      <w:highlight w:val="none"/>
                      <w:vertAlign w:val="subscript"/>
                    </w:rPr>
                    <w:t>50</w:t>
                  </w:r>
                  <w:r>
                    <w:rPr>
                      <w:rFonts w:hint="default"/>
                      <w:color w:val="auto"/>
                      <w:sz w:val="18"/>
                      <w:szCs w:val="18"/>
                      <w:highlight w:val="none"/>
                      <w:vertAlign w:val="subscript"/>
                    </w:rPr>
                    <w:fldChar w:fldCharType="end"/>
                  </w:r>
                  <w:r>
                    <w:rPr>
                      <w:rFonts w:hint="default"/>
                      <w:color w:val="auto"/>
                      <w:sz w:val="18"/>
                      <w:szCs w:val="18"/>
                      <w:highlight w:val="none"/>
                      <w:shd w:val="clear" w:color="auto" w:fill="FFFFFF"/>
                    </w:rPr>
                    <w:t>：18mg/kg（大鼠经口）</w:t>
                  </w:r>
                  <w:r>
                    <w:rPr>
                      <w:rFonts w:hint="eastAsia"/>
                      <w:color w:val="auto"/>
                      <w:sz w:val="18"/>
                      <w:szCs w:val="18"/>
                      <w:highlight w:val="none"/>
                      <w:shd w:val="clear" w:color="auto" w:fill="FFFFFF"/>
                      <w:lang w:eastAsia="zh-CN"/>
                    </w:rPr>
                    <w:t>；</w:t>
                  </w:r>
                  <w:r>
                    <w:rPr>
                      <w:rFonts w:hint="default"/>
                      <w:color w:val="auto"/>
                      <w:sz w:val="18"/>
                      <w:szCs w:val="18"/>
                      <w:highlight w:val="none"/>
                    </w:rPr>
                    <w:fldChar w:fldCharType="begin"/>
                  </w:r>
                  <w:r>
                    <w:rPr>
                      <w:rFonts w:hint="default"/>
                      <w:color w:val="auto"/>
                      <w:sz w:val="18"/>
                      <w:szCs w:val="18"/>
                      <w:highlight w:val="none"/>
                    </w:rPr>
                    <w:instrText xml:space="preserve"> HYPERLINK "https://baike.baidu.com/item/LD50" \t "_blank" </w:instrText>
                  </w:r>
                  <w:r>
                    <w:rPr>
                      <w:rFonts w:hint="default"/>
                      <w:color w:val="auto"/>
                      <w:sz w:val="18"/>
                      <w:szCs w:val="18"/>
                      <w:highlight w:val="none"/>
                    </w:rPr>
                    <w:fldChar w:fldCharType="separate"/>
                  </w: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vertAlign w:val="subscript"/>
                    </w:rPr>
                    <w:fldChar w:fldCharType="end"/>
                  </w:r>
                  <w:r>
                    <w:rPr>
                      <w:rFonts w:hint="default"/>
                      <w:color w:val="auto"/>
                      <w:sz w:val="18"/>
                      <w:szCs w:val="18"/>
                      <w:highlight w:val="none"/>
                      <w:shd w:val="clear" w:color="auto" w:fill="FFFFFF"/>
                    </w:rPr>
                    <w:t>：75mg/kg（大鼠经皮）</w:t>
                  </w:r>
                </w:p>
              </w:tc>
            </w:tr>
            <w:tr w14:paraId="29E3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E7787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13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9BBFD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硝酸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F2D06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HNO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60D07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是一种强氧化性、腐蚀性的强酸。相对密度(d204)1.41，熔点-42℃（无水），沸点120.5℃（68%）</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5BA754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：无资料；强氧化剂，能与多种物质猛烈反应，甚至发生爆炸</w:t>
                  </w:r>
                </w:p>
              </w:tc>
            </w:tr>
            <w:tr w14:paraId="46A8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27E83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3FFCB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磷酸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92B1D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w:t>
                  </w:r>
                  <w:r>
                    <w:rPr>
                      <w:rFonts w:hint="default"/>
                      <w:color w:val="auto"/>
                      <w:sz w:val="18"/>
                      <w:szCs w:val="18"/>
                      <w:highlight w:val="none"/>
                      <w:vertAlign w:val="subscript"/>
                    </w:rPr>
                    <w:t>3</w:t>
                  </w:r>
                  <w:r>
                    <w:rPr>
                      <w:rFonts w:hint="default"/>
                      <w:color w:val="auto"/>
                      <w:sz w:val="18"/>
                      <w:szCs w:val="18"/>
                      <w:highlight w:val="none"/>
                    </w:rPr>
                    <w:t>PO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AE0D9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是一种常见的无机酸，是中强酸。白色固体或者无色粘稠液体（&gt;42℃），密度：1.685g/ml（液体状态），熔点：42.35℃（316K），沸点：158℃（431K）</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02CA3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：1530mg/kg(大鼠经口)；740mg/kg(兔经皮)LC</w:t>
                  </w:r>
                  <w:r>
                    <w:rPr>
                      <w:rFonts w:hint="default"/>
                      <w:color w:val="auto"/>
                      <w:sz w:val="18"/>
                      <w:szCs w:val="18"/>
                      <w:highlight w:val="none"/>
                      <w:vertAlign w:val="subscript"/>
                    </w:rPr>
                    <w:t>50</w:t>
                  </w:r>
                  <w:r>
                    <w:rPr>
                      <w:rFonts w:hint="default"/>
                      <w:color w:val="auto"/>
                      <w:sz w:val="18"/>
                      <w:szCs w:val="18"/>
                      <w:highlight w:val="none"/>
                    </w:rPr>
                    <w:t>：无资料</w:t>
                  </w:r>
                </w:p>
              </w:tc>
            </w:tr>
            <w:tr w14:paraId="15D6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9B0EA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1</w:t>
                  </w:r>
                  <w:r>
                    <w:rPr>
                      <w:rFonts w:hint="eastAsia"/>
                      <w:color w:val="auto"/>
                      <w:sz w:val="18"/>
                      <w:szCs w:val="18"/>
                      <w:highlight w:val="none"/>
                      <w:lang w:val="en-US" w:eastAsia="zh-CN"/>
                    </w:rPr>
                    <w:t>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532FE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高氯酸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C67F9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HClO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02F94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无机化合物，六大无机强酸之一。无水物为无色透明的发烟液体。可助燃，具强腐蚀性、强刺激性。熔点(℃)：-122，相对密度（水=1）：1.76，沸点：203℃</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0C9AF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:1100mg/kg(大鼠经口)；LC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7F2F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67428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eastAsia="zh-CN"/>
                    </w:rPr>
                  </w:pPr>
                  <w:r>
                    <w:rPr>
                      <w:rFonts w:hint="default"/>
                      <w:color w:val="auto"/>
                      <w:sz w:val="18"/>
                      <w:szCs w:val="18"/>
                      <w:highlight w:val="none"/>
                    </w:rPr>
                    <w:t>1</w:t>
                  </w:r>
                  <w:r>
                    <w:rPr>
                      <w:rFonts w:hint="eastAsia"/>
                      <w:color w:val="auto"/>
                      <w:sz w:val="18"/>
                      <w:szCs w:val="18"/>
                      <w:highlight w:val="none"/>
                      <w:lang w:val="en-US" w:eastAsia="zh-CN"/>
                    </w:rPr>
                    <w:t>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9B4E6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硼酸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16825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H</w:t>
                  </w:r>
                  <w:r>
                    <w:rPr>
                      <w:rFonts w:hint="default"/>
                      <w:color w:val="auto"/>
                      <w:sz w:val="18"/>
                      <w:szCs w:val="18"/>
                      <w:highlight w:val="none"/>
                      <w:vertAlign w:val="subscript"/>
                    </w:rPr>
                    <w:t>3</w:t>
                  </w:r>
                  <w:r>
                    <w:rPr>
                      <w:rFonts w:hint="default"/>
                      <w:color w:val="auto"/>
                      <w:sz w:val="18"/>
                      <w:szCs w:val="18"/>
                      <w:highlight w:val="none"/>
                    </w:rPr>
                    <w:t>BO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C6F98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为白色粉末状结晶或三斜轴面鳞片状光泽结晶，有滑腻手感，无臭味。溶于水、酒精、甘油、醚类及香精油中，水溶液呈弱酸性。熔点：169℃，沸点：300℃，密度：1.43</w:t>
                  </w:r>
                  <w:r>
                    <w:rPr>
                      <w:rFonts w:hint="eastAsia"/>
                      <w:color w:val="auto"/>
                      <w:sz w:val="18"/>
                      <w:szCs w:val="18"/>
                      <w:highlight w:val="none"/>
                    </w:rPr>
                    <w:t>g/cm</w:t>
                  </w:r>
                  <w:r>
                    <w:rPr>
                      <w:rFonts w:hint="eastAsia"/>
                      <w:color w:val="auto"/>
                      <w:sz w:val="18"/>
                      <w:szCs w:val="18"/>
                      <w:highlight w:val="none"/>
                      <w:vertAlign w:val="superscript"/>
                    </w:rPr>
                    <w:t>3</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859EA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:2660mg/kg(大鼠经口)；LC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74A9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33C88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005B7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谷氨酸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327A01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C</w:t>
                  </w:r>
                  <w:r>
                    <w:rPr>
                      <w:rFonts w:hint="eastAsia"/>
                      <w:color w:val="auto"/>
                      <w:sz w:val="18"/>
                      <w:szCs w:val="18"/>
                      <w:highlight w:val="none"/>
                      <w:vertAlign w:val="subscript"/>
                    </w:rPr>
                    <w:t>5</w:t>
                  </w:r>
                  <w:r>
                    <w:rPr>
                      <w:rFonts w:hint="eastAsia"/>
                      <w:color w:val="auto"/>
                      <w:sz w:val="18"/>
                      <w:szCs w:val="18"/>
                      <w:highlight w:val="none"/>
                    </w:rPr>
                    <w:t>H</w:t>
                  </w:r>
                  <w:r>
                    <w:rPr>
                      <w:rFonts w:hint="eastAsia"/>
                      <w:color w:val="auto"/>
                      <w:sz w:val="18"/>
                      <w:szCs w:val="18"/>
                      <w:highlight w:val="none"/>
                      <w:vertAlign w:val="subscript"/>
                    </w:rPr>
                    <w:t>9</w:t>
                  </w:r>
                  <w:r>
                    <w:rPr>
                      <w:rFonts w:hint="eastAsia"/>
                      <w:color w:val="auto"/>
                      <w:sz w:val="18"/>
                      <w:szCs w:val="18"/>
                      <w:highlight w:val="none"/>
                    </w:rPr>
                    <w:t>NO</w:t>
                  </w:r>
                  <w:r>
                    <w:rPr>
                      <w:rFonts w:hint="eastAsia"/>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4CB3D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vertAlign w:val="baseline"/>
                      <w:lang w:eastAsia="zh-CN"/>
                    </w:rPr>
                  </w:pPr>
                  <w:r>
                    <w:rPr>
                      <w:rFonts w:hint="default" w:ascii="Times New Roman" w:hAnsi="Times New Roman" w:cs="Times New Roman"/>
                      <w:color w:val="auto"/>
                      <w:sz w:val="18"/>
                      <w:szCs w:val="18"/>
                      <w:highlight w:val="none"/>
                    </w:rPr>
                    <w:t>鳞片状或粉末状晶体，呈微酸性，无毒。微溶于冷水，易溶于热水，几乎不溶于乙醚、丙酮中，也不溶于乙醇和甲醇。在200℃时升华，247℃-249℃分解，密度1.538g/cm</w:t>
                  </w:r>
                  <w:r>
                    <w:rPr>
                      <w:rFonts w:hint="default" w:ascii="Times New Roman" w:hAnsi="Times New Roman" w:cs="Times New Roman"/>
                      <w:color w:val="auto"/>
                      <w:sz w:val="18"/>
                      <w:szCs w:val="18"/>
                      <w:highlight w:val="none"/>
                      <w:vertAlign w:val="superscript"/>
                    </w:rPr>
                    <w:t>3</w:t>
                  </w:r>
                  <w:r>
                    <w:rPr>
                      <w:rFonts w:hint="eastAsia" w:cs="Times New Roman"/>
                      <w:color w:val="auto"/>
                      <w:sz w:val="18"/>
                      <w:szCs w:val="18"/>
                      <w:highlight w:val="none"/>
                      <w:vertAlign w:val="baseli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302263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14:paraId="473A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E990A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92B65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硫酸汞</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75D17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HgSO</w:t>
                  </w:r>
                  <w:r>
                    <w:rPr>
                      <w:rFonts w:hint="eastAsia"/>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70290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both"/>
                    <w:textAlignment w:val="auto"/>
                    <w:rPr>
                      <w:rFonts w:hint="default" w:ascii="Times New Roman" w:hAnsi="Times New Roman" w:cs="Times New Roman"/>
                      <w:color w:val="auto"/>
                      <w:sz w:val="18"/>
                      <w:szCs w:val="18"/>
                      <w:highlight w:val="none"/>
                    </w:rPr>
                  </w:pPr>
                  <w:r>
                    <w:rPr>
                      <w:rFonts w:hint="eastAsia"/>
                      <w:color w:val="auto"/>
                      <w:sz w:val="18"/>
                      <w:szCs w:val="18"/>
                      <w:highlight w:val="none"/>
                    </w:rPr>
                    <w:t>密度：6.47g/cm</w:t>
                  </w:r>
                  <w:r>
                    <w:rPr>
                      <w:rFonts w:hint="eastAsia"/>
                      <w:color w:val="auto"/>
                      <w:sz w:val="18"/>
                      <w:szCs w:val="18"/>
                      <w:highlight w:val="none"/>
                      <w:vertAlign w:val="superscript"/>
                    </w:rPr>
                    <w:t>3</w:t>
                  </w:r>
                  <w:r>
                    <w:rPr>
                      <w:rFonts w:hint="eastAsia"/>
                      <w:color w:val="auto"/>
                      <w:sz w:val="18"/>
                      <w:szCs w:val="18"/>
                      <w:highlight w:val="none"/>
                      <w:vertAlign w:val="baseline"/>
                      <w:lang w:eastAsia="zh-CN"/>
                    </w:rPr>
                    <w:t>，</w:t>
                  </w:r>
                  <w:r>
                    <w:rPr>
                      <w:rFonts w:hint="eastAsia"/>
                      <w:color w:val="auto"/>
                      <w:sz w:val="18"/>
                      <w:szCs w:val="18"/>
                      <w:highlight w:val="none"/>
                    </w:rPr>
                    <w:t>外观：白色结晶性粉末，溶于热硫酸和氯化钠溶液。不溶于醇、丙酮和氨水。无味，不稳定。与强酸不相容。对光和热敏感。</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FDAA8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rPr>
                    <w:t>高毒。大鼠经口LD</w:t>
                  </w:r>
                  <w:r>
                    <w:rPr>
                      <w:rFonts w:hint="eastAsia"/>
                      <w:color w:val="auto"/>
                      <w:sz w:val="18"/>
                      <w:szCs w:val="18"/>
                      <w:highlight w:val="none"/>
                      <w:vertAlign w:val="subscript"/>
                    </w:rPr>
                    <w:t>50</w:t>
                  </w:r>
                  <w:r>
                    <w:rPr>
                      <w:rFonts w:hint="eastAsia"/>
                      <w:color w:val="auto"/>
                      <w:sz w:val="18"/>
                      <w:szCs w:val="18"/>
                      <w:highlight w:val="none"/>
                    </w:rPr>
                    <w:t>57mg/kg。</w:t>
                  </w:r>
                </w:p>
              </w:tc>
            </w:tr>
            <w:tr w14:paraId="1A3A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0220F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DD769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乙酸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C449A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CH</w:t>
                  </w:r>
                  <w:r>
                    <w:rPr>
                      <w:rFonts w:hint="default"/>
                      <w:color w:val="auto"/>
                      <w:sz w:val="18"/>
                      <w:szCs w:val="18"/>
                      <w:highlight w:val="none"/>
                      <w:vertAlign w:val="subscript"/>
                    </w:rPr>
                    <w:t>3</w:t>
                  </w:r>
                  <w:r>
                    <w:rPr>
                      <w:rFonts w:hint="default"/>
                      <w:color w:val="auto"/>
                      <w:sz w:val="18"/>
                      <w:szCs w:val="18"/>
                      <w:highlight w:val="none"/>
                    </w:rPr>
                    <w:t>COOH</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A76485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eastAsia"/>
                      <w:color w:val="auto"/>
                      <w:sz w:val="18"/>
                      <w:szCs w:val="18"/>
                      <w:highlight w:val="none"/>
                    </w:rPr>
                  </w:pPr>
                  <w:r>
                    <w:rPr>
                      <w:rFonts w:hint="default" w:ascii="Times New Roman" w:hAnsi="Times New Roman" w:cs="Times New Roman"/>
                      <w:color w:val="auto"/>
                      <w:sz w:val="18"/>
                      <w:szCs w:val="18"/>
                      <w:highlight w:val="none"/>
                    </w:rPr>
                    <w:t>熔点16.6℃，沸点117.9℃，密度1.05g/cm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，闪点39℃（CC），折射率1.371（20℃），</w:t>
                  </w:r>
                  <w:r>
                    <w:rPr>
                      <w:rFonts w:hint="eastAsia" w:cs="Times New Roman"/>
                      <w:color w:val="auto"/>
                      <w:sz w:val="18"/>
                      <w:szCs w:val="18"/>
                      <w:highlight w:val="none"/>
                      <w:lang w:eastAsia="zh-CN"/>
                    </w:rPr>
                    <w:t>饱和蒸汽</w:t>
                  </w:r>
                  <w:r>
                    <w:rPr>
                      <w:rFonts w:hint="default" w:ascii="Times New Roman" w:hAnsi="Times New Roman" w:cs="Times New Roman"/>
                      <w:color w:val="auto"/>
                      <w:sz w:val="18"/>
                      <w:szCs w:val="18"/>
                      <w:highlight w:val="none"/>
                    </w:rPr>
                    <w:t>压1.52kPa（20℃），临界温度321.6℃，临界压力5.78MPa，引燃温度426℃，爆炸上限（V/V）16.0%，爆炸下限（V/V）5.4%，外观无色透明液体，溶解性溶于水、乙醇、乙醚、甘油，不溶于二硫化碳。</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7DF0F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：3530mg/kg（大鼠经口）；1060mg/kg（兔经皮）LC</w:t>
                  </w:r>
                  <w:r>
                    <w:rPr>
                      <w:rFonts w:hint="eastAsia"/>
                      <w:color w:val="auto"/>
                      <w:sz w:val="18"/>
                      <w:szCs w:val="18"/>
                      <w:highlight w:val="none"/>
                      <w:vertAlign w:val="subscript"/>
                    </w:rPr>
                    <w:t>50</w:t>
                  </w:r>
                  <w:r>
                    <w:rPr>
                      <w:rFonts w:hint="eastAsia"/>
                      <w:color w:val="auto"/>
                      <w:sz w:val="18"/>
                      <w:szCs w:val="18"/>
                      <w:highlight w:val="none"/>
                    </w:rPr>
                    <w:t>：13791mg/m</w:t>
                  </w:r>
                  <w:r>
                    <w:rPr>
                      <w:rFonts w:hint="eastAsia"/>
                      <w:color w:val="auto"/>
                      <w:sz w:val="18"/>
                      <w:szCs w:val="18"/>
                      <w:highlight w:val="none"/>
                      <w:vertAlign w:val="superscript"/>
                    </w:rPr>
                    <w:t>3</w:t>
                  </w:r>
                  <w:r>
                    <w:rPr>
                      <w:rFonts w:hint="eastAsia"/>
                      <w:color w:val="auto"/>
                      <w:sz w:val="18"/>
                      <w:szCs w:val="18"/>
                      <w:highlight w:val="none"/>
                    </w:rPr>
                    <w:t>（小鼠吸入，1h），家兔经皮：50mg（24h），轻度刺激。家兔经眼：5mg（30s），轻度刺激（用水冲洗）</w:t>
                  </w:r>
                </w:p>
              </w:tc>
            </w:tr>
            <w:tr w14:paraId="2FC4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7ACCB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4A485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default"/>
                      <w:color w:val="auto"/>
                      <w:sz w:val="18"/>
                      <w:szCs w:val="18"/>
                      <w:highlight w:val="none"/>
                    </w:rPr>
                    <w:t>硫化钠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B6C1D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w:t>
                  </w:r>
                  <w:r>
                    <w:rPr>
                      <w:rFonts w:hint="default"/>
                      <w:color w:val="auto"/>
                      <w:sz w:val="18"/>
                      <w:szCs w:val="18"/>
                      <w:highlight w:val="none"/>
                      <w:vertAlign w:val="subscript"/>
                    </w:rPr>
                    <w:t>2</w:t>
                  </w:r>
                  <w:r>
                    <w:rPr>
                      <w:rFonts w:hint="default"/>
                      <w:color w:val="auto"/>
                      <w:sz w:val="18"/>
                      <w:szCs w:val="18"/>
                      <w:highlight w:val="none"/>
                    </w:rPr>
                    <w:t>S</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E6FC7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color w:val="auto"/>
                      <w:sz w:val="18"/>
                      <w:szCs w:val="18"/>
                      <w:highlight w:val="none"/>
                    </w:rPr>
                    <w:t>常温下纯品为无色或微紫色的棱柱形晶体，工业品因含杂质常为粉红、棕红色、土黄色块。具有臭味。溶解于冷水，极易溶于热水，微溶于醇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89328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：820mg/kg(小鼠经口)；950mg/kg(小鼠静注)；LC</w:t>
                  </w:r>
                  <w:r>
                    <w:rPr>
                      <w:rFonts w:hint="default"/>
                      <w:color w:val="auto"/>
                      <w:sz w:val="18"/>
                      <w:szCs w:val="18"/>
                      <w:highlight w:val="none"/>
                      <w:vertAlign w:val="subscript"/>
                    </w:rPr>
                    <w:t>50</w:t>
                  </w:r>
                  <w:r>
                    <w:rPr>
                      <w:rFonts w:hint="default"/>
                      <w:color w:val="auto"/>
                      <w:sz w:val="18"/>
                      <w:szCs w:val="18"/>
                      <w:highlight w:val="none"/>
                    </w:rPr>
                    <w:t>：无资料</w:t>
                  </w:r>
                </w:p>
              </w:tc>
            </w:tr>
            <w:tr w14:paraId="2BCC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18AC3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594F0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铅</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9FFD9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Pb</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A2493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晶体结构为面心立方晶胞。相对原子质量207.2，带蓝色的银白色重金属，熔点327.502°C，沸点1740°C，密度11.3437</w:t>
                  </w:r>
                  <w:r>
                    <w:rPr>
                      <w:rFonts w:hint="default" w:ascii="Times New Roman" w:hAnsi="Times New Roman" w:cs="Times New Roman"/>
                      <w:color w:val="auto"/>
                      <w:sz w:val="18"/>
                      <w:szCs w:val="18"/>
                      <w:highlight w:val="none"/>
                    </w:rPr>
                    <w:t>g/cm</w:t>
                  </w:r>
                  <w:r>
                    <w:rPr>
                      <w:rFonts w:hint="default" w:ascii="Times New Roman" w:hAnsi="Times New Roman" w:cs="Times New Roman"/>
                      <w:color w:val="auto"/>
                      <w:sz w:val="18"/>
                      <w:szCs w:val="18"/>
                      <w:highlight w:val="none"/>
                      <w:vertAlign w:val="superscript"/>
                    </w:rPr>
                    <w:t>3</w:t>
                  </w:r>
                  <w:r>
                    <w:rPr>
                      <w:rFonts w:hint="default"/>
                      <w:color w:val="auto"/>
                      <w:sz w:val="18"/>
                      <w:szCs w:val="18"/>
                      <w:highlight w:val="none"/>
                    </w:rPr>
                    <w:t>，比热容0.13kJ/(kg·K)，硬度1.5，质地柔软，抗张强度小</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32FFD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6333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41D4C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D1727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镉</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C4DA5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Cd</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D4528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银白色有光泽的金属，熔点</w:t>
                  </w:r>
                </w:p>
                <w:p w14:paraId="3FFFBB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320.9℃，沸点765℃，密度8650kg/m</w:t>
                  </w:r>
                  <w:r>
                    <w:rPr>
                      <w:rFonts w:hint="default"/>
                      <w:color w:val="auto"/>
                      <w:sz w:val="18"/>
                      <w:szCs w:val="18"/>
                      <w:highlight w:val="none"/>
                      <w:vertAlign w:val="superscript"/>
                    </w:rPr>
                    <w:t>3</w:t>
                  </w:r>
                  <w:r>
                    <w:rPr>
                      <w:rFonts w:hint="default"/>
                      <w:color w:val="auto"/>
                      <w:sz w:val="18"/>
                      <w:szCs w:val="18"/>
                      <w:highlight w:val="none"/>
                    </w:rPr>
                    <w:t>。有韧性和延展性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00396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18B4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8A2F8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42231A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铁</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AA053B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Fe</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1CCAD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有光泽的银白色金属，硬而有延展性，熔点为1535℃，沸点2750℃</w:t>
                  </w:r>
                  <w:r>
                    <w:rPr>
                      <w:rFonts w:hint="eastAsia"/>
                      <w:color w:val="auto"/>
                      <w:sz w:val="18"/>
                      <w:szCs w:val="18"/>
                      <w:highlight w:val="none"/>
                      <w:lang w:eastAsia="zh-CN"/>
                    </w:rPr>
                    <w:t>，具</w:t>
                  </w:r>
                  <w:r>
                    <w:rPr>
                      <w:rFonts w:hint="default"/>
                      <w:color w:val="auto"/>
                      <w:sz w:val="18"/>
                      <w:szCs w:val="18"/>
                      <w:highlight w:val="none"/>
                    </w:rPr>
                    <w:t>有很强的铁磁性，并有良好的可塑性和导热性。比热容约为0.46×1000J/(kg℃）</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A6A82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4C4B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C8DDD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FCAB0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40A9F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Mn</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61CDF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both"/>
                    <w:textAlignment w:val="auto"/>
                    <w:rPr>
                      <w:rFonts w:hint="default"/>
                      <w:color w:val="auto"/>
                      <w:sz w:val="18"/>
                      <w:szCs w:val="18"/>
                      <w:highlight w:val="none"/>
                    </w:rPr>
                  </w:pPr>
                  <w:r>
                    <w:rPr>
                      <w:rFonts w:hint="default"/>
                      <w:color w:val="auto"/>
                      <w:sz w:val="18"/>
                      <w:szCs w:val="18"/>
                      <w:highlight w:val="none"/>
                    </w:rPr>
                    <w:t>原子序数是25，是一种过渡金属。密度7.44</w:t>
                  </w:r>
                  <w:r>
                    <w:rPr>
                      <w:rFonts w:hint="default" w:ascii="Times New Roman" w:hAnsi="Times New Roman" w:cs="Times New Roman"/>
                      <w:color w:val="auto"/>
                      <w:sz w:val="18"/>
                      <w:szCs w:val="18"/>
                      <w:highlight w:val="none"/>
                    </w:rPr>
                    <w:t>g/cm</w:t>
                  </w:r>
                  <w:r>
                    <w:rPr>
                      <w:rFonts w:hint="default" w:ascii="Times New Roman" w:hAnsi="Times New Roman" w:cs="Times New Roman"/>
                      <w:color w:val="auto"/>
                      <w:sz w:val="18"/>
                      <w:szCs w:val="18"/>
                      <w:highlight w:val="none"/>
                      <w:vertAlign w:val="superscript"/>
                    </w:rPr>
                    <w:t>3</w:t>
                  </w:r>
                  <w:r>
                    <w:rPr>
                      <w:rFonts w:hint="default"/>
                      <w:color w:val="auto"/>
                      <w:sz w:val="18"/>
                      <w:szCs w:val="18"/>
                      <w:highlight w:val="none"/>
                    </w:rPr>
                    <w:t>。熔点1244℃，沸点1962℃</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900E5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1ACA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16879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B7715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镍</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66697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Ni</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5B5F7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密度：8.902</w:t>
                  </w:r>
                  <w:r>
                    <w:rPr>
                      <w:rFonts w:hint="default" w:ascii="Times New Roman" w:hAnsi="Times New Roman" w:cs="Times New Roman"/>
                      <w:color w:val="auto"/>
                      <w:sz w:val="18"/>
                      <w:szCs w:val="18"/>
                      <w:highlight w:val="none"/>
                    </w:rPr>
                    <w:t>g/cm</w:t>
                  </w:r>
                  <w:r>
                    <w:rPr>
                      <w:rFonts w:hint="default" w:ascii="Times New Roman" w:hAnsi="Times New Roman" w:cs="Times New Roman"/>
                      <w:color w:val="auto"/>
                      <w:sz w:val="18"/>
                      <w:szCs w:val="18"/>
                      <w:highlight w:val="none"/>
                      <w:vertAlign w:val="superscript"/>
                    </w:rPr>
                    <w:t>3</w:t>
                  </w:r>
                  <w:r>
                    <w:rPr>
                      <w:rFonts w:hint="default"/>
                      <w:color w:val="auto"/>
                      <w:sz w:val="18"/>
                      <w:szCs w:val="18"/>
                      <w:highlight w:val="none"/>
                    </w:rPr>
                    <w:t>，熔点：1453℃，沸点：2732℃。镍为银白色金属，具有磁性和良好的可塑性。</w:t>
                  </w:r>
                  <w:r>
                    <w:rPr>
                      <w:rFonts w:hint="eastAsia"/>
                      <w:color w:val="auto"/>
                      <w:sz w:val="18"/>
                      <w:szCs w:val="18"/>
                      <w:highlight w:val="none"/>
                      <w:lang w:eastAsia="zh-CN"/>
                    </w:rPr>
                    <w:t>有很</w:t>
                  </w:r>
                  <w:r>
                    <w:rPr>
                      <w:rFonts w:hint="default"/>
                      <w:color w:val="auto"/>
                      <w:sz w:val="18"/>
                      <w:szCs w:val="18"/>
                      <w:highlight w:val="none"/>
                    </w:rPr>
                    <w:t>好的耐腐蚀性，镍近似银白色、硬而有延展性并具有铁磁性的金属元素，它能够高度磨光和抗腐蚀。溶于硝酸后，呈绿色</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4F0E6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047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F286B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CC11C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氟化钾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50972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KF</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B253C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ascii="Times New Roman" w:hAnsi="Times New Roman" w:cs="Times New Roman"/>
                      <w:color w:val="auto"/>
                      <w:sz w:val="18"/>
                      <w:szCs w:val="18"/>
                      <w:highlight w:val="none"/>
                    </w:rPr>
                    <w:t>熔点：858℃，密度：2.48g/cm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，沸点：1505℃，折射率：1.363</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蒸汽压：922mmHgat25°C，外观：白色结晶性粉末，溶解性：溶于水、氢氟酸、液氨，不溶于醇</w:t>
                  </w:r>
                  <w:r>
                    <w:rPr>
                      <w:rFonts w:hint="eastAsia" w:ascii="Times New Roman" w:hAnsi="Times New Roman" w:cs="Times New Roman"/>
                      <w:color w:val="auto"/>
                      <w:sz w:val="18"/>
                      <w:szCs w:val="18"/>
                      <w:highlight w:val="none"/>
                      <w:lang w:eastAsia="zh-CN"/>
                    </w:rPr>
                    <w:t>，无色立方晶体，易潮解，易溶于水，水溶液呈碱性反应，能腐蚀玻璃及陶瓷，加热至升华温度时才少许分解。</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77729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急性毒性LD</w:t>
                  </w:r>
                  <w:r>
                    <w:rPr>
                      <w:rFonts w:hint="default"/>
                      <w:color w:val="auto"/>
                      <w:sz w:val="18"/>
                      <w:szCs w:val="18"/>
                      <w:highlight w:val="none"/>
                      <w:vertAlign w:val="subscript"/>
                    </w:rPr>
                    <w:t>50</w:t>
                  </w:r>
                  <w:r>
                    <w:rPr>
                      <w:rFonts w:hint="default"/>
                      <w:color w:val="auto"/>
                      <w:sz w:val="18"/>
                      <w:szCs w:val="18"/>
                      <w:highlight w:val="none"/>
                    </w:rPr>
                    <w:t>：245mg/kg（大鼠经口）</w:t>
                  </w:r>
                </w:p>
              </w:tc>
            </w:tr>
            <w:tr w14:paraId="0B09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8B409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8402C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default"/>
                      <w:color w:val="auto"/>
                      <w:sz w:val="18"/>
                      <w:szCs w:val="18"/>
                      <w:highlight w:val="none"/>
                    </w:rPr>
                    <w:t>碳酸钠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E373D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default"/>
                      <w:color w:val="auto"/>
                      <w:sz w:val="18"/>
                      <w:szCs w:val="18"/>
                      <w:highlight w:val="none"/>
                    </w:rPr>
                    <w:t>Na</w:t>
                  </w:r>
                  <w:r>
                    <w:rPr>
                      <w:rFonts w:hint="default"/>
                      <w:color w:val="auto"/>
                      <w:sz w:val="18"/>
                      <w:szCs w:val="18"/>
                      <w:highlight w:val="none"/>
                      <w:vertAlign w:val="subscript"/>
                    </w:rPr>
                    <w:t>2</w:t>
                  </w:r>
                  <w:r>
                    <w:rPr>
                      <w:rFonts w:hint="default"/>
                      <w:color w:val="auto"/>
                      <w:sz w:val="18"/>
                      <w:szCs w:val="18"/>
                      <w:highlight w:val="none"/>
                    </w:rPr>
                    <w:t>CO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388CB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分子量:105.99；熔点（ºC）</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851；密度（水=1）:2.53；溶解性:易溶于水，不溶于乙醇、乙醚等；外观与性状:白色粉末或细颗粒(无水纯品)，味涩</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6591E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：4090mg/kg（大鼠经口）</w:t>
                  </w:r>
                  <w:r>
                    <w:rPr>
                      <w:rFonts w:hint="eastAsia"/>
                      <w:color w:val="auto"/>
                      <w:sz w:val="18"/>
                      <w:szCs w:val="18"/>
                      <w:highlight w:val="none"/>
                      <w:lang w:eastAsia="zh-CN"/>
                    </w:rPr>
                    <w:t>；</w:t>
                  </w:r>
                  <w:r>
                    <w:rPr>
                      <w:rFonts w:hint="default"/>
                      <w:color w:val="auto"/>
                      <w:sz w:val="18"/>
                      <w:szCs w:val="18"/>
                      <w:highlight w:val="none"/>
                    </w:rPr>
                    <w:t>LC</w:t>
                  </w:r>
                  <w:r>
                    <w:rPr>
                      <w:rFonts w:hint="default"/>
                      <w:color w:val="auto"/>
                      <w:sz w:val="18"/>
                      <w:szCs w:val="18"/>
                      <w:highlight w:val="none"/>
                      <w:vertAlign w:val="subscript"/>
                    </w:rPr>
                    <w:t>50</w:t>
                  </w:r>
                  <w:r>
                    <w:rPr>
                      <w:rFonts w:hint="default"/>
                      <w:color w:val="auto"/>
                      <w:sz w:val="18"/>
                      <w:szCs w:val="18"/>
                      <w:highlight w:val="none"/>
                    </w:rPr>
                    <w:t>：2300mg/m</w:t>
                  </w:r>
                  <w:r>
                    <w:rPr>
                      <w:rFonts w:hint="default"/>
                      <w:color w:val="auto"/>
                      <w:sz w:val="18"/>
                      <w:szCs w:val="18"/>
                      <w:highlight w:val="none"/>
                      <w:vertAlign w:val="superscript"/>
                    </w:rPr>
                    <w:t>3</w:t>
                  </w:r>
                  <w:r>
                    <w:rPr>
                      <w:rFonts w:hint="default"/>
                      <w:color w:val="auto"/>
                      <w:sz w:val="18"/>
                      <w:szCs w:val="18"/>
                      <w:highlight w:val="none"/>
                    </w:rPr>
                    <w:t>，2小时（大鼠吸入）；</w:t>
                  </w:r>
                </w:p>
              </w:tc>
            </w:tr>
            <w:tr w14:paraId="31BE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66D1B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B37A4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硫代硫酸钠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6FDD4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w:t>
                  </w:r>
                  <w:r>
                    <w:rPr>
                      <w:rFonts w:hint="default"/>
                      <w:color w:val="auto"/>
                      <w:sz w:val="18"/>
                      <w:szCs w:val="18"/>
                      <w:highlight w:val="none"/>
                      <w:vertAlign w:val="subscript"/>
                    </w:rPr>
                    <w:t>2</w:t>
                  </w:r>
                  <w:r>
                    <w:rPr>
                      <w:rFonts w:hint="default"/>
                      <w:color w:val="auto"/>
                      <w:sz w:val="18"/>
                      <w:szCs w:val="18"/>
                      <w:highlight w:val="none"/>
                    </w:rPr>
                    <w:t>S</w:t>
                  </w:r>
                  <w:r>
                    <w:rPr>
                      <w:rFonts w:hint="default"/>
                      <w:color w:val="auto"/>
                      <w:sz w:val="18"/>
                      <w:szCs w:val="18"/>
                      <w:highlight w:val="none"/>
                      <w:vertAlign w:val="subscript"/>
                    </w:rPr>
                    <w:t>2</w:t>
                  </w:r>
                  <w:r>
                    <w:rPr>
                      <w:rFonts w:hint="default"/>
                      <w:color w:val="auto"/>
                      <w:sz w:val="18"/>
                      <w:szCs w:val="18"/>
                      <w:highlight w:val="none"/>
                    </w:rPr>
                    <w:t>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C2394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color w:val="auto"/>
                      <w:sz w:val="18"/>
                      <w:szCs w:val="18"/>
                      <w:highlight w:val="none"/>
                    </w:rPr>
                    <w:t>硫代硫酸钠，又名次亚硫酸钠、大苏打、海波。无色透明的单斜晶体，密度1.667g/cm</w:t>
                  </w:r>
                  <w:r>
                    <w:rPr>
                      <w:rFonts w:hint="default"/>
                      <w:color w:val="auto"/>
                      <w:sz w:val="18"/>
                      <w:szCs w:val="18"/>
                      <w:highlight w:val="none"/>
                      <w:vertAlign w:val="superscript"/>
                    </w:rPr>
                    <w:t>3</w:t>
                  </w:r>
                  <w:r>
                    <w:rPr>
                      <w:rFonts w:hint="default"/>
                      <w:color w:val="auto"/>
                      <w:sz w:val="18"/>
                      <w:szCs w:val="18"/>
                      <w:highlight w:val="none"/>
                    </w:rPr>
                    <w:t>。熔点48</w:t>
                  </w:r>
                  <w:r>
                    <w:rPr>
                      <w:rFonts w:hint="default" w:ascii="Times New Roman" w:hAnsi="Times New Roman" w:cs="Times New Roman"/>
                      <w:color w:val="auto"/>
                      <w:sz w:val="18"/>
                      <w:szCs w:val="18"/>
                      <w:highlight w:val="none"/>
                    </w:rPr>
                    <w:t>ºC</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E38F3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：腹膜内的-老鼠-5200mg/kg；LC</w:t>
                  </w:r>
                  <w:r>
                    <w:rPr>
                      <w:rFonts w:hint="default"/>
                      <w:color w:val="auto"/>
                      <w:sz w:val="18"/>
                      <w:szCs w:val="18"/>
                      <w:highlight w:val="none"/>
                      <w:vertAlign w:val="subscript"/>
                    </w:rPr>
                    <w:t>50</w:t>
                  </w:r>
                  <w:r>
                    <w:rPr>
                      <w:rFonts w:hint="default"/>
                      <w:color w:val="auto"/>
                      <w:sz w:val="18"/>
                      <w:szCs w:val="18"/>
                      <w:highlight w:val="none"/>
                    </w:rPr>
                    <w:t>：无资料；</w:t>
                  </w:r>
                </w:p>
              </w:tc>
            </w:tr>
            <w:tr w14:paraId="140D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7A2CA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29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F6124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氯化钠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A4D6F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NaCl</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94351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无色立方结晶或细小结晶粉末，味咸。外观是白色晶体状，其来源主要是海水，是食盐的主要成分。易溶于水、甘油，微溶于乙醇（酒精）、液氨；不溶于浓盐酸。不纯的氯化钠在空气中有潮解性。稳定性比较好</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5E7FF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：3000mg/kg(oral，rat)；10000mg/kg(dermal，rabbit)；LC</w:t>
                  </w:r>
                  <w:r>
                    <w:rPr>
                      <w:rFonts w:hint="default"/>
                      <w:color w:val="auto"/>
                      <w:sz w:val="18"/>
                      <w:szCs w:val="18"/>
                      <w:highlight w:val="none"/>
                      <w:vertAlign w:val="subscript"/>
                    </w:rPr>
                    <w:t>50</w:t>
                  </w:r>
                  <w:r>
                    <w:rPr>
                      <w:rFonts w:hint="default"/>
                      <w:color w:val="auto"/>
                      <w:sz w:val="18"/>
                      <w:szCs w:val="18"/>
                      <w:highlight w:val="none"/>
                    </w:rPr>
                    <w:t>：无资料</w:t>
                  </w:r>
                </w:p>
              </w:tc>
            </w:tr>
            <w:tr w14:paraId="480B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585DD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B90BF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淀粉</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32B92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6</w:t>
                  </w:r>
                  <w:r>
                    <w:rPr>
                      <w:rFonts w:hint="default"/>
                      <w:color w:val="auto"/>
                      <w:sz w:val="18"/>
                      <w:szCs w:val="18"/>
                      <w:highlight w:val="none"/>
                    </w:rPr>
                    <w:t>H</w:t>
                  </w:r>
                  <w:r>
                    <w:rPr>
                      <w:rFonts w:hint="default"/>
                      <w:color w:val="auto"/>
                      <w:sz w:val="18"/>
                      <w:szCs w:val="18"/>
                      <w:highlight w:val="none"/>
                      <w:vertAlign w:val="subscript"/>
                    </w:rPr>
                    <w:t>10</w:t>
                  </w:r>
                  <w:r>
                    <w:rPr>
                      <w:rFonts w:hint="default"/>
                      <w:color w:val="auto"/>
                      <w:sz w:val="18"/>
                      <w:szCs w:val="18"/>
                      <w:highlight w:val="none"/>
                    </w:rPr>
                    <w:t>O</w:t>
                  </w:r>
                  <w:r>
                    <w:rPr>
                      <w:rFonts w:hint="default"/>
                      <w:color w:val="auto"/>
                      <w:sz w:val="18"/>
                      <w:szCs w:val="18"/>
                      <w:highlight w:val="none"/>
                      <w:vertAlign w:val="subscript"/>
                    </w:rPr>
                    <w:t>5</w:t>
                  </w:r>
                  <w:r>
                    <w:rPr>
                      <w:rFonts w:hint="default"/>
                      <w:color w:val="auto"/>
                      <w:sz w:val="18"/>
                      <w:szCs w:val="18"/>
                      <w:highlight w:val="none"/>
                    </w:rPr>
                    <w:t>)</w:t>
                  </w:r>
                  <w:r>
                    <w:rPr>
                      <w:rFonts w:hint="default"/>
                      <w:color w:val="auto"/>
                      <w:sz w:val="18"/>
                      <w:szCs w:val="18"/>
                      <w:highlight w:val="none"/>
                      <w:vertAlign w:val="subscript"/>
                    </w:rPr>
                    <w:t>n</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CA163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是葡萄糖的高聚体，白色粉末；无臭。在冷水或乙醇中均不溶解</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E1DBA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w:t>
                  </w:r>
                </w:p>
              </w:tc>
            </w:tr>
            <w:tr w14:paraId="55E8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CD4ED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8B902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硝酸银</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20E00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AgNO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4540E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硝酸银，是一种无机化合物，为白色结晶性粉末，易溶于水、氨水、甘油，微溶于乙醇。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E3C47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急性毒性：LD</w:t>
                  </w:r>
                  <w:r>
                    <w:rPr>
                      <w:rFonts w:hint="eastAsia"/>
                      <w:color w:val="auto"/>
                      <w:sz w:val="18"/>
                      <w:szCs w:val="18"/>
                      <w:highlight w:val="none"/>
                      <w:vertAlign w:val="subscript"/>
                    </w:rPr>
                    <w:t>50</w:t>
                  </w:r>
                  <w:r>
                    <w:rPr>
                      <w:rFonts w:hint="eastAsia"/>
                      <w:color w:val="auto"/>
                      <w:sz w:val="18"/>
                      <w:szCs w:val="18"/>
                      <w:highlight w:val="none"/>
                    </w:rPr>
                    <w:t>：</w:t>
                  </w:r>
                </w:p>
                <w:p w14:paraId="59C0A6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1173mg/kg</w:t>
                  </w:r>
                  <w:r>
                    <w:rPr>
                      <w:rFonts w:hint="eastAsia"/>
                      <w:color w:val="auto"/>
                      <w:sz w:val="18"/>
                      <w:szCs w:val="18"/>
                      <w:highlight w:val="none"/>
                    </w:rPr>
                    <w:t>（大鼠经口）；</w:t>
                  </w:r>
                  <w:r>
                    <w:rPr>
                      <w:rFonts w:hint="default"/>
                      <w:color w:val="auto"/>
                      <w:sz w:val="18"/>
                      <w:szCs w:val="18"/>
                      <w:highlight w:val="none"/>
                    </w:rPr>
                    <w:t>50mg/kg</w:t>
                  </w:r>
                  <w:r>
                    <w:rPr>
                      <w:rFonts w:hint="eastAsia"/>
                      <w:color w:val="auto"/>
                      <w:sz w:val="18"/>
                      <w:szCs w:val="18"/>
                      <w:highlight w:val="none"/>
                    </w:rPr>
                    <w:t>（小鼠经口）。刺激性：家兔经眼：</w:t>
                  </w:r>
                  <w:r>
                    <w:rPr>
                      <w:rFonts w:hint="default"/>
                      <w:color w:val="auto"/>
                      <w:sz w:val="18"/>
                      <w:szCs w:val="18"/>
                      <w:highlight w:val="none"/>
                    </w:rPr>
                    <w:t>1mg</w:t>
                  </w:r>
                  <w:r>
                    <w:rPr>
                      <w:rFonts w:hint="eastAsia"/>
                      <w:color w:val="auto"/>
                      <w:sz w:val="18"/>
                      <w:szCs w:val="18"/>
                      <w:highlight w:val="none"/>
                    </w:rPr>
                    <w:t>，重度刺激。致突变性：</w:t>
                  </w:r>
                  <w:r>
                    <w:rPr>
                      <w:rFonts w:hint="default"/>
                      <w:color w:val="auto"/>
                      <w:sz w:val="18"/>
                      <w:szCs w:val="18"/>
                      <w:highlight w:val="none"/>
                    </w:rPr>
                    <w:t>DNA</w:t>
                  </w:r>
                  <w:r>
                    <w:rPr>
                      <w:rFonts w:hint="eastAsia"/>
                      <w:color w:val="auto"/>
                      <w:sz w:val="18"/>
                      <w:szCs w:val="18"/>
                      <w:highlight w:val="none"/>
                    </w:rPr>
                    <w:t>抑制：人淋巴细胞</w:t>
                  </w:r>
                  <w:r>
                    <w:rPr>
                      <w:rFonts w:hint="default"/>
                      <w:color w:val="auto"/>
                      <w:sz w:val="18"/>
                      <w:szCs w:val="18"/>
                      <w:highlight w:val="none"/>
                    </w:rPr>
                    <w:t>76μmol/L</w:t>
                  </w:r>
                  <w:r>
                    <w:rPr>
                      <w:rFonts w:hint="eastAsia"/>
                      <w:color w:val="auto"/>
                      <w:sz w:val="18"/>
                      <w:szCs w:val="18"/>
                      <w:highlight w:val="none"/>
                    </w:rPr>
                    <w:t>。性染色体缺失和不分离：酿酒酵母</w:t>
                  </w:r>
                  <w:r>
                    <w:rPr>
                      <w:rFonts w:hint="default"/>
                      <w:color w:val="auto"/>
                      <w:sz w:val="18"/>
                      <w:szCs w:val="18"/>
                      <w:highlight w:val="none"/>
                    </w:rPr>
                    <w:t>140ppb</w:t>
                  </w:r>
                  <w:r>
                    <w:rPr>
                      <w:rFonts w:hint="eastAsia"/>
                      <w:color w:val="auto"/>
                      <w:sz w:val="18"/>
                      <w:szCs w:val="18"/>
                      <w:highlight w:val="none"/>
                    </w:rPr>
                    <w:t>。</w:t>
                  </w:r>
                </w:p>
              </w:tc>
            </w:tr>
            <w:tr w14:paraId="4CFC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096E0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40798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氰化钾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600F7B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KCN</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6A4DB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密度：1.52g/cm</w:t>
                  </w:r>
                  <w:r>
                    <w:rPr>
                      <w:rFonts w:hint="default" w:ascii="Times New Roman" w:hAnsi="Times New Roman" w:cs="Times New Roman"/>
                      <w:color w:val="auto"/>
                      <w:sz w:val="18"/>
                      <w:szCs w:val="18"/>
                      <w:highlight w:val="none"/>
                      <w:vertAlign w:val="superscript"/>
                    </w:rPr>
                    <w:t>3</w:t>
                  </w:r>
                </w:p>
                <w:p w14:paraId="1D757C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熔点：634℃</w:t>
                  </w:r>
                </w:p>
                <w:p w14:paraId="08132C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沸点：1625℃</w:t>
                  </w:r>
                </w:p>
                <w:p w14:paraId="26792F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外观：白色结晶性粉末</w:t>
                  </w:r>
                </w:p>
                <w:p w14:paraId="0639A34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ascii="Times New Roman" w:hAnsi="Times New Roman" w:cs="Times New Roman"/>
                      <w:color w:val="auto"/>
                      <w:sz w:val="18"/>
                      <w:szCs w:val="18"/>
                      <w:highlight w:val="none"/>
                    </w:rPr>
                    <w:t>溶解性：易溶于水、乙醇、甘油，微溶于甲醇、氢氧化钠水溶液。</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78A33C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毒性：高毒类。</w:t>
                  </w:r>
                </w:p>
                <w:p w14:paraId="7BC669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急性毒性：LD</w:t>
                  </w:r>
                  <w:r>
                    <w:rPr>
                      <w:rFonts w:hint="eastAsia"/>
                      <w:color w:val="auto"/>
                      <w:sz w:val="18"/>
                      <w:szCs w:val="18"/>
                      <w:highlight w:val="none"/>
                      <w:vertAlign w:val="subscript"/>
                    </w:rPr>
                    <w:t>50</w:t>
                  </w:r>
                  <w:r>
                    <w:rPr>
                      <w:rFonts w:hint="eastAsia"/>
                      <w:color w:val="auto"/>
                      <w:sz w:val="18"/>
                      <w:szCs w:val="18"/>
                      <w:highlight w:val="none"/>
                    </w:rPr>
                    <w:t>：6.4mg/kg（大鼠经口）；8500</w:t>
                  </w:r>
                  <w:r>
                    <w:rPr>
                      <w:rFonts w:hint="default" w:ascii="Times New Roman" w:hAnsi="Times New Roman" w:cs="Times New Roman"/>
                      <w:color w:val="auto"/>
                      <w:sz w:val="18"/>
                      <w:szCs w:val="18"/>
                      <w:highlight w:val="none"/>
                    </w:rPr>
                    <w:t>μg/kg</w:t>
                  </w:r>
                  <w:r>
                    <w:rPr>
                      <w:rFonts w:hint="eastAsia"/>
                      <w:color w:val="auto"/>
                      <w:sz w:val="18"/>
                      <w:szCs w:val="18"/>
                      <w:highlight w:val="none"/>
                    </w:rPr>
                    <w:t>（小鼠经口），致突变性：</w:t>
                  </w:r>
                </w:p>
                <w:p w14:paraId="7B8093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DNA抑制：小鼠淋巴细胞1nmol/L。细胞遗传学分析：小鼠乳腺1nmol/L，48小时。</w:t>
                  </w:r>
                </w:p>
              </w:tc>
            </w:tr>
            <w:tr w14:paraId="20FE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53991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4181E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硝酸钠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A7AA3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NaNO</w:t>
                  </w:r>
                  <w:r>
                    <w:rPr>
                      <w:rFonts w:hint="eastAsia"/>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66ECA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熔点：306.8℃，沸点：380℃（分解），密度：2.26g/cm</w:t>
                  </w:r>
                  <w:r>
                    <w:rPr>
                      <w:rFonts w:hint="default" w:ascii="Times New Roman" w:hAnsi="Times New Roman" w:cs="Times New Roman"/>
                      <w:color w:val="auto"/>
                      <w:sz w:val="18"/>
                      <w:szCs w:val="18"/>
                      <w:highlight w:val="none"/>
                      <w:vertAlign w:val="superscript"/>
                    </w:rPr>
                    <w:t>3</w:t>
                  </w:r>
                  <w:r>
                    <w:rPr>
                      <w:rFonts w:hint="eastAsia" w:cs="Times New Roman"/>
                      <w:color w:val="auto"/>
                      <w:sz w:val="18"/>
                      <w:szCs w:val="18"/>
                      <w:highlight w:val="none"/>
                      <w:vertAlign w:val="baseline"/>
                      <w:lang w:eastAsia="zh-CN"/>
                    </w:rPr>
                    <w:t>，</w:t>
                  </w:r>
                  <w:r>
                    <w:rPr>
                      <w:rFonts w:hint="default" w:ascii="Times New Roman" w:hAnsi="Times New Roman" w:cs="Times New Roman"/>
                      <w:color w:val="auto"/>
                      <w:sz w:val="18"/>
                      <w:szCs w:val="18"/>
                      <w:highlight w:val="none"/>
                    </w:rPr>
                    <w:t>外观：白色至黄色结晶性粉末，溶解性：易溶于水、甘油、液氨，微溶于乙醇，不溶于丙酮</w:t>
                  </w:r>
                  <w:r>
                    <w:rPr>
                      <w:rFonts w:hint="eastAsia" w:cs="Times New Roman"/>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C4DAD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：1267mg/kg（大鼠经口）</w:t>
                  </w:r>
                </w:p>
              </w:tc>
            </w:tr>
            <w:tr w14:paraId="32EE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AE9F0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3</w:t>
                  </w:r>
                  <w:r>
                    <w:rPr>
                      <w:rFonts w:hint="default"/>
                      <w:color w:val="auto"/>
                      <w:sz w:val="18"/>
                      <w:szCs w:val="18"/>
                      <w:highlight w:val="none"/>
                    </w:rPr>
                    <w:t>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C4154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亚硝酸钠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75784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NaNO</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51A91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白色至浅黄色粒状、棒状或粉末。有吸湿性。加热至320℃以上分解。在空气中慢慢氧化为硝酸钠。遇弱酸分解放出棕色三氧化二氮气体。溶于1.5份冷水、0.6份沸水，微溶于乙醇。水溶液呈碱性，pH约9。相对密度2.17。熔点271℃。有氧化性，与有机物接触能燃烧和爆炸，并放出有毒和刺激性的过氧化氮和氧化氮的气体</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B9F8F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eastAsia"/>
                      <w:color w:val="auto"/>
                      <w:sz w:val="18"/>
                      <w:szCs w:val="18"/>
                      <w:highlight w:val="none"/>
                      <w:lang w:eastAsia="zh-CN"/>
                    </w:rPr>
                    <w:t>：</w:t>
                  </w:r>
                  <w:r>
                    <w:rPr>
                      <w:rFonts w:hint="default"/>
                      <w:color w:val="auto"/>
                      <w:sz w:val="18"/>
                      <w:szCs w:val="18"/>
                      <w:highlight w:val="none"/>
                    </w:rPr>
                    <w:t>180mg/kg(大鼠经口)；LC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2ECA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2C12E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1641D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硝酸钾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A2F8A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KNO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509E9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ascii="Times New Roman" w:hAnsi="Times New Roman" w:cs="Times New Roman"/>
                      <w:color w:val="auto"/>
                      <w:sz w:val="18"/>
                      <w:szCs w:val="18"/>
                      <w:highlight w:val="none"/>
                    </w:rPr>
                    <w:t>熔点：334℃，闪点：400℃，密度：2.109g/cm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，性状：无色透明棱柱状或白色颗粒或结晶性粉末。味辛辣而咸有凉感。微潮解，潮解性比硝酸钠小。溶解性：易溶于水，不溶于无水乙醇、乙醚。溶于水时吸热，溶液温度降低。</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31EBE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急性毒性：LD</w:t>
                  </w:r>
                  <w:r>
                    <w:rPr>
                      <w:rFonts w:hint="eastAsia"/>
                      <w:color w:val="auto"/>
                      <w:sz w:val="18"/>
                      <w:szCs w:val="18"/>
                      <w:highlight w:val="none"/>
                      <w:vertAlign w:val="subscript"/>
                    </w:rPr>
                    <w:t>50</w:t>
                  </w:r>
                  <w:r>
                    <w:rPr>
                      <w:rFonts w:hint="eastAsia"/>
                      <w:color w:val="auto"/>
                      <w:sz w:val="18"/>
                      <w:szCs w:val="18"/>
                      <w:highlight w:val="none"/>
                    </w:rPr>
                    <w:t>：3750mg/kg（大鼠经口）</w:t>
                  </w:r>
                </w:p>
              </w:tc>
            </w:tr>
            <w:tr w14:paraId="063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615A83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55DB9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default"/>
                      <w:color w:val="auto"/>
                      <w:sz w:val="18"/>
                      <w:szCs w:val="18"/>
                      <w:highlight w:val="none"/>
                    </w:rPr>
                    <w:t>氯化钾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5214C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KCl</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043D2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color w:val="auto"/>
                      <w:sz w:val="18"/>
                      <w:szCs w:val="18"/>
                      <w:highlight w:val="none"/>
                    </w:rPr>
                  </w:pPr>
                  <w:r>
                    <w:rPr>
                      <w:rFonts w:hint="default"/>
                      <w:color w:val="auto"/>
                      <w:sz w:val="18"/>
                      <w:szCs w:val="18"/>
                      <w:highlight w:val="none"/>
                    </w:rPr>
                    <w:t>相对密度(水=1)（固体）：1.98；熔点：770℃；外观：白色结晶或结晶性粉末；沸点：1500℃（部分会升华）；溶解性：1g溶于2.8ml水、1.8ml沸水、14ml甘油、约250ml乙醇，不溶于乙醚、丙酮和盐酸，氯化镁、氯化钠能降低其在水中溶解度</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4519A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：2600mg/kg(大鼠经口)，LC</w:t>
                  </w:r>
                  <w:r>
                    <w:rPr>
                      <w:rFonts w:hint="default"/>
                      <w:color w:val="auto"/>
                      <w:sz w:val="18"/>
                      <w:szCs w:val="18"/>
                      <w:highlight w:val="none"/>
                      <w:vertAlign w:val="subscript"/>
                    </w:rPr>
                    <w:t>50</w:t>
                  </w:r>
                  <w:r>
                    <w:rPr>
                      <w:rFonts w:hint="default"/>
                      <w:color w:val="auto"/>
                      <w:sz w:val="18"/>
                      <w:szCs w:val="18"/>
                      <w:highlight w:val="none"/>
                    </w:rPr>
                    <w:t>：无资料；眼睛接触后：微刺激</w:t>
                  </w:r>
                </w:p>
              </w:tc>
            </w:tr>
            <w:tr w14:paraId="4600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8B7D0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37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A15CA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氯化钙</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1BD29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CaCl</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28DF3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立方结晶体，白色或灰白色，有粒状、蜂窝块状、圆球状、不规则颗粒状、粉末状。无毒、无臭、味微苦。吸湿性极强，暴露于空气中极易潮解。易溶于水，同时放出大量的热（氯化钙的溶解焓为-176.2cal/g），其水溶液呈微碱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82C4D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：1000mg/kg(大鼠经口)；LC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6ECD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FFFCC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38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E6BD4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无水硫酸钠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61329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w:t>
                  </w:r>
                  <w:r>
                    <w:rPr>
                      <w:rFonts w:hint="default"/>
                      <w:color w:val="auto"/>
                      <w:sz w:val="18"/>
                      <w:szCs w:val="18"/>
                      <w:highlight w:val="none"/>
                      <w:vertAlign w:val="subscript"/>
                    </w:rPr>
                    <w:t>2</w:t>
                  </w:r>
                  <w:r>
                    <w:rPr>
                      <w:rFonts w:hint="default"/>
                      <w:color w:val="auto"/>
                      <w:sz w:val="18"/>
                      <w:szCs w:val="18"/>
                      <w:highlight w:val="none"/>
                    </w:rPr>
                    <w:t>SO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190B27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白色均匀细颗粒或粉末。无嗅，味咸而带苦。密度：2.68g/cm</w:t>
                  </w:r>
                  <w:r>
                    <w:rPr>
                      <w:rFonts w:hint="default"/>
                      <w:color w:val="auto"/>
                      <w:sz w:val="18"/>
                      <w:szCs w:val="18"/>
                      <w:highlight w:val="none"/>
                      <w:vertAlign w:val="superscript"/>
                    </w:rPr>
                    <w:t>3</w:t>
                  </w:r>
                  <w:r>
                    <w:rPr>
                      <w:rFonts w:hint="default"/>
                      <w:color w:val="auto"/>
                      <w:sz w:val="18"/>
                      <w:szCs w:val="18"/>
                      <w:highlight w:val="none"/>
                    </w:rPr>
                    <w:t>。熔点884℃。易溶于水，溶解度在0-30.4℃内随温度的升高而迅速增大。溶于甘油，不溶于乙醇。水溶液呈中性</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6D4F2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:5989mg/kg(小鼠经口)；LC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6B0D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5612B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39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27DBC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四氯</w:t>
                  </w:r>
                  <w:r>
                    <w:rPr>
                      <w:rFonts w:hint="eastAsia"/>
                      <w:color w:val="auto"/>
                      <w:sz w:val="18"/>
                      <w:szCs w:val="18"/>
                      <w:highlight w:val="none"/>
                      <w:lang w:val="en-US" w:eastAsia="zh-CN"/>
                    </w:rPr>
                    <w:t>乙烯</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7FD491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eastAsia"/>
                      <w:color w:val="auto"/>
                      <w:sz w:val="18"/>
                      <w:szCs w:val="18"/>
                      <w:highlight w:val="none"/>
                      <w:vertAlign w:val="subscript"/>
                      <w:lang w:val="en-US" w:eastAsia="zh-CN"/>
                    </w:rPr>
                    <w:t>2</w:t>
                  </w:r>
                  <w:r>
                    <w:rPr>
                      <w:rFonts w:hint="default"/>
                      <w:color w:val="auto"/>
                      <w:sz w:val="18"/>
                      <w:szCs w:val="18"/>
                      <w:highlight w:val="none"/>
                    </w:rPr>
                    <w:t>Cl</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13987B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ascii="Times New Roman" w:hAnsi="Times New Roman" w:cs="Times New Roman"/>
                      <w:color w:val="auto"/>
                      <w:sz w:val="18"/>
                      <w:szCs w:val="18"/>
                      <w:highlight w:val="none"/>
                    </w:rPr>
                    <w:t>密度：1.622g/cm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，熔点：-22℃</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沸点：121℃，折射率：1.505（20℃），</w:t>
                  </w:r>
                  <w:r>
                    <w:rPr>
                      <w:rFonts w:hint="eastAsia" w:cs="Times New Roman"/>
                      <w:color w:val="auto"/>
                      <w:sz w:val="18"/>
                      <w:szCs w:val="18"/>
                      <w:highlight w:val="none"/>
                      <w:lang w:eastAsia="zh-CN"/>
                    </w:rPr>
                    <w:t>饱和蒸汽</w:t>
                  </w:r>
                  <w:r>
                    <w:rPr>
                      <w:rFonts w:hint="default" w:ascii="Times New Roman" w:hAnsi="Times New Roman" w:cs="Times New Roman"/>
                      <w:color w:val="auto"/>
                      <w:sz w:val="18"/>
                      <w:szCs w:val="18"/>
                      <w:highlight w:val="none"/>
                    </w:rPr>
                    <w:t>压：2.11kPa（20℃），临界温度：347.1℃，临界压力：9.74MPa，外观：无色液体溶解性：不溶于水，可混溶于乙醇、乙醚、氯仿等多数有机溶剂</w:t>
                  </w:r>
                  <w:r>
                    <w:rPr>
                      <w:rFonts w:hint="default" w:ascii="Times New Roman" w:hAnsi="Times New Roman" w:cs="Times New Roman"/>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B9E8E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：2350mg/kg(大鼠经口)；LC</w:t>
                  </w:r>
                  <w:r>
                    <w:rPr>
                      <w:rFonts w:hint="default"/>
                      <w:color w:val="auto"/>
                      <w:sz w:val="18"/>
                      <w:szCs w:val="18"/>
                      <w:highlight w:val="none"/>
                      <w:vertAlign w:val="subscript"/>
                    </w:rPr>
                    <w:t>50</w:t>
                  </w:r>
                  <w:r>
                    <w:rPr>
                      <w:rFonts w:hint="default"/>
                      <w:color w:val="auto"/>
                      <w:sz w:val="18"/>
                      <w:szCs w:val="18"/>
                      <w:highlight w:val="none"/>
                    </w:rPr>
                    <w:t>：50400mg/m</w:t>
                  </w:r>
                  <w:r>
                    <w:rPr>
                      <w:rFonts w:hint="default"/>
                      <w:color w:val="auto"/>
                      <w:sz w:val="18"/>
                      <w:szCs w:val="18"/>
                      <w:highlight w:val="none"/>
                      <w:vertAlign w:val="superscript"/>
                    </w:rPr>
                    <w:t>3</w:t>
                  </w:r>
                  <w:r>
                    <w:rPr>
                      <w:rFonts w:hint="default"/>
                      <w:color w:val="auto"/>
                      <w:sz w:val="18"/>
                      <w:szCs w:val="18"/>
                      <w:highlight w:val="none"/>
                    </w:rPr>
                    <w:t>，4小时(大鼠吸入)</w:t>
                  </w:r>
                </w:p>
              </w:tc>
            </w:tr>
            <w:tr w14:paraId="1CDD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C1EE21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03CFD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氯化铵</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E84ED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NH</w:t>
                  </w:r>
                  <w:r>
                    <w:rPr>
                      <w:rFonts w:hint="default"/>
                      <w:color w:val="auto"/>
                      <w:sz w:val="18"/>
                      <w:szCs w:val="18"/>
                      <w:highlight w:val="none"/>
                      <w:vertAlign w:val="subscript"/>
                    </w:rPr>
                    <w:t>4</w:t>
                  </w:r>
                  <w:r>
                    <w:rPr>
                      <w:rFonts w:hint="default"/>
                      <w:color w:val="auto"/>
                      <w:sz w:val="18"/>
                      <w:szCs w:val="18"/>
                      <w:highlight w:val="none"/>
                    </w:rPr>
                    <w:t>Cl</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36259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无色晶体或白色颗粒性粉末，无臭、味咸、容易吸潮的白色粉末或结晶颗粒，分子量:53.49；熔点:520℃；密度（水=1）:1.53；溶解性:微溶于乙醇，溶于水，溶于甘油</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9C649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：1650mg/kg(大鼠经口)；LC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6E5A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349B8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3142D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default"/>
                      <w:color w:val="auto"/>
                      <w:sz w:val="18"/>
                      <w:szCs w:val="18"/>
                      <w:highlight w:val="none"/>
                    </w:rPr>
                    <w:t>三氯化铁</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930FB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FeCl</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0B543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外观与性状：黑棕色结晶，也有薄片状；熔点(℃)：306；沸点(℃)：319；临界温度(℃)：315；闪点(℃)：无意义；溶解性：易溶于水，不溶于甘油，易溶于甲醇、乙醇、丙酮、乙醚；相对密度(水=1)：2.90；相对蒸气密度(空气=1)：5.61；分子量：162.21；主要用途：用作饮水和废水的处理剂，染料工业的氧化剂和媒染剂，有机合成的催化剂和氧化剂。</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F4594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：1872mg/kg(大鼠经口)；LC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1054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89C17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900FC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过硫酸钾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661D65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K</w:t>
                  </w:r>
                  <w:r>
                    <w:rPr>
                      <w:rFonts w:hint="eastAsia"/>
                      <w:color w:val="auto"/>
                      <w:sz w:val="18"/>
                      <w:szCs w:val="18"/>
                      <w:highlight w:val="none"/>
                      <w:vertAlign w:val="subscript"/>
                    </w:rPr>
                    <w:t>2</w:t>
                  </w:r>
                  <w:r>
                    <w:rPr>
                      <w:rFonts w:hint="eastAsia"/>
                      <w:color w:val="auto"/>
                      <w:sz w:val="18"/>
                      <w:szCs w:val="18"/>
                      <w:highlight w:val="none"/>
                    </w:rPr>
                    <w:t>S</w:t>
                  </w:r>
                  <w:r>
                    <w:rPr>
                      <w:rFonts w:hint="eastAsia"/>
                      <w:color w:val="auto"/>
                      <w:sz w:val="18"/>
                      <w:szCs w:val="18"/>
                      <w:highlight w:val="none"/>
                      <w:vertAlign w:val="subscript"/>
                    </w:rPr>
                    <w:t>2</w:t>
                  </w:r>
                  <w:r>
                    <w:rPr>
                      <w:rFonts w:hint="eastAsia"/>
                      <w:color w:val="auto"/>
                      <w:sz w:val="18"/>
                      <w:szCs w:val="18"/>
                      <w:highlight w:val="none"/>
                    </w:rPr>
                    <w:t>O</w:t>
                  </w:r>
                  <w:r>
                    <w:rPr>
                      <w:rFonts w:hint="eastAsia"/>
                      <w:color w:val="auto"/>
                      <w:sz w:val="18"/>
                      <w:szCs w:val="18"/>
                      <w:highlight w:val="none"/>
                      <w:vertAlign w:val="subscript"/>
                    </w:rPr>
                    <w:t>8</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9F432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熔点：1067℃，沸点：1689℃，密度：2.47g/cm</w:t>
                  </w:r>
                  <w:r>
                    <w:rPr>
                      <w:rFonts w:hint="eastAsia"/>
                      <w:color w:val="auto"/>
                      <w:sz w:val="18"/>
                      <w:szCs w:val="18"/>
                      <w:highlight w:val="none"/>
                      <w:vertAlign w:val="superscript"/>
                    </w:rPr>
                    <w:t>3</w:t>
                  </w:r>
                  <w:r>
                    <w:rPr>
                      <w:rFonts w:hint="eastAsia"/>
                      <w:color w:val="auto"/>
                      <w:sz w:val="18"/>
                      <w:szCs w:val="18"/>
                      <w:highlight w:val="none"/>
                    </w:rPr>
                    <w:t>，外观：白色结晶性粉末，logP：0.01660，折射率：1.461，溶解性：溶于水，溶解速度比过硫酸铵慢，水溶液呈酸性，不溶于乙醇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2F773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：802mg/kg（大鼠经口）</w:t>
                  </w:r>
                </w:p>
              </w:tc>
            </w:tr>
            <w:tr w14:paraId="61B8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3E5FF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3A716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硫酸肼</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C6A52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N</w:t>
                  </w:r>
                  <w:r>
                    <w:rPr>
                      <w:rFonts w:hint="eastAsia"/>
                      <w:color w:val="auto"/>
                      <w:sz w:val="18"/>
                      <w:szCs w:val="18"/>
                      <w:highlight w:val="none"/>
                      <w:vertAlign w:val="subscript"/>
                    </w:rPr>
                    <w:t>2</w:t>
                  </w:r>
                  <w:r>
                    <w:rPr>
                      <w:rFonts w:hint="eastAsia"/>
                      <w:color w:val="auto"/>
                      <w:sz w:val="18"/>
                      <w:szCs w:val="18"/>
                      <w:highlight w:val="none"/>
                    </w:rPr>
                    <w:t>H</w:t>
                  </w:r>
                  <w:r>
                    <w:rPr>
                      <w:rFonts w:hint="eastAsia"/>
                      <w:color w:val="auto"/>
                      <w:sz w:val="18"/>
                      <w:szCs w:val="18"/>
                      <w:highlight w:val="none"/>
                      <w:vertAlign w:val="subscript"/>
                    </w:rPr>
                    <w:t>4</w:t>
                  </w:r>
                  <w:r>
                    <w:rPr>
                      <w:rFonts w:hint="eastAsia"/>
                      <w:color w:val="auto"/>
                      <w:sz w:val="18"/>
                      <w:szCs w:val="18"/>
                      <w:highlight w:val="none"/>
                    </w:rPr>
                    <w:t>·H</w:t>
                  </w:r>
                  <w:r>
                    <w:rPr>
                      <w:rFonts w:hint="eastAsia"/>
                      <w:color w:val="auto"/>
                      <w:sz w:val="18"/>
                      <w:szCs w:val="18"/>
                      <w:highlight w:val="none"/>
                      <w:vertAlign w:val="subscript"/>
                    </w:rPr>
                    <w:t>2</w:t>
                  </w:r>
                  <w:r>
                    <w:rPr>
                      <w:rFonts w:hint="eastAsia"/>
                      <w:color w:val="auto"/>
                      <w:sz w:val="18"/>
                      <w:szCs w:val="18"/>
                      <w:highlight w:val="none"/>
                    </w:rPr>
                    <w:t>SO</w:t>
                  </w:r>
                  <w:r>
                    <w:rPr>
                      <w:rFonts w:hint="eastAsia"/>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72273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无色或白色</w:t>
                  </w:r>
                  <w:r>
                    <w:rPr>
                      <w:rFonts w:hint="eastAsia"/>
                      <w:color w:val="auto"/>
                      <w:sz w:val="18"/>
                      <w:szCs w:val="18"/>
                      <w:highlight w:val="none"/>
                      <w:lang w:eastAsia="zh-CN"/>
                    </w:rPr>
                    <w:t>菱形</w:t>
                  </w:r>
                  <w:r>
                    <w:rPr>
                      <w:rFonts w:hint="default"/>
                      <w:color w:val="auto"/>
                      <w:sz w:val="18"/>
                      <w:szCs w:val="18"/>
                      <w:highlight w:val="none"/>
                    </w:rPr>
                    <w:t>结晶或粉末。易溶于热水，微溶于冷水，不溶于乙醇。0.2mol/L水溶液的pH为1.3。相对密度1.378。熔点254℃（分解）。有强烈的</w:t>
                  </w:r>
                  <w:r>
                    <w:rPr>
                      <w:rFonts w:hint="default"/>
                      <w:color w:val="auto"/>
                      <w:sz w:val="18"/>
                      <w:szCs w:val="18"/>
                      <w:highlight w:val="none"/>
                    </w:rPr>
                    <w:fldChar w:fldCharType="begin"/>
                  </w:r>
                  <w:r>
                    <w:rPr>
                      <w:rFonts w:hint="default"/>
                      <w:color w:val="auto"/>
                      <w:sz w:val="18"/>
                      <w:szCs w:val="18"/>
                      <w:highlight w:val="none"/>
                    </w:rPr>
                    <w:instrText xml:space="preserve"> HYPERLINK "https://baike.baidu.com/item/%E8%BF%98%E5%8E%9F%E4%BD%9C%E7%94%A8/837160?fromModule=lemma_inlink" \t "https://baike.baidu.com/item/%E7%A1%AB%E9%85%B8%E8%82%BC/_blank" </w:instrText>
                  </w:r>
                  <w:r>
                    <w:rPr>
                      <w:rFonts w:hint="default"/>
                      <w:color w:val="auto"/>
                      <w:sz w:val="18"/>
                      <w:szCs w:val="18"/>
                      <w:highlight w:val="none"/>
                    </w:rPr>
                    <w:fldChar w:fldCharType="separate"/>
                  </w:r>
                  <w:r>
                    <w:rPr>
                      <w:rFonts w:hint="default"/>
                      <w:color w:val="auto"/>
                      <w:sz w:val="18"/>
                      <w:szCs w:val="18"/>
                      <w:highlight w:val="none"/>
                    </w:rPr>
                    <w:t>还原作用</w:t>
                  </w:r>
                  <w:r>
                    <w:rPr>
                      <w:rFonts w:hint="default"/>
                      <w:color w:val="auto"/>
                      <w:sz w:val="18"/>
                      <w:szCs w:val="18"/>
                      <w:highlight w:val="none"/>
                    </w:rPr>
                    <w:fldChar w:fldCharType="end"/>
                  </w:r>
                  <w:r>
                    <w:rPr>
                      <w:rFonts w:hint="default"/>
                      <w:color w:val="auto"/>
                      <w:sz w:val="18"/>
                      <w:szCs w:val="18"/>
                      <w:highlight w:val="none"/>
                    </w:rPr>
                    <w:t>。遇氧化剂易引起爆炸。有毒。有致癌可能性</w:t>
                  </w:r>
                  <w:r>
                    <w:rPr>
                      <w:rFonts w:hint="default" w:ascii="Times New Roman" w:hAnsi="Times New Roman" w:eastAsia="Times New Roman" w:cs="Times New Roman"/>
                      <w:i w:val="0"/>
                      <w:iCs w:val="0"/>
                      <w:caps w:val="0"/>
                      <w:color w:val="auto"/>
                      <w:spacing w:val="0"/>
                      <w:sz w:val="18"/>
                      <w:szCs w:val="18"/>
                      <w:highlight w:val="none"/>
                      <w:shd w:val="clear" w:fill="FFFFFF"/>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7B8CA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：601mg/kg（大鼠经口）</w:t>
                  </w:r>
                </w:p>
              </w:tc>
            </w:tr>
            <w:tr w14:paraId="1DD8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6466E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40AFE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硫酸银</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E0E58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Ag</w:t>
                  </w:r>
                  <w:r>
                    <w:rPr>
                      <w:rFonts w:hint="eastAsia"/>
                      <w:color w:val="auto"/>
                      <w:sz w:val="18"/>
                      <w:szCs w:val="18"/>
                      <w:highlight w:val="none"/>
                      <w:vertAlign w:val="subscript"/>
                    </w:rPr>
                    <w:t>2</w:t>
                  </w:r>
                  <w:r>
                    <w:rPr>
                      <w:rFonts w:hint="eastAsia"/>
                      <w:color w:val="auto"/>
                      <w:sz w:val="18"/>
                      <w:szCs w:val="18"/>
                      <w:highlight w:val="none"/>
                    </w:rPr>
                    <w:t>SO</w:t>
                  </w:r>
                  <w:r>
                    <w:rPr>
                      <w:rFonts w:hint="eastAsia"/>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405FE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密度：</w:t>
                  </w:r>
                  <w:r>
                    <w:rPr>
                      <w:rFonts w:hint="eastAsia"/>
                      <w:color w:val="auto"/>
                      <w:sz w:val="18"/>
                      <w:szCs w:val="18"/>
                      <w:highlight w:val="none"/>
                      <w:lang w:val="en-US" w:eastAsia="zh-CN"/>
                    </w:rPr>
                    <w:t>5.45</w:t>
                  </w:r>
                  <w:r>
                    <w:rPr>
                      <w:rFonts w:hint="eastAsia"/>
                      <w:color w:val="auto"/>
                      <w:sz w:val="18"/>
                      <w:szCs w:val="18"/>
                      <w:highlight w:val="none"/>
                    </w:rPr>
                    <w:t>g/cm</w:t>
                  </w:r>
                  <w:r>
                    <w:rPr>
                      <w:rFonts w:hint="eastAsia"/>
                      <w:color w:val="auto"/>
                      <w:sz w:val="18"/>
                      <w:szCs w:val="18"/>
                      <w:highlight w:val="none"/>
                      <w:vertAlign w:val="superscript"/>
                    </w:rPr>
                    <w:t>3</w:t>
                  </w:r>
                  <w:r>
                    <w:rPr>
                      <w:rFonts w:hint="eastAsia"/>
                      <w:color w:val="auto"/>
                      <w:sz w:val="18"/>
                      <w:szCs w:val="18"/>
                      <w:highlight w:val="none"/>
                    </w:rPr>
                    <w:t>，熔点：652℃，沸点：1085℃，蒸汽压：3.35E-05mmHgat25°C，外观：白色结晶性粉末，溶解性：易溶于氨水、硝酸</w:t>
                  </w:r>
                  <w:r>
                    <w:rPr>
                      <w:rFonts w:hint="eastAsia"/>
                      <w:color w:val="auto"/>
                      <w:sz w:val="18"/>
                      <w:szCs w:val="18"/>
                      <w:highlight w:val="none"/>
                      <w:lang w:eastAsia="zh-CN"/>
                    </w:rPr>
                    <w:t>和</w:t>
                  </w:r>
                  <w:r>
                    <w:rPr>
                      <w:rFonts w:hint="eastAsia"/>
                      <w:color w:val="auto"/>
                      <w:sz w:val="18"/>
                      <w:szCs w:val="18"/>
                      <w:highlight w:val="none"/>
                    </w:rPr>
                    <w:t>浓硫酸，微溶于水，不溶于乙醇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3FF86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:5000mg/kg（orally</w:t>
                  </w:r>
                  <w:r>
                    <w:rPr>
                      <w:rFonts w:hint="eastAsia"/>
                      <w:color w:val="auto"/>
                      <w:sz w:val="18"/>
                      <w:szCs w:val="18"/>
                      <w:highlight w:val="none"/>
                      <w:lang w:val="en-US" w:eastAsia="zh-CN"/>
                    </w:rPr>
                    <w:t xml:space="preserve"> </w:t>
                  </w:r>
                  <w:r>
                    <w:rPr>
                      <w:rFonts w:hint="eastAsia"/>
                      <w:color w:val="auto"/>
                      <w:sz w:val="18"/>
                      <w:szCs w:val="18"/>
                      <w:highlight w:val="none"/>
                    </w:rPr>
                    <w:t>in</w:t>
                  </w:r>
                  <w:r>
                    <w:rPr>
                      <w:rFonts w:hint="eastAsia"/>
                      <w:color w:val="auto"/>
                      <w:sz w:val="18"/>
                      <w:szCs w:val="18"/>
                      <w:highlight w:val="none"/>
                      <w:lang w:val="en-US" w:eastAsia="zh-CN"/>
                    </w:rPr>
                    <w:t xml:space="preserve"> </w:t>
                  </w:r>
                  <w:r>
                    <w:rPr>
                      <w:rFonts w:hint="eastAsia"/>
                      <w:color w:val="auto"/>
                      <w:sz w:val="18"/>
                      <w:szCs w:val="18"/>
                      <w:highlight w:val="none"/>
                    </w:rPr>
                    <w:t>Rabbit）</w:t>
                  </w:r>
                </w:p>
              </w:tc>
            </w:tr>
            <w:tr w14:paraId="1D46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9E30A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201F2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硫酸锰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1CDD1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MnSO</w:t>
                  </w:r>
                  <w:r>
                    <w:rPr>
                      <w:rFonts w:hint="eastAsia"/>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74AC6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相对密度为3.50，熔点为700℃，易溶于水，不溶于乙醇</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ADB30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:2150毫克/公斤</w:t>
                  </w:r>
                  <w:r>
                    <w:rPr>
                      <w:rFonts w:hint="eastAsia"/>
                      <w:color w:val="auto"/>
                      <w:sz w:val="18"/>
                      <w:szCs w:val="18"/>
                      <w:highlight w:val="none"/>
                      <w:lang w:eastAsia="zh-CN"/>
                    </w:rPr>
                    <w:t>；</w:t>
                  </w:r>
                  <w:r>
                    <w:rPr>
                      <w:rFonts w:hint="eastAsia"/>
                      <w:color w:val="auto"/>
                      <w:sz w:val="18"/>
                      <w:szCs w:val="18"/>
                      <w:highlight w:val="none"/>
                    </w:rPr>
                    <w:t>小鼠LD</w:t>
                  </w:r>
                  <w:r>
                    <w:rPr>
                      <w:rFonts w:hint="eastAsia"/>
                      <w:color w:val="auto"/>
                      <w:sz w:val="18"/>
                      <w:szCs w:val="18"/>
                      <w:highlight w:val="none"/>
                      <w:vertAlign w:val="subscript"/>
                    </w:rPr>
                    <w:t>50</w:t>
                  </w:r>
                  <w:r>
                    <w:rPr>
                      <w:rFonts w:hint="eastAsia"/>
                      <w:color w:val="auto"/>
                      <w:sz w:val="18"/>
                      <w:szCs w:val="18"/>
                      <w:highlight w:val="none"/>
                    </w:rPr>
                    <w:t>:2330毫克/公斤</w:t>
                  </w:r>
                </w:p>
              </w:tc>
            </w:tr>
            <w:tr w14:paraId="2EE0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E2937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6C623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硫酸铝钾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00971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KAl(SO</w:t>
                  </w:r>
                  <w:r>
                    <w:rPr>
                      <w:rFonts w:hint="eastAsia"/>
                      <w:color w:val="auto"/>
                      <w:sz w:val="18"/>
                      <w:szCs w:val="18"/>
                      <w:highlight w:val="none"/>
                      <w:vertAlign w:val="subscript"/>
                    </w:rPr>
                    <w:t>4</w:t>
                  </w:r>
                  <w:r>
                    <w:rPr>
                      <w:rFonts w:hint="eastAsia"/>
                      <w:color w:val="auto"/>
                      <w:sz w:val="18"/>
                      <w:szCs w:val="18"/>
                      <w:highlight w:val="none"/>
                    </w:rPr>
                    <w:t>)</w:t>
                  </w:r>
                  <w:r>
                    <w:rPr>
                      <w:rFonts w:hint="eastAsia"/>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AC07C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无色结晶或粉末。无气味，微甜而有涩味、有收敛性。在干燥空气中风化失去结晶水，在潮湿空气中溶化淌水。易溶于甘油，能溶于水，水溶液呈酸性反应，水解后有氢氧化铝胶状物沉淀。不溶于醇和丙酮。60～65℃硫酸干燥时失去9分子水，在200℃时十二个结晶水完全失去，更高温度分解出三氧化硫。</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F12BB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猫口服5~10g/kg体重</w:t>
                  </w:r>
                </w:p>
              </w:tc>
            </w:tr>
            <w:tr w14:paraId="4DBC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7D0DD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42638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default"/>
                      <w:color w:val="auto"/>
                      <w:sz w:val="18"/>
                      <w:szCs w:val="18"/>
                      <w:highlight w:val="none"/>
                    </w:rPr>
                    <w:t>硫酸亚铁铵</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36EB7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（NH</w:t>
                  </w:r>
                  <w:r>
                    <w:rPr>
                      <w:rFonts w:hint="default"/>
                      <w:color w:val="auto"/>
                      <w:sz w:val="18"/>
                      <w:szCs w:val="18"/>
                      <w:highlight w:val="none"/>
                      <w:vertAlign w:val="subscript"/>
                    </w:rPr>
                    <w:t>4</w:t>
                  </w:r>
                  <w:r>
                    <w:rPr>
                      <w:rFonts w:hint="default"/>
                      <w:color w:val="auto"/>
                      <w:sz w:val="18"/>
                      <w:szCs w:val="18"/>
                      <w:highlight w:val="none"/>
                    </w:rPr>
                    <w:t>）</w:t>
                  </w:r>
                  <w:r>
                    <w:rPr>
                      <w:rFonts w:hint="default"/>
                      <w:color w:val="auto"/>
                      <w:sz w:val="18"/>
                      <w:szCs w:val="18"/>
                      <w:highlight w:val="none"/>
                      <w:vertAlign w:val="subscript"/>
                    </w:rPr>
                    <w:t>2</w:t>
                  </w:r>
                  <w:r>
                    <w:rPr>
                      <w:rFonts w:hint="default"/>
                      <w:color w:val="auto"/>
                      <w:sz w:val="18"/>
                      <w:szCs w:val="18"/>
                      <w:highlight w:val="none"/>
                    </w:rPr>
                    <w:t>Fe（SO</w:t>
                  </w:r>
                  <w:r>
                    <w:rPr>
                      <w:rFonts w:hint="default"/>
                      <w:color w:val="auto"/>
                      <w:sz w:val="18"/>
                      <w:szCs w:val="18"/>
                      <w:highlight w:val="none"/>
                      <w:vertAlign w:val="subscript"/>
                    </w:rPr>
                    <w:t>4</w:t>
                  </w:r>
                  <w:r>
                    <w:rPr>
                      <w:rFonts w:hint="default"/>
                      <w:color w:val="auto"/>
                      <w:sz w:val="18"/>
                      <w:szCs w:val="18"/>
                      <w:highlight w:val="none"/>
                    </w:rPr>
                    <w:t>）</w:t>
                  </w:r>
                  <w:r>
                    <w:rPr>
                      <w:rFonts w:hint="default"/>
                      <w:color w:val="auto"/>
                      <w:sz w:val="18"/>
                      <w:szCs w:val="18"/>
                      <w:highlight w:val="none"/>
                      <w:vertAlign w:val="subscript"/>
                    </w:rPr>
                    <w:t>2</w:t>
                  </w: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580C9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是一种蓝绿色的无机复盐。易溶于水，不溶于乙醇，在100℃～110℃时分解，可用于电镀</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45DB6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eastAsia"/>
                      <w:color w:val="auto"/>
                      <w:sz w:val="18"/>
                      <w:szCs w:val="18"/>
                      <w:highlight w:val="none"/>
                      <w:lang w:eastAsia="zh-CN"/>
                    </w:rPr>
                    <w:t>：</w:t>
                  </w:r>
                  <w:r>
                    <w:rPr>
                      <w:rFonts w:hint="default"/>
                      <w:color w:val="auto"/>
                      <w:sz w:val="18"/>
                      <w:szCs w:val="18"/>
                      <w:highlight w:val="none"/>
                    </w:rPr>
                    <w:t>3250mg/kg(大鼠经口)；LC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6AAB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D4368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6A7AA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硫酸铁铵</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3524B4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FeH</w:t>
                  </w:r>
                  <w:r>
                    <w:rPr>
                      <w:rFonts w:hint="default"/>
                      <w:color w:val="auto"/>
                      <w:sz w:val="18"/>
                      <w:szCs w:val="18"/>
                      <w:highlight w:val="none"/>
                      <w:vertAlign w:val="subscript"/>
                    </w:rPr>
                    <w:t>4</w:t>
                  </w:r>
                  <w:r>
                    <w:rPr>
                      <w:rFonts w:hint="default"/>
                      <w:color w:val="auto"/>
                      <w:sz w:val="18"/>
                      <w:szCs w:val="18"/>
                      <w:highlight w:val="none"/>
                    </w:rPr>
                    <w:t>NO</w:t>
                  </w:r>
                  <w:r>
                    <w:rPr>
                      <w:rFonts w:hint="default"/>
                      <w:color w:val="auto"/>
                      <w:sz w:val="18"/>
                      <w:szCs w:val="18"/>
                      <w:highlight w:val="none"/>
                      <w:vertAlign w:val="subscript"/>
                    </w:rPr>
                    <w:t>8</w:t>
                  </w:r>
                  <w:r>
                    <w:rPr>
                      <w:rFonts w:hint="default"/>
                      <w:color w:val="auto"/>
                      <w:sz w:val="18"/>
                      <w:szCs w:val="18"/>
                      <w:highlight w:val="none"/>
                    </w:rPr>
                    <w:t>S</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1291B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紫罗兰色晶体，密度（g/mL）:0.87；熔点(℃)：40；沸点(℃)：85；闪点(℃)：-2.22</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A42C8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：无资料；腐蚀性材料、眼伤害、皮肤伤害、刺激物</w:t>
                  </w:r>
                </w:p>
              </w:tc>
            </w:tr>
            <w:tr w14:paraId="206A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67312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D0D13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硫酸镁</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823B88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MgSO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8B50C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常温下纯品为无色或微紫色的棱柱形晶体，工业品因含杂质常为粉红、棕红色、土黄色块。具有臭味。溶解于冷水，极易溶于热水，微溶于醇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3DA2C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：820mg/kg(小鼠经口)；950mg/kg(小鼠静注)；LC</w:t>
                  </w:r>
                  <w:r>
                    <w:rPr>
                      <w:rFonts w:hint="default"/>
                      <w:color w:val="auto"/>
                      <w:sz w:val="18"/>
                      <w:szCs w:val="18"/>
                      <w:highlight w:val="none"/>
                      <w:vertAlign w:val="subscript"/>
                    </w:rPr>
                    <w:t>50</w:t>
                  </w:r>
                  <w:r>
                    <w:rPr>
                      <w:rFonts w:hint="default"/>
                      <w:color w:val="auto"/>
                      <w:sz w:val="18"/>
                      <w:szCs w:val="18"/>
                      <w:highlight w:val="none"/>
                    </w:rPr>
                    <w:t>：无资料</w:t>
                  </w:r>
                </w:p>
              </w:tc>
            </w:tr>
            <w:tr w14:paraId="2429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D14ED9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EF25D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磷酸二氢钠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144F7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NaH</w:t>
                  </w:r>
                  <w:r>
                    <w:rPr>
                      <w:rFonts w:hint="default"/>
                      <w:color w:val="auto"/>
                      <w:sz w:val="18"/>
                      <w:szCs w:val="18"/>
                      <w:highlight w:val="none"/>
                      <w:vertAlign w:val="subscript"/>
                    </w:rPr>
                    <w:t>2</w:t>
                  </w:r>
                  <w:r>
                    <w:rPr>
                      <w:rFonts w:hint="default"/>
                      <w:color w:val="auto"/>
                      <w:sz w:val="18"/>
                      <w:szCs w:val="18"/>
                      <w:highlight w:val="none"/>
                    </w:rPr>
                    <w:t>PO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9F07B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无色结晶或白色结晶性粉末。无臭，味咸，酸。热至100℃失去全部结晶水，灼热变成偏磷酸钠。易溶于水，几乎不溶于乙醇，其水溶液呈酸性。0.1mol/L水溶液在25℃时的pH为4.5。相对密度1.915。熔点60℃。</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7C9D8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：8290mg/kg(大鼠经口)；LC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46CE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2F3A9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D7B671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磷酸氢二钠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83550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w:t>
                  </w:r>
                  <w:r>
                    <w:rPr>
                      <w:rFonts w:hint="eastAsia"/>
                      <w:color w:val="auto"/>
                      <w:sz w:val="18"/>
                      <w:szCs w:val="18"/>
                      <w:highlight w:val="none"/>
                      <w:vertAlign w:val="subscript"/>
                      <w:lang w:val="en-US" w:eastAsia="zh-CN"/>
                    </w:rPr>
                    <w:t>2</w:t>
                  </w: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PO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9A4B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eastAsia"/>
                      <w:color w:val="auto"/>
                      <w:sz w:val="18"/>
                      <w:szCs w:val="18"/>
                      <w:highlight w:val="none"/>
                    </w:rPr>
                    <w:t>白色粒状的粉末，易潮解，可溶于水，水溶液呈弱碱性，但不溶于醇。熔点：243~245℃。密度：1.064g/cm</w:t>
                  </w:r>
                  <w:r>
                    <w:rPr>
                      <w:rFonts w:hint="eastAsia"/>
                      <w:color w:val="auto"/>
                      <w:sz w:val="18"/>
                      <w:szCs w:val="18"/>
                      <w:highlight w:val="none"/>
                      <w:vertAlign w:val="superscript"/>
                    </w:rPr>
                    <w:t>3</w:t>
                  </w:r>
                  <w:r>
                    <w:rPr>
                      <w:rFonts w:hint="eastAsia"/>
                      <w:color w:val="auto"/>
                      <w:sz w:val="18"/>
                      <w:szCs w:val="18"/>
                      <w:highlight w:val="none"/>
                    </w:rPr>
                    <w:t>。分子量：141.96。</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48955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w:t>
                  </w:r>
                </w:p>
              </w:tc>
            </w:tr>
            <w:tr w14:paraId="5603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FA1A86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B8723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磷酸氢二钾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50DA2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lang w:val="en-US" w:eastAsia="zh-CN"/>
                    </w:rPr>
                    <w:t>K</w:t>
                  </w:r>
                  <w:r>
                    <w:rPr>
                      <w:rFonts w:hint="eastAsia"/>
                      <w:color w:val="auto"/>
                      <w:sz w:val="18"/>
                      <w:szCs w:val="18"/>
                      <w:highlight w:val="none"/>
                      <w:vertAlign w:val="subscript"/>
                      <w:lang w:val="en-US" w:eastAsia="zh-CN"/>
                    </w:rPr>
                    <w:t>2</w:t>
                  </w:r>
                  <w:r>
                    <w:rPr>
                      <w:rFonts w:hint="default"/>
                      <w:color w:val="auto"/>
                      <w:sz w:val="18"/>
                      <w:szCs w:val="18"/>
                      <w:highlight w:val="none"/>
                    </w:rPr>
                    <w:t>H</w:t>
                  </w:r>
                  <w:r>
                    <w:rPr>
                      <w:rFonts w:hint="default"/>
                      <w:color w:val="auto"/>
                      <w:sz w:val="18"/>
                      <w:szCs w:val="18"/>
                      <w:highlight w:val="none"/>
                      <w:vertAlign w:val="subscript"/>
                    </w:rPr>
                    <w:t>2</w:t>
                  </w:r>
                  <w:r>
                    <w:rPr>
                      <w:rFonts w:hint="default"/>
                      <w:color w:val="auto"/>
                      <w:sz w:val="18"/>
                      <w:szCs w:val="18"/>
                      <w:highlight w:val="none"/>
                    </w:rPr>
                    <w:t>PO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890BC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白色结晶性或无定形粉末，易溶于水，微溶于醇，密度：2.44g/cm</w:t>
                  </w:r>
                  <w:r>
                    <w:rPr>
                      <w:rFonts w:hint="eastAsia"/>
                      <w:color w:val="auto"/>
                      <w:sz w:val="18"/>
                      <w:szCs w:val="18"/>
                      <w:highlight w:val="none"/>
                      <w:vertAlign w:val="superscript"/>
                    </w:rPr>
                    <w:t>3</w:t>
                  </w:r>
                  <w:r>
                    <w:rPr>
                      <w:rFonts w:hint="eastAsia"/>
                      <w:color w:val="auto"/>
                      <w:sz w:val="18"/>
                      <w:szCs w:val="18"/>
                      <w:highlight w:val="none"/>
                      <w:vertAlign w:val="baseline"/>
                      <w:lang w:eastAsia="zh-CN"/>
                    </w:rPr>
                    <w:t>。</w:t>
                  </w:r>
                  <w:r>
                    <w:rPr>
                      <w:rFonts w:hint="eastAsia"/>
                      <w:color w:val="auto"/>
                      <w:sz w:val="18"/>
                      <w:szCs w:val="18"/>
                      <w:highlight w:val="none"/>
                    </w:rPr>
                    <w:t>熔点：340ºC，外观：白色粉末，溶解性：易溶于水，微溶于醇</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C00C2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LD</w:t>
                  </w:r>
                  <w:r>
                    <w:rPr>
                      <w:rFonts w:hint="eastAsia"/>
                      <w:color w:val="auto"/>
                      <w:sz w:val="18"/>
                      <w:szCs w:val="18"/>
                      <w:highlight w:val="none"/>
                      <w:vertAlign w:val="subscript"/>
                    </w:rPr>
                    <w:t>50</w:t>
                  </w:r>
                  <w:r>
                    <w:rPr>
                      <w:rFonts w:hint="eastAsia"/>
                      <w:color w:val="auto"/>
                      <w:sz w:val="18"/>
                      <w:szCs w:val="18"/>
                      <w:highlight w:val="none"/>
                    </w:rPr>
                    <w:t>：4000mg/kg（大鼠经口）；4720mg/kg（兔经皮）。LC</w:t>
                  </w:r>
                  <w:r>
                    <w:rPr>
                      <w:rFonts w:hint="eastAsia"/>
                      <w:color w:val="auto"/>
                      <w:sz w:val="18"/>
                      <w:szCs w:val="18"/>
                      <w:highlight w:val="none"/>
                      <w:vertAlign w:val="subscript"/>
                    </w:rPr>
                    <w:t>50</w:t>
                  </w:r>
                  <w:r>
                    <w:rPr>
                      <w:rFonts w:hint="eastAsia"/>
                      <w:color w:val="auto"/>
                      <w:sz w:val="18"/>
                      <w:szCs w:val="18"/>
                      <w:highlight w:val="none"/>
                    </w:rPr>
                    <w:t>：9400mg/m3，2小时（小鼠吸入）</w:t>
                  </w:r>
                </w:p>
              </w:tc>
            </w:tr>
            <w:tr w14:paraId="3235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C2788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583E5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磷酸二氢钾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8F5B4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KH</w:t>
                  </w:r>
                  <w:r>
                    <w:rPr>
                      <w:rFonts w:hint="default"/>
                      <w:color w:val="auto"/>
                      <w:sz w:val="18"/>
                      <w:szCs w:val="18"/>
                      <w:highlight w:val="none"/>
                      <w:vertAlign w:val="subscript"/>
                    </w:rPr>
                    <w:t>2</w:t>
                  </w:r>
                  <w:r>
                    <w:rPr>
                      <w:rFonts w:hint="default"/>
                      <w:color w:val="auto"/>
                      <w:sz w:val="18"/>
                      <w:szCs w:val="18"/>
                      <w:highlight w:val="none"/>
                    </w:rPr>
                    <w:t>PO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72055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ascii="Times New Roman" w:hAnsi="Times New Roman" w:cs="Times New Roman"/>
                      <w:color w:val="auto"/>
                      <w:sz w:val="18"/>
                      <w:szCs w:val="18"/>
                      <w:highlight w:val="none"/>
                    </w:rPr>
                    <w:t>密度：2.338g/cm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，熔点：252.6℃，外观：白色结晶性粉末，溶解性</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溶于水，水溶液呈酸性，不溶于醇。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C7ACF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：无资料；眼接触后：微刺激；食用大量后：反胃、呕吐、胃痛、腹泻，一般不适感觉</w:t>
                  </w:r>
                </w:p>
              </w:tc>
            </w:tr>
            <w:tr w14:paraId="6C00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B0D94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305BE9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柠檬酸三钠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4E0E50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6</w:t>
                  </w:r>
                  <w:r>
                    <w:rPr>
                      <w:rFonts w:hint="default"/>
                      <w:color w:val="auto"/>
                      <w:sz w:val="18"/>
                      <w:szCs w:val="18"/>
                      <w:highlight w:val="none"/>
                    </w:rPr>
                    <w:t>H</w:t>
                  </w:r>
                  <w:r>
                    <w:rPr>
                      <w:rFonts w:hint="default"/>
                      <w:color w:val="auto"/>
                      <w:sz w:val="18"/>
                      <w:szCs w:val="18"/>
                      <w:highlight w:val="none"/>
                      <w:vertAlign w:val="subscript"/>
                    </w:rPr>
                    <w:t>5</w:t>
                  </w:r>
                  <w:r>
                    <w:rPr>
                      <w:rFonts w:hint="default"/>
                      <w:color w:val="auto"/>
                      <w:sz w:val="18"/>
                      <w:szCs w:val="18"/>
                      <w:highlight w:val="none"/>
                    </w:rPr>
                    <w:t>Na</w:t>
                  </w:r>
                  <w:r>
                    <w:rPr>
                      <w:rFonts w:hint="default"/>
                      <w:color w:val="auto"/>
                      <w:sz w:val="18"/>
                      <w:szCs w:val="18"/>
                      <w:highlight w:val="none"/>
                      <w:vertAlign w:val="subscript"/>
                    </w:rPr>
                    <w:t>3</w:t>
                  </w:r>
                  <w:r>
                    <w:rPr>
                      <w:rFonts w:hint="default"/>
                      <w:color w:val="auto"/>
                      <w:sz w:val="18"/>
                      <w:szCs w:val="18"/>
                      <w:highlight w:val="none"/>
                    </w:rPr>
                    <w:t>O</w:t>
                  </w:r>
                  <w:r>
                    <w:rPr>
                      <w:rFonts w:hint="default"/>
                      <w:color w:val="auto"/>
                      <w:sz w:val="18"/>
                      <w:szCs w:val="18"/>
                      <w:highlight w:val="none"/>
                      <w:vertAlign w:val="subscript"/>
                    </w:rPr>
                    <w:t>7</w:t>
                  </w:r>
                  <w:r>
                    <w:rPr>
                      <w:rFonts w:hint="default"/>
                      <w:color w:val="auto"/>
                      <w:sz w:val="18"/>
                      <w:szCs w:val="18"/>
                      <w:highlight w:val="none"/>
                    </w:rPr>
                    <w:t>·2H</w:t>
                  </w:r>
                  <w:r>
                    <w:rPr>
                      <w:rFonts w:hint="default"/>
                      <w:color w:val="auto"/>
                      <w:sz w:val="18"/>
                      <w:szCs w:val="18"/>
                      <w:highlight w:val="none"/>
                      <w:vertAlign w:val="subscript"/>
                    </w:rPr>
                    <w:t>2</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05D10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白色结晶颗粒或粉末。相对密度1.857</w:t>
                  </w:r>
                  <w:r>
                    <w:rPr>
                      <w:rFonts w:hint="eastAsia"/>
                      <w:color w:val="auto"/>
                      <w:sz w:val="18"/>
                      <w:szCs w:val="18"/>
                      <w:highlight w:val="none"/>
                      <w:lang w:eastAsia="zh-CN"/>
                    </w:rPr>
                    <w:t>，</w:t>
                  </w:r>
                  <w:r>
                    <w:rPr>
                      <w:rFonts w:hint="default"/>
                      <w:color w:val="auto"/>
                      <w:sz w:val="18"/>
                      <w:szCs w:val="18"/>
                      <w:highlight w:val="none"/>
                    </w:rPr>
                    <w:t>在150℃失去结晶水，继续加热则分解。溶于水，难溶于醇，水溶液的pH为8。无气味，有凉咸味，在空气中稳定</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B5F339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：无资料；可能会引起皮肤、眼睛和呼吸道过敏</w:t>
                  </w:r>
                </w:p>
              </w:tc>
            </w:tr>
            <w:tr w14:paraId="0266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9E554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73668E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乙二胺四乙酸二钠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5B2BF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10</w:t>
                  </w:r>
                  <w:r>
                    <w:rPr>
                      <w:rFonts w:hint="default"/>
                      <w:color w:val="auto"/>
                      <w:sz w:val="18"/>
                      <w:szCs w:val="18"/>
                      <w:highlight w:val="none"/>
                    </w:rPr>
                    <w:t>H</w:t>
                  </w:r>
                  <w:r>
                    <w:rPr>
                      <w:rFonts w:hint="default"/>
                      <w:color w:val="auto"/>
                      <w:sz w:val="18"/>
                      <w:szCs w:val="18"/>
                      <w:highlight w:val="none"/>
                      <w:vertAlign w:val="subscript"/>
                    </w:rPr>
                    <w:t>14</w:t>
                  </w:r>
                  <w:r>
                    <w:rPr>
                      <w:rFonts w:hint="default"/>
                      <w:color w:val="auto"/>
                      <w:sz w:val="18"/>
                      <w:szCs w:val="18"/>
                      <w:highlight w:val="none"/>
                    </w:rPr>
                    <w:t>N</w:t>
                  </w:r>
                  <w:r>
                    <w:rPr>
                      <w:rFonts w:hint="default"/>
                      <w:color w:val="auto"/>
                      <w:sz w:val="18"/>
                      <w:szCs w:val="18"/>
                      <w:highlight w:val="none"/>
                      <w:vertAlign w:val="subscript"/>
                    </w:rPr>
                    <w:t>2</w:t>
                  </w:r>
                  <w:r>
                    <w:rPr>
                      <w:rFonts w:hint="default"/>
                      <w:color w:val="auto"/>
                      <w:sz w:val="18"/>
                      <w:szCs w:val="18"/>
                      <w:highlight w:val="none"/>
                    </w:rPr>
                    <w:t>O</w:t>
                  </w:r>
                  <w:r>
                    <w:rPr>
                      <w:rFonts w:hint="default"/>
                      <w:color w:val="auto"/>
                      <w:sz w:val="18"/>
                      <w:szCs w:val="18"/>
                      <w:highlight w:val="none"/>
                      <w:vertAlign w:val="subscript"/>
                    </w:rPr>
                    <w:t>8</w:t>
                  </w:r>
                  <w:r>
                    <w:rPr>
                      <w:rFonts w:hint="default"/>
                      <w:color w:val="auto"/>
                      <w:sz w:val="18"/>
                      <w:szCs w:val="18"/>
                      <w:highlight w:val="none"/>
                    </w:rPr>
                    <w:t>Na</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F84DB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性状：白色晶体状粉末。密度（g/mL</w:t>
                  </w:r>
                  <w:r>
                    <w:rPr>
                      <w:rFonts w:hint="eastAsia"/>
                      <w:color w:val="auto"/>
                      <w:sz w:val="18"/>
                      <w:szCs w:val="18"/>
                      <w:highlight w:val="none"/>
                      <w:lang w:eastAsia="zh-CN"/>
                    </w:rPr>
                    <w:t>，</w:t>
                  </w:r>
                  <w:r>
                    <w:rPr>
                      <w:rFonts w:hint="default"/>
                      <w:color w:val="auto"/>
                      <w:sz w:val="18"/>
                      <w:szCs w:val="18"/>
                      <w:highlight w:val="none"/>
                    </w:rPr>
                    <w:t>25℃）：1.01；相对</w:t>
                  </w:r>
                  <w:r>
                    <w:rPr>
                      <w:rFonts w:hint="eastAsia"/>
                      <w:color w:val="auto"/>
                      <w:sz w:val="18"/>
                      <w:szCs w:val="18"/>
                      <w:highlight w:val="none"/>
                      <w:lang w:eastAsia="zh-CN"/>
                    </w:rPr>
                    <w:t>蒸气密度</w:t>
                  </w:r>
                  <w:r>
                    <w:rPr>
                      <w:rFonts w:hint="default"/>
                      <w:color w:val="auto"/>
                      <w:sz w:val="18"/>
                      <w:szCs w:val="18"/>
                      <w:highlight w:val="none"/>
                    </w:rPr>
                    <w:t>（g/mL</w:t>
                  </w:r>
                  <w:r>
                    <w:rPr>
                      <w:rFonts w:hint="eastAsia"/>
                      <w:color w:val="auto"/>
                      <w:sz w:val="18"/>
                      <w:szCs w:val="18"/>
                      <w:highlight w:val="none"/>
                      <w:lang w:eastAsia="zh-CN"/>
                    </w:rPr>
                    <w:t>，</w:t>
                  </w:r>
                  <w:r>
                    <w:rPr>
                      <w:rFonts w:hint="default"/>
                      <w:color w:val="auto"/>
                      <w:sz w:val="18"/>
                      <w:szCs w:val="18"/>
                      <w:highlight w:val="none"/>
                    </w:rPr>
                    <w:t>空气=1）：未确定；熔点（ºC）：248；沸点（ºC</w:t>
                  </w:r>
                  <w:r>
                    <w:rPr>
                      <w:rFonts w:hint="eastAsia"/>
                      <w:color w:val="auto"/>
                      <w:sz w:val="18"/>
                      <w:szCs w:val="18"/>
                      <w:highlight w:val="none"/>
                      <w:lang w:eastAsia="zh-CN"/>
                    </w:rPr>
                    <w:t>，</w:t>
                  </w:r>
                  <w:r>
                    <w:rPr>
                      <w:rFonts w:hint="default"/>
                      <w:color w:val="auto"/>
                      <w:sz w:val="18"/>
                      <w:szCs w:val="18"/>
                      <w:highlight w:val="none"/>
                    </w:rPr>
                    <w:t>常压）：＞100</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28922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：2000mg/kg(大鼠经口)，LC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206F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92E357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4EA4E9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酚酞</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7A2F7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20</w:t>
                  </w:r>
                  <w:r>
                    <w:rPr>
                      <w:rFonts w:hint="default"/>
                      <w:color w:val="auto"/>
                      <w:sz w:val="18"/>
                      <w:szCs w:val="18"/>
                      <w:highlight w:val="none"/>
                    </w:rPr>
                    <w:t>H</w:t>
                  </w:r>
                  <w:r>
                    <w:rPr>
                      <w:rFonts w:hint="default"/>
                      <w:color w:val="auto"/>
                      <w:sz w:val="18"/>
                      <w:szCs w:val="18"/>
                      <w:highlight w:val="none"/>
                      <w:vertAlign w:val="subscript"/>
                    </w:rPr>
                    <w:t>14</w:t>
                  </w:r>
                  <w:r>
                    <w:rPr>
                      <w:rFonts w:hint="default"/>
                      <w:color w:val="auto"/>
                      <w:sz w:val="18"/>
                      <w:szCs w:val="18"/>
                      <w:highlight w:val="none"/>
                    </w:rPr>
                    <w:t>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66159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白色或浅黄色三斜细小结晶</w:t>
                  </w:r>
                  <w:r>
                    <w:rPr>
                      <w:rFonts w:hint="eastAsia"/>
                      <w:color w:val="auto"/>
                      <w:sz w:val="18"/>
                      <w:szCs w:val="18"/>
                      <w:highlight w:val="none"/>
                      <w:lang w:eastAsia="zh-CN"/>
                    </w:rPr>
                    <w:t>；</w:t>
                  </w:r>
                  <w:r>
                    <w:rPr>
                      <w:rFonts w:hint="default"/>
                      <w:color w:val="auto"/>
                      <w:sz w:val="18"/>
                      <w:szCs w:val="18"/>
                      <w:highlight w:val="none"/>
                    </w:rPr>
                    <w:t>在空气中稳定</w:t>
                  </w:r>
                  <w:r>
                    <w:rPr>
                      <w:rFonts w:hint="eastAsia"/>
                      <w:color w:val="auto"/>
                      <w:sz w:val="18"/>
                      <w:szCs w:val="18"/>
                      <w:highlight w:val="none"/>
                      <w:lang w:eastAsia="zh-CN"/>
                    </w:rPr>
                    <w:t>；</w:t>
                  </w:r>
                  <w:r>
                    <w:rPr>
                      <w:rFonts w:hint="default"/>
                      <w:color w:val="auto"/>
                      <w:sz w:val="18"/>
                      <w:szCs w:val="18"/>
                      <w:highlight w:val="none"/>
                    </w:rPr>
                    <w:t>1g溶于12ml乙醇、约100ml乙醚，溶于稀碱溶液呈深红色，极微溶于氯仿，几乎不溶于水。熔点:258-263℃密度:1.323g/cm³。沸点</w:t>
                  </w:r>
                  <w:r>
                    <w:rPr>
                      <w:rFonts w:hint="eastAsia"/>
                      <w:color w:val="auto"/>
                      <w:sz w:val="18"/>
                      <w:szCs w:val="18"/>
                      <w:highlight w:val="none"/>
                      <w:lang w:eastAsia="zh-CN"/>
                    </w:rPr>
                    <w:t>：</w:t>
                  </w:r>
                  <w:r>
                    <w:rPr>
                      <w:rFonts w:hint="default"/>
                      <w:color w:val="auto"/>
                      <w:sz w:val="18"/>
                      <w:szCs w:val="18"/>
                      <w:highlight w:val="none"/>
                    </w:rPr>
                    <w:t>548.7℃at760mmHg。闪点:299.7℃。蒸气压</w:t>
                  </w:r>
                  <w:r>
                    <w:rPr>
                      <w:rFonts w:hint="eastAsia"/>
                      <w:color w:val="auto"/>
                      <w:sz w:val="18"/>
                      <w:szCs w:val="18"/>
                      <w:highlight w:val="none"/>
                      <w:lang w:eastAsia="zh-CN"/>
                    </w:rPr>
                    <w:t>：</w:t>
                  </w:r>
                  <w:r>
                    <w:rPr>
                      <w:rFonts w:hint="default"/>
                      <w:color w:val="auto"/>
                      <w:sz w:val="18"/>
                      <w:szCs w:val="18"/>
                      <w:highlight w:val="none"/>
                    </w:rPr>
                    <w:t>7.12E-13mmHgat25℃。溶解性:&lt;0.1g/100mL。酚酞在酸性和中性溶液中为无色，在碱性溶液中为紫红色，极强酸性溶液中为橙色，极强碱性溶液中无色</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2DB48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：无资料；吸入大量后：发烧，心血管疾病，中枢神经系统疾病</w:t>
                  </w:r>
                </w:p>
              </w:tc>
            </w:tr>
            <w:tr w14:paraId="32F7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7B2FB9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57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BDA63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甲亚胺</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DBFC1B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eastAsia"/>
                      <w:color w:val="auto"/>
                      <w:sz w:val="18"/>
                      <w:szCs w:val="18"/>
                      <w:highlight w:val="none"/>
                    </w:rPr>
                    <w:t>C</w:t>
                  </w:r>
                  <w:r>
                    <w:rPr>
                      <w:rFonts w:hint="eastAsia"/>
                      <w:color w:val="auto"/>
                      <w:sz w:val="18"/>
                      <w:szCs w:val="18"/>
                      <w:highlight w:val="none"/>
                      <w:vertAlign w:val="subscript"/>
                    </w:rPr>
                    <w:t>17</w:t>
                  </w:r>
                  <w:r>
                    <w:rPr>
                      <w:rFonts w:hint="eastAsia"/>
                      <w:color w:val="auto"/>
                      <w:sz w:val="18"/>
                      <w:szCs w:val="18"/>
                      <w:highlight w:val="none"/>
                    </w:rPr>
                    <w:t>H</w:t>
                  </w:r>
                  <w:r>
                    <w:rPr>
                      <w:rFonts w:hint="eastAsia"/>
                      <w:color w:val="auto"/>
                      <w:sz w:val="18"/>
                      <w:szCs w:val="18"/>
                      <w:highlight w:val="none"/>
                      <w:vertAlign w:val="subscript"/>
                    </w:rPr>
                    <w:t>13</w:t>
                  </w:r>
                  <w:r>
                    <w:rPr>
                      <w:rFonts w:hint="eastAsia"/>
                      <w:color w:val="auto"/>
                      <w:sz w:val="18"/>
                      <w:szCs w:val="18"/>
                      <w:highlight w:val="none"/>
                    </w:rPr>
                    <w:t>NO</w:t>
                  </w:r>
                  <w:r>
                    <w:rPr>
                      <w:rFonts w:hint="eastAsia"/>
                      <w:color w:val="auto"/>
                      <w:sz w:val="18"/>
                      <w:szCs w:val="18"/>
                      <w:highlight w:val="none"/>
                      <w:vertAlign w:val="subscript"/>
                    </w:rPr>
                    <w:t>8</w:t>
                  </w:r>
                  <w:r>
                    <w:rPr>
                      <w:rFonts w:hint="eastAsia"/>
                      <w:color w:val="auto"/>
                      <w:sz w:val="18"/>
                      <w:szCs w:val="18"/>
                      <w:highlight w:val="none"/>
                    </w:rPr>
                    <w:t>S</w:t>
                  </w:r>
                  <w:r>
                    <w:rPr>
                      <w:rFonts w:hint="eastAsia"/>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89148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val="en-US" w:eastAsia="zh-CN"/>
                    </w:rPr>
                  </w:pPr>
                  <w:r>
                    <w:rPr>
                      <w:rFonts w:hint="eastAsia"/>
                      <w:color w:val="auto"/>
                      <w:sz w:val="18"/>
                      <w:szCs w:val="18"/>
                      <w:highlight w:val="none"/>
                    </w:rPr>
                    <w:t>常温常压下，其性状为橙黄到橙红色粉末。熔点</w:t>
                  </w:r>
                  <w:r>
                    <w:rPr>
                      <w:rFonts w:hint="eastAsia"/>
                      <w:color w:val="auto"/>
                      <w:sz w:val="18"/>
                      <w:szCs w:val="18"/>
                      <w:highlight w:val="none"/>
                      <w:lang w:eastAsia="zh-CN"/>
                    </w:rPr>
                    <w:t>：</w:t>
                  </w:r>
                  <w:r>
                    <w:rPr>
                      <w:rFonts w:hint="eastAsia"/>
                      <w:color w:val="auto"/>
                      <w:sz w:val="18"/>
                      <w:szCs w:val="18"/>
                      <w:highlight w:val="none"/>
                    </w:rPr>
                    <w:t>&gt;300</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w:t>
                  </w:r>
                  <w:r>
                    <w:rPr>
                      <w:rFonts w:hint="eastAsia"/>
                      <w:color w:val="auto"/>
                      <w:sz w:val="18"/>
                      <w:szCs w:val="18"/>
                      <w:highlight w:val="none"/>
                    </w:rPr>
                    <w:t>密度:1.66±.1g/cm</w:t>
                  </w:r>
                  <w:r>
                    <w:rPr>
                      <w:rFonts w:hint="eastAsia"/>
                      <w:color w:val="auto"/>
                      <w:sz w:val="18"/>
                      <w:szCs w:val="18"/>
                      <w:highlight w:val="none"/>
                      <w:vertAlign w:val="superscript"/>
                    </w:rPr>
                    <w:t>3</w:t>
                  </w:r>
                  <w:r>
                    <w:rPr>
                      <w:rFonts w:hint="eastAsia"/>
                      <w:color w:val="auto"/>
                      <w:sz w:val="18"/>
                      <w:szCs w:val="18"/>
                      <w:highlight w:val="none"/>
                    </w:rPr>
                    <w:t>(Predicted)，储存条件</w:t>
                  </w:r>
                  <w:r>
                    <w:rPr>
                      <w:rFonts w:hint="eastAsia"/>
                      <w:color w:val="auto"/>
                      <w:sz w:val="18"/>
                      <w:szCs w:val="18"/>
                      <w:highlight w:val="none"/>
                      <w:lang w:eastAsia="zh-CN"/>
                    </w:rPr>
                    <w:t>：</w:t>
                  </w:r>
                  <w:r>
                    <w:rPr>
                      <w:rFonts w:hint="eastAsia"/>
                      <w:color w:val="auto"/>
                      <w:sz w:val="18"/>
                      <w:szCs w:val="18"/>
                      <w:highlight w:val="none"/>
                      <w:lang w:val="en-US" w:eastAsia="zh-CN"/>
                    </w:rPr>
                    <w:t>干燥，</w:t>
                  </w:r>
                  <w:r>
                    <w:rPr>
                      <w:rFonts w:hint="eastAsia"/>
                      <w:color w:val="auto"/>
                      <w:sz w:val="18"/>
                      <w:szCs w:val="18"/>
                      <w:highlight w:val="none"/>
                    </w:rPr>
                    <w:t>2-8</w:t>
                  </w:r>
                  <w:r>
                    <w:rPr>
                      <w:rFonts w:hint="default" w:ascii="Times New Roman" w:hAnsi="Times New Roman" w:cs="Times New Roman"/>
                      <w:color w:val="auto"/>
                      <w:sz w:val="18"/>
                      <w:szCs w:val="18"/>
                      <w:highlight w:val="none"/>
                      <w:lang w:val="en-US"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790858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14:paraId="786A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B7168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84594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邻菲</w:t>
                  </w:r>
                  <w:r>
                    <w:rPr>
                      <w:rFonts w:hint="eastAsia"/>
                      <w:color w:val="auto"/>
                      <w:sz w:val="18"/>
                      <w:szCs w:val="18"/>
                      <w:highlight w:val="none"/>
                      <w:lang w:val="en-US" w:eastAsia="zh-CN"/>
                    </w:rPr>
                    <w:t>啰</w:t>
                  </w:r>
                  <w:r>
                    <w:rPr>
                      <w:rFonts w:hint="default"/>
                      <w:color w:val="auto"/>
                      <w:sz w:val="18"/>
                      <w:szCs w:val="18"/>
                      <w:highlight w:val="none"/>
                    </w:rPr>
                    <w:t>啉</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40F3B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12</w:t>
                  </w:r>
                  <w:r>
                    <w:rPr>
                      <w:rFonts w:hint="default"/>
                      <w:color w:val="auto"/>
                      <w:sz w:val="18"/>
                      <w:szCs w:val="18"/>
                      <w:highlight w:val="none"/>
                    </w:rPr>
                    <w:t>H</w:t>
                  </w:r>
                  <w:r>
                    <w:rPr>
                      <w:rFonts w:hint="default"/>
                      <w:color w:val="auto"/>
                      <w:sz w:val="18"/>
                      <w:szCs w:val="18"/>
                      <w:highlight w:val="none"/>
                      <w:vertAlign w:val="subscript"/>
                    </w:rPr>
                    <w:t>8</w:t>
                  </w:r>
                  <w:r>
                    <w:rPr>
                      <w:rFonts w:hint="default"/>
                      <w:color w:val="auto"/>
                      <w:sz w:val="18"/>
                      <w:szCs w:val="18"/>
                      <w:highlight w:val="none"/>
                    </w:rPr>
                    <w:t>N</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BE27B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水合物为白色结晶性粉末。熔点93-94℃，无水物熔点为117℃，溶于300份水，70份苯，溶于醇和丙酮。能与多种过渡金属形成配合物，由于形成的配合物为螯合物，所以较为稳定。</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F2083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：无资料；危险性：吸入有害</w:t>
                  </w:r>
                </w:p>
              </w:tc>
            </w:tr>
            <w:tr w14:paraId="030A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4A0EB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59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C63F3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铬黑T</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354DB0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31</w:t>
                  </w:r>
                  <w:r>
                    <w:rPr>
                      <w:rFonts w:hint="default"/>
                      <w:color w:val="auto"/>
                      <w:sz w:val="18"/>
                      <w:szCs w:val="18"/>
                      <w:highlight w:val="none"/>
                    </w:rPr>
                    <w:t>H</w:t>
                  </w:r>
                  <w:r>
                    <w:rPr>
                      <w:rFonts w:hint="default"/>
                      <w:color w:val="auto"/>
                      <w:sz w:val="18"/>
                      <w:szCs w:val="18"/>
                      <w:highlight w:val="none"/>
                      <w:vertAlign w:val="subscript"/>
                    </w:rPr>
                    <w:t>18</w:t>
                  </w:r>
                  <w:r>
                    <w:rPr>
                      <w:rFonts w:hint="default"/>
                      <w:color w:val="auto"/>
                      <w:sz w:val="18"/>
                      <w:szCs w:val="18"/>
                      <w:highlight w:val="none"/>
                    </w:rPr>
                    <w:t>N</w:t>
                  </w:r>
                  <w:r>
                    <w:rPr>
                      <w:rFonts w:hint="default"/>
                      <w:color w:val="auto"/>
                      <w:sz w:val="18"/>
                      <w:szCs w:val="18"/>
                      <w:highlight w:val="none"/>
                      <w:vertAlign w:val="subscript"/>
                    </w:rPr>
                    <w:t>3</w:t>
                  </w:r>
                  <w:r>
                    <w:rPr>
                      <w:rFonts w:hint="default"/>
                      <w:color w:val="auto"/>
                      <w:sz w:val="18"/>
                      <w:szCs w:val="18"/>
                      <w:highlight w:val="none"/>
                    </w:rPr>
                    <w:t>NaO</w:t>
                  </w:r>
                  <w:r>
                    <w:rPr>
                      <w:rFonts w:hint="default"/>
                      <w:color w:val="auto"/>
                      <w:sz w:val="18"/>
                      <w:szCs w:val="18"/>
                      <w:highlight w:val="none"/>
                      <w:vertAlign w:val="subscript"/>
                    </w:rPr>
                    <w:t>7</w:t>
                  </w:r>
                  <w:r>
                    <w:rPr>
                      <w:rFonts w:hint="default"/>
                      <w:color w:val="auto"/>
                      <w:sz w:val="18"/>
                      <w:szCs w:val="18"/>
                      <w:highlight w:val="none"/>
                    </w:rPr>
                    <w:t>S</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074D0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棕黑色粉末，溶于水。主要用作检验金属离子和水质测定。是实验室常备的分析试剂</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559A50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：17590mg/kg(大鼠经口)；LC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7332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1EC9AB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66568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酒石酸钾钠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63CAAC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NaKC</w:t>
                  </w:r>
                  <w:r>
                    <w:rPr>
                      <w:rFonts w:hint="default"/>
                      <w:color w:val="auto"/>
                      <w:sz w:val="18"/>
                      <w:szCs w:val="18"/>
                      <w:highlight w:val="none"/>
                      <w:vertAlign w:val="subscript"/>
                    </w:rPr>
                    <w:t>4</w:t>
                  </w:r>
                  <w:r>
                    <w:rPr>
                      <w:rFonts w:hint="default"/>
                      <w:color w:val="auto"/>
                      <w:sz w:val="18"/>
                      <w:szCs w:val="18"/>
                      <w:highlight w:val="none"/>
                    </w:rPr>
                    <w:t>H</w:t>
                  </w:r>
                  <w:r>
                    <w:rPr>
                      <w:rFonts w:hint="default"/>
                      <w:color w:val="auto"/>
                      <w:sz w:val="18"/>
                      <w:szCs w:val="18"/>
                      <w:highlight w:val="none"/>
                      <w:vertAlign w:val="subscript"/>
                    </w:rPr>
                    <w:t>4</w:t>
                  </w:r>
                  <w:r>
                    <w:rPr>
                      <w:rFonts w:hint="default"/>
                      <w:color w:val="auto"/>
                      <w:sz w:val="18"/>
                      <w:szCs w:val="18"/>
                      <w:highlight w:val="none"/>
                    </w:rPr>
                    <w:t>O</w:t>
                  </w:r>
                  <w:r>
                    <w:rPr>
                      <w:rFonts w:hint="default"/>
                      <w:color w:val="auto"/>
                      <w:sz w:val="18"/>
                      <w:szCs w:val="18"/>
                      <w:highlight w:val="none"/>
                      <w:vertAlign w:val="subscript"/>
                    </w:rPr>
                    <w:t>6</w:t>
                  </w:r>
                  <w:r>
                    <w:rPr>
                      <w:rFonts w:hint="default"/>
                      <w:color w:val="auto"/>
                      <w:sz w:val="18"/>
                      <w:szCs w:val="18"/>
                      <w:highlight w:val="none"/>
                    </w:rPr>
                    <w:t>·4H</w:t>
                  </w:r>
                  <w:r>
                    <w:rPr>
                      <w:rFonts w:hint="default"/>
                      <w:color w:val="auto"/>
                      <w:sz w:val="18"/>
                      <w:szCs w:val="18"/>
                      <w:highlight w:val="none"/>
                      <w:vertAlign w:val="subscript"/>
                    </w:rPr>
                    <w:t>2</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D8451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也称酒石酸钠钾、罗氏盐、罗谢尔盐，是酒石酸钠与酒石酸钾形成的复盐。它是无色至蓝白色正交晶系晶体，可溶于水，微溶于醇，味咸而凉，水溶液呈微碱性。60℃时开始失去结晶水，215℃时失去其全部结晶水</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5EA26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w:t>
                  </w:r>
                </w:p>
                <w:p w14:paraId="75BDA16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LC</w:t>
                  </w:r>
                  <w:r>
                    <w:rPr>
                      <w:rFonts w:hint="default"/>
                      <w:color w:val="auto"/>
                      <w:sz w:val="18"/>
                      <w:szCs w:val="18"/>
                      <w:highlight w:val="none"/>
                      <w:vertAlign w:val="subscript"/>
                    </w:rPr>
                    <w:t>50</w:t>
                  </w:r>
                  <w:r>
                    <w:rPr>
                      <w:rFonts w:hint="default"/>
                      <w:color w:val="auto"/>
                      <w:sz w:val="18"/>
                      <w:szCs w:val="18"/>
                      <w:highlight w:val="none"/>
                    </w:rPr>
                    <w:t>：无资料；本品无毒，对胃肠道有强烈刺激作用</w:t>
                  </w:r>
                </w:p>
              </w:tc>
            </w:tr>
            <w:tr w14:paraId="6B09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BF411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3C0A1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异烟酸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653393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6</w:t>
                  </w:r>
                  <w:r>
                    <w:rPr>
                      <w:rFonts w:hint="default"/>
                      <w:color w:val="auto"/>
                      <w:sz w:val="18"/>
                      <w:szCs w:val="18"/>
                      <w:highlight w:val="none"/>
                    </w:rPr>
                    <w:t>H</w:t>
                  </w:r>
                  <w:r>
                    <w:rPr>
                      <w:rFonts w:hint="default"/>
                      <w:color w:val="auto"/>
                      <w:sz w:val="18"/>
                      <w:szCs w:val="18"/>
                      <w:highlight w:val="none"/>
                      <w:vertAlign w:val="subscript"/>
                    </w:rPr>
                    <w:t>5</w:t>
                  </w:r>
                  <w:r>
                    <w:rPr>
                      <w:rFonts w:hint="default"/>
                      <w:color w:val="auto"/>
                      <w:sz w:val="18"/>
                      <w:szCs w:val="18"/>
                      <w:highlight w:val="none"/>
                    </w:rPr>
                    <w:t>NO</w:t>
                  </w:r>
                  <w:r>
                    <w:rPr>
                      <w:rFonts w:hint="default"/>
                      <w:color w:val="auto"/>
                      <w:sz w:val="18"/>
                      <w:szCs w:val="18"/>
                      <w:highlight w:val="none"/>
                      <w:vertAlign w:val="subscript"/>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E6254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both"/>
                    <w:textAlignment w:val="auto"/>
                    <w:rPr>
                      <w:rFonts w:hint="default"/>
                      <w:color w:val="auto"/>
                      <w:sz w:val="18"/>
                      <w:szCs w:val="18"/>
                      <w:highlight w:val="none"/>
                    </w:rPr>
                  </w:pPr>
                  <w:r>
                    <w:rPr>
                      <w:rFonts w:hint="default"/>
                      <w:color w:val="auto"/>
                      <w:sz w:val="18"/>
                      <w:szCs w:val="18"/>
                      <w:highlight w:val="none"/>
                    </w:rPr>
                    <w:t>白色至类白色粉末，熔点(℃)：310~315；沸点(℃)：396；闪点(℃)：193.3；溶解性：几乎不溶于苯、乙醚和乙醇</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888E0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w:t>
                  </w:r>
                </w:p>
                <w:p w14:paraId="737906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LC</w:t>
                  </w:r>
                  <w:r>
                    <w:rPr>
                      <w:rFonts w:hint="default"/>
                      <w:color w:val="auto"/>
                      <w:sz w:val="18"/>
                      <w:szCs w:val="18"/>
                      <w:highlight w:val="none"/>
                      <w:vertAlign w:val="subscript"/>
                    </w:rPr>
                    <w:t>50</w:t>
                  </w:r>
                  <w:r>
                    <w:rPr>
                      <w:rFonts w:hint="default"/>
                      <w:color w:val="auto"/>
                      <w:sz w:val="18"/>
                      <w:szCs w:val="18"/>
                      <w:highlight w:val="none"/>
                    </w:rPr>
                    <w:t>：无资料</w:t>
                  </w:r>
                </w:p>
              </w:tc>
            </w:tr>
            <w:tr w14:paraId="75FF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5EDB0A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C65D5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甲基橙</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311FE7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w:t>
                  </w:r>
                  <w:r>
                    <w:rPr>
                      <w:rFonts w:hint="default"/>
                      <w:color w:val="auto"/>
                      <w:sz w:val="18"/>
                      <w:szCs w:val="18"/>
                      <w:highlight w:val="none"/>
                      <w:vertAlign w:val="subscript"/>
                    </w:rPr>
                    <w:t>14</w:t>
                  </w:r>
                  <w:r>
                    <w:rPr>
                      <w:rFonts w:hint="default"/>
                      <w:color w:val="auto"/>
                      <w:sz w:val="18"/>
                      <w:szCs w:val="18"/>
                      <w:highlight w:val="none"/>
                    </w:rPr>
                    <w:t>H</w:t>
                  </w:r>
                  <w:r>
                    <w:rPr>
                      <w:rFonts w:hint="default"/>
                      <w:color w:val="auto"/>
                      <w:sz w:val="18"/>
                      <w:szCs w:val="18"/>
                      <w:highlight w:val="none"/>
                      <w:vertAlign w:val="subscript"/>
                    </w:rPr>
                    <w:t>14</w:t>
                  </w:r>
                  <w:r>
                    <w:rPr>
                      <w:rFonts w:hint="default"/>
                      <w:color w:val="auto"/>
                      <w:sz w:val="18"/>
                      <w:szCs w:val="18"/>
                      <w:highlight w:val="none"/>
                    </w:rPr>
                    <w:t>N</w:t>
                  </w:r>
                  <w:r>
                    <w:rPr>
                      <w:rFonts w:hint="default"/>
                      <w:color w:val="auto"/>
                      <w:sz w:val="18"/>
                      <w:szCs w:val="18"/>
                      <w:highlight w:val="none"/>
                      <w:vertAlign w:val="subscript"/>
                    </w:rPr>
                    <w:t>3</w:t>
                  </w:r>
                  <w:r>
                    <w:rPr>
                      <w:rFonts w:hint="default"/>
                      <w:color w:val="auto"/>
                      <w:sz w:val="18"/>
                      <w:szCs w:val="18"/>
                      <w:highlight w:val="none"/>
                    </w:rPr>
                    <w:t>SO</w:t>
                  </w:r>
                  <w:r>
                    <w:rPr>
                      <w:rFonts w:hint="default"/>
                      <w:color w:val="auto"/>
                      <w:sz w:val="18"/>
                      <w:szCs w:val="18"/>
                      <w:highlight w:val="none"/>
                      <w:vertAlign w:val="subscript"/>
                    </w:rPr>
                    <w:t>3</w:t>
                  </w:r>
                  <w:r>
                    <w:rPr>
                      <w:rFonts w:hint="default"/>
                      <w:color w:val="auto"/>
                      <w:sz w:val="18"/>
                      <w:szCs w:val="18"/>
                      <w:highlight w:val="none"/>
                    </w:rPr>
                    <w:t>Na</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27670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1份溶于500份水中，稍溶于水而呈黄色，易溶于热水，溶液呈金黄色，几乎不溶于乙醇。主要用做酸碱滴定指示剂，也可用于印染纺织品。甲基橙在分析化学中是一种常用的酸碱滴定指示剂，不适用于作有机酸类化合物滴定的指示剂。其浓度为0.1%的水溶液pH为3.1（红）～4.4（黄），适用于强酸与强碱、弱碱间的滴定。它还用于分光光度测定氯、溴和溴离子，并用于生物染色等</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D67D7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eastAsia"/>
                      <w:color w:val="auto"/>
                      <w:sz w:val="18"/>
                      <w:szCs w:val="18"/>
                      <w:highlight w:val="none"/>
                      <w:lang w:eastAsia="zh-CN"/>
                    </w:rPr>
                    <w:t>：</w:t>
                  </w:r>
                  <w:r>
                    <w:rPr>
                      <w:rFonts w:hint="default"/>
                      <w:color w:val="auto"/>
                      <w:sz w:val="18"/>
                      <w:szCs w:val="18"/>
                      <w:highlight w:val="none"/>
                    </w:rPr>
                    <w:t>60mg/kg(大鼠经口)；</w:t>
                  </w:r>
                </w:p>
                <w:p w14:paraId="53A9DB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LC</w:t>
                  </w:r>
                  <w:r>
                    <w:rPr>
                      <w:rFonts w:hint="default"/>
                      <w:color w:val="auto"/>
                      <w:sz w:val="18"/>
                      <w:szCs w:val="18"/>
                      <w:highlight w:val="none"/>
                      <w:vertAlign w:val="subscript"/>
                    </w:rPr>
                    <w:t>50</w:t>
                  </w:r>
                  <w:r>
                    <w:rPr>
                      <w:rFonts w:hint="default"/>
                      <w:color w:val="auto"/>
                      <w:sz w:val="18"/>
                      <w:szCs w:val="18"/>
                      <w:highlight w:val="none"/>
                    </w:rPr>
                    <w:t>：无资料</w:t>
                  </w:r>
                </w:p>
              </w:tc>
            </w:tr>
            <w:tr w14:paraId="5DAB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D1AF5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0B95F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溴酸钾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79272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KBrO</w:t>
                  </w:r>
                  <w:r>
                    <w:rPr>
                      <w:rFonts w:hint="default"/>
                      <w:color w:val="auto"/>
                      <w:sz w:val="18"/>
                      <w:szCs w:val="18"/>
                      <w:highlight w:val="none"/>
                      <w:vertAlign w:val="subscript"/>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FFB37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外观与性状：无色三角晶体或白色晶状粉末；熔点(℃)：370(分解)；沸点(℃)：无资料；相对密度(水=1)：3.27(17.5℃)；溶解性：溶于水，不溶于丙酮，微溶于乙醇；主要用途：用作分析试剂、氧化剂、食品添加剂、羊毛漂白处理剂</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D39AC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eastAsia"/>
                      <w:color w:val="auto"/>
                      <w:sz w:val="18"/>
                      <w:szCs w:val="18"/>
                      <w:highlight w:val="none"/>
                      <w:lang w:eastAsia="zh-CN"/>
                    </w:rPr>
                    <w:t>：</w:t>
                  </w:r>
                  <w:r>
                    <w:rPr>
                      <w:rFonts w:hint="default"/>
                      <w:color w:val="auto"/>
                      <w:sz w:val="18"/>
                      <w:szCs w:val="18"/>
                      <w:highlight w:val="none"/>
                    </w:rPr>
                    <w:t>157mg/kg(大鼠经口)；LC</w:t>
                  </w:r>
                  <w:r>
                    <w:rPr>
                      <w:rFonts w:hint="default"/>
                      <w:color w:val="auto"/>
                      <w:sz w:val="18"/>
                      <w:szCs w:val="18"/>
                      <w:highlight w:val="none"/>
                      <w:vertAlign w:val="subscript"/>
                    </w:rPr>
                    <w:t>50</w:t>
                  </w:r>
                  <w:r>
                    <w:rPr>
                      <w:rFonts w:hint="default"/>
                      <w:color w:val="auto"/>
                      <w:sz w:val="18"/>
                      <w:szCs w:val="18"/>
                      <w:highlight w:val="none"/>
                    </w:rPr>
                    <w:t>：无资料；本品对眼睛、</w:t>
                  </w:r>
                  <w:r>
                    <w:rPr>
                      <w:rFonts w:hint="eastAsia"/>
                      <w:color w:val="auto"/>
                      <w:sz w:val="18"/>
                      <w:szCs w:val="18"/>
                      <w:highlight w:val="none"/>
                      <w:lang w:eastAsia="zh-CN"/>
                    </w:rPr>
                    <w:t>皮肤和黏膜</w:t>
                  </w:r>
                  <w:r>
                    <w:rPr>
                      <w:rFonts w:hint="default"/>
                      <w:color w:val="auto"/>
                      <w:sz w:val="18"/>
                      <w:szCs w:val="18"/>
                      <w:highlight w:val="none"/>
                    </w:rPr>
                    <w:t>有刺激性</w:t>
                  </w:r>
                </w:p>
              </w:tc>
            </w:tr>
            <w:tr w14:paraId="6D5C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2A556C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3621D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溴化钾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44414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KBr</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986D0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外观与性状：白色结晶或粉末，无臭，味咸微苦，稍有吸湿性；熔点(℃)：734；沸点(℃)：1380；相对密度(水=1)：2.75(25℃)；相对蒸气密度(空气=1)：无资料；</w:t>
                  </w:r>
                  <w:r>
                    <w:rPr>
                      <w:rFonts w:hint="eastAsia"/>
                      <w:color w:val="auto"/>
                      <w:sz w:val="18"/>
                      <w:szCs w:val="18"/>
                      <w:highlight w:val="none"/>
                      <w:lang w:eastAsia="zh-CN"/>
                    </w:rPr>
                    <w:t>饱和蒸汽</w:t>
                  </w:r>
                  <w:r>
                    <w:rPr>
                      <w:rFonts w:hint="default"/>
                      <w:color w:val="auto"/>
                      <w:sz w:val="18"/>
                      <w:szCs w:val="18"/>
                      <w:highlight w:val="none"/>
                    </w:rPr>
                    <w:t>压(kPa)：0.13(795℃))；溶解性：溶于水，溶于甘油，微溶于乙醇、乙醚；主要用途：用于制溴化银纸</w:t>
                  </w:r>
                  <w:r>
                    <w:rPr>
                      <w:rFonts w:hint="eastAsia"/>
                      <w:color w:val="auto"/>
                      <w:sz w:val="18"/>
                      <w:szCs w:val="18"/>
                      <w:highlight w:val="none"/>
                      <w:lang w:eastAsia="zh-CN"/>
                    </w:rPr>
                    <w:t>，</w:t>
                  </w:r>
                  <w:r>
                    <w:rPr>
                      <w:rFonts w:hint="default"/>
                      <w:color w:val="auto"/>
                      <w:sz w:val="18"/>
                      <w:szCs w:val="18"/>
                      <w:highlight w:val="none"/>
                    </w:rPr>
                    <w:t>也用作分析试剂，医药上用作精神镇静剂</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3C9AA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eastAsia"/>
                      <w:color w:val="auto"/>
                      <w:sz w:val="18"/>
                      <w:szCs w:val="18"/>
                      <w:highlight w:val="none"/>
                      <w:lang w:eastAsia="zh-CN"/>
                    </w:rPr>
                    <w:t>：</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：无资料；吸入对呼吸道有刺激性，对眼和皮肤有刺激性</w:t>
                  </w:r>
                </w:p>
              </w:tc>
            </w:tr>
            <w:tr w14:paraId="4F34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0CD18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65</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34619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高锰酸钾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E2450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KMnO</w:t>
                  </w:r>
                  <w:r>
                    <w:rPr>
                      <w:rFonts w:hint="default"/>
                      <w:color w:val="auto"/>
                      <w:sz w:val="18"/>
                      <w:szCs w:val="18"/>
                      <w:highlight w:val="none"/>
                      <w:vertAlign w:val="subscript"/>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7BF51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分子量:158.03；熔点:240℃；密度:相对密度(水=1)2.7；</w:t>
                  </w:r>
                  <w:r>
                    <w:rPr>
                      <w:rFonts w:hint="eastAsia"/>
                      <w:color w:val="auto"/>
                      <w:sz w:val="18"/>
                      <w:szCs w:val="18"/>
                      <w:highlight w:val="none"/>
                      <w:lang w:eastAsia="zh-CN"/>
                    </w:rPr>
                    <w:t>蒸气压</w:t>
                  </w:r>
                  <w:r>
                    <w:rPr>
                      <w:rFonts w:hint="default"/>
                      <w:color w:val="auto"/>
                      <w:sz w:val="18"/>
                      <w:szCs w:val="18"/>
                      <w:highlight w:val="none"/>
                    </w:rPr>
                    <w:t>:溶解性:溶于水、碱液，微溶于甲醇、丙酮、硫酸；外观与性状:深紫色细长斜方柱状结晶，有金属光泽。</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6E453D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:1090mg/kg(大鼠经口)；LC</w:t>
                  </w:r>
                  <w:r>
                    <w:rPr>
                      <w:rFonts w:hint="default"/>
                      <w:color w:val="auto"/>
                      <w:sz w:val="18"/>
                      <w:szCs w:val="18"/>
                      <w:highlight w:val="none"/>
                      <w:vertAlign w:val="subscript"/>
                    </w:rPr>
                    <w:t>50</w:t>
                  </w:r>
                  <w:r>
                    <w:rPr>
                      <w:rFonts w:hint="default"/>
                      <w:color w:val="auto"/>
                      <w:sz w:val="18"/>
                      <w:szCs w:val="18"/>
                      <w:highlight w:val="none"/>
                    </w:rPr>
                    <w:t>：无资料</w:t>
                  </w:r>
                </w:p>
              </w:tc>
            </w:tr>
            <w:tr w14:paraId="11E8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0C364A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66</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CBA9C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eastAsia="zh-CN"/>
                    </w:rPr>
                  </w:pPr>
                  <w:r>
                    <w:rPr>
                      <w:rFonts w:hint="default"/>
                      <w:color w:val="auto"/>
                      <w:sz w:val="18"/>
                      <w:szCs w:val="18"/>
                      <w:highlight w:val="none"/>
                    </w:rPr>
                    <w:t>铜</w:t>
                  </w:r>
                  <w:r>
                    <w:rPr>
                      <w:rFonts w:hint="eastAsia"/>
                      <w:color w:val="auto"/>
                      <w:sz w:val="18"/>
                      <w:szCs w:val="18"/>
                      <w:highlight w:val="none"/>
                      <w:lang w:val="en-US" w:eastAsia="zh-CN"/>
                    </w:rPr>
                    <w:t>粉</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A0120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Cu</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2410D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原子量：63.546，是一种过渡金属。电阻率：1.75×10-8，一般状况下的密度：8.9×10³kg/m³，熔点：1357.77K，沸点2868K，比热：370，热导率：400W/m.K</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E130B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无资料</w:t>
                  </w:r>
                </w:p>
              </w:tc>
            </w:tr>
            <w:tr w14:paraId="162E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1DB33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67</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149C15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碘化钾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4B915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KI</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D7EA3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白色立方结晶或粉末。在潮湿空气中微有吸湿性，久置析出游离碘而变成黄色，并能形成微量碘酸盐。密度3.123g/cm</w:t>
                  </w:r>
                  <w:r>
                    <w:rPr>
                      <w:rFonts w:hint="default"/>
                      <w:color w:val="auto"/>
                      <w:sz w:val="18"/>
                      <w:szCs w:val="18"/>
                      <w:highlight w:val="none"/>
                      <w:vertAlign w:val="superscript"/>
                    </w:rPr>
                    <w:t>3</w:t>
                  </w:r>
                  <w:r>
                    <w:rPr>
                      <w:rFonts w:hint="default"/>
                      <w:color w:val="auto"/>
                      <w:sz w:val="18"/>
                      <w:szCs w:val="18"/>
                      <w:highlight w:val="none"/>
                    </w:rPr>
                    <w:t>，熔点681°C(954K)，沸点1330°C(1603K)</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3214C1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：2779</w:t>
                  </w:r>
                  <w:r>
                    <w:rPr>
                      <w:rFonts w:hint="default"/>
                      <w:color w:val="auto"/>
                      <w:sz w:val="18"/>
                      <w:szCs w:val="18"/>
                      <w:highlight w:val="none"/>
                      <w:shd w:val="clear" w:color="auto" w:fill="FFFFFF"/>
                    </w:rPr>
                    <w:t>mg/kg（大鼠经口）</w:t>
                  </w:r>
                </w:p>
              </w:tc>
            </w:tr>
            <w:tr w14:paraId="7579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D8F6C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68</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69984AA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酒石酸钾钠</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210F1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NaKC</w:t>
                  </w:r>
                  <w:r>
                    <w:rPr>
                      <w:rFonts w:hint="default"/>
                      <w:color w:val="auto"/>
                      <w:sz w:val="18"/>
                      <w:szCs w:val="18"/>
                      <w:highlight w:val="none"/>
                      <w:vertAlign w:val="subscript"/>
                    </w:rPr>
                    <w:t>4</w:t>
                  </w:r>
                  <w:r>
                    <w:rPr>
                      <w:rFonts w:hint="default"/>
                      <w:color w:val="auto"/>
                      <w:sz w:val="18"/>
                      <w:szCs w:val="18"/>
                      <w:highlight w:val="none"/>
                    </w:rPr>
                    <w:t>H</w:t>
                  </w:r>
                  <w:r>
                    <w:rPr>
                      <w:rFonts w:hint="default"/>
                      <w:color w:val="auto"/>
                      <w:sz w:val="18"/>
                      <w:szCs w:val="18"/>
                      <w:highlight w:val="none"/>
                      <w:vertAlign w:val="subscript"/>
                    </w:rPr>
                    <w:t>4</w:t>
                  </w:r>
                  <w:r>
                    <w:rPr>
                      <w:rFonts w:hint="default"/>
                      <w:color w:val="auto"/>
                      <w:sz w:val="18"/>
                      <w:szCs w:val="18"/>
                      <w:highlight w:val="none"/>
                    </w:rPr>
                    <w:t>O</w:t>
                  </w:r>
                  <w:r>
                    <w:rPr>
                      <w:rFonts w:hint="default"/>
                      <w:color w:val="auto"/>
                      <w:sz w:val="18"/>
                      <w:szCs w:val="18"/>
                      <w:highlight w:val="none"/>
                      <w:vertAlign w:val="subscript"/>
                    </w:rPr>
                    <w:t>6</w:t>
                  </w:r>
                  <w:r>
                    <w:rPr>
                      <w:rFonts w:hint="default"/>
                      <w:color w:val="auto"/>
                      <w:sz w:val="18"/>
                      <w:szCs w:val="18"/>
                      <w:highlight w:val="none"/>
                    </w:rPr>
                    <w:t>·4H</w:t>
                  </w:r>
                  <w:r>
                    <w:rPr>
                      <w:rFonts w:hint="default"/>
                      <w:color w:val="auto"/>
                      <w:sz w:val="18"/>
                      <w:szCs w:val="18"/>
                      <w:highlight w:val="none"/>
                      <w:vertAlign w:val="subscript"/>
                    </w:rPr>
                    <w:t>2</w:t>
                  </w:r>
                  <w:r>
                    <w:rPr>
                      <w:rFonts w:hint="default"/>
                      <w:color w:val="auto"/>
                      <w:sz w:val="18"/>
                      <w:szCs w:val="18"/>
                      <w:highlight w:val="none"/>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8B391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无色透明结晶体。密度1.79g/cm</w:t>
                  </w:r>
                  <w:r>
                    <w:rPr>
                      <w:rFonts w:hint="default"/>
                      <w:color w:val="auto"/>
                      <w:sz w:val="18"/>
                      <w:szCs w:val="18"/>
                      <w:highlight w:val="none"/>
                      <w:vertAlign w:val="superscript"/>
                    </w:rPr>
                    <w:t>3</w:t>
                  </w:r>
                  <w:r>
                    <w:rPr>
                      <w:rFonts w:hint="default"/>
                      <w:color w:val="auto"/>
                      <w:sz w:val="18"/>
                      <w:szCs w:val="18"/>
                      <w:highlight w:val="none"/>
                    </w:rPr>
                    <w:t>。熔点75℃。在热空气中有风化性，60℃失去部分结晶水，215℃失去全部结晶水。不溶于醇。具有络合性</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D91E5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color w:val="auto"/>
                      <w:sz w:val="18"/>
                      <w:szCs w:val="18"/>
                      <w:highlight w:val="none"/>
                    </w:rPr>
                    <w:t>LD</w:t>
                  </w:r>
                  <w:r>
                    <w:rPr>
                      <w:rFonts w:hint="default"/>
                      <w:color w:val="auto"/>
                      <w:sz w:val="18"/>
                      <w:szCs w:val="18"/>
                      <w:highlight w:val="none"/>
                      <w:vertAlign w:val="subscript"/>
                    </w:rPr>
                    <w:t>50</w:t>
                  </w:r>
                  <w:r>
                    <w:rPr>
                      <w:rFonts w:hint="default"/>
                      <w:color w:val="auto"/>
                      <w:sz w:val="18"/>
                      <w:szCs w:val="18"/>
                      <w:highlight w:val="none"/>
                    </w:rPr>
                    <w:t>：无资料；LC</w:t>
                  </w:r>
                  <w:r>
                    <w:rPr>
                      <w:rFonts w:hint="default"/>
                      <w:color w:val="auto"/>
                      <w:sz w:val="18"/>
                      <w:szCs w:val="18"/>
                      <w:highlight w:val="none"/>
                      <w:vertAlign w:val="subscript"/>
                    </w:rPr>
                    <w:t>50</w:t>
                  </w:r>
                  <w:r>
                    <w:rPr>
                      <w:rFonts w:hint="default"/>
                      <w:color w:val="auto"/>
                      <w:sz w:val="18"/>
                      <w:szCs w:val="18"/>
                      <w:highlight w:val="none"/>
                    </w:rPr>
                    <w:t>：无资料；本品无毒，对胃肠道有强烈刺激作用</w:t>
                  </w:r>
                </w:p>
              </w:tc>
            </w:tr>
            <w:tr w14:paraId="0954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58FAE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69</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D0F14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硫酸</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8B8FE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H</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4</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A1CF0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纯品为无色透明油状液体，无臭，与水互溶，熔点：3-10℃，</w:t>
                  </w:r>
                  <w:r>
                    <w:rPr>
                      <w:rFonts w:hint="eastAsia"/>
                      <w:color w:val="auto"/>
                      <w:sz w:val="18"/>
                      <w:szCs w:val="18"/>
                      <w:highlight w:val="none"/>
                      <w:lang w:eastAsia="zh-CN"/>
                    </w:rPr>
                    <w:t>蒸气压</w:t>
                  </w:r>
                  <w:r>
                    <w:rPr>
                      <w:rFonts w:hint="default"/>
                      <w:color w:val="auto"/>
                      <w:sz w:val="18"/>
                      <w:szCs w:val="18"/>
                      <w:highlight w:val="none"/>
                    </w:rPr>
                    <w:t>：0.13kPa（145.8℃），沸点：315-338℃，相对密度（水=1）：1.83</w:t>
                  </w:r>
                  <w:r>
                    <w:rPr>
                      <w:rFonts w:hint="eastAsia"/>
                      <w:color w:val="auto"/>
                      <w:sz w:val="18"/>
                      <w:szCs w:val="18"/>
                      <w:highlight w:val="none"/>
                      <w:lang w:eastAsia="zh-CN"/>
                    </w:rPr>
                    <w:t>，</w:t>
                  </w:r>
                  <w:r>
                    <w:rPr>
                      <w:rFonts w:hint="default"/>
                      <w:color w:val="auto"/>
                      <w:sz w:val="18"/>
                      <w:szCs w:val="18"/>
                      <w:highlight w:val="none"/>
                    </w:rPr>
                    <w:t>不可燃，浓硫酸溶于水会放出大量热，在高温下分解产生三氧化硫、水</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4A3726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rPr>
                  </w:pPr>
                  <w:r>
                    <w:rPr>
                      <w:rFonts w:hint="default" w:ascii="Times New Roman" w:hAnsi="Times New Roman" w:eastAsia="Times New Roman" w:cs="Times New Roman"/>
                      <w:b w:val="0"/>
                      <w:bCs w:val="0"/>
                      <w:color w:val="auto"/>
                      <w:sz w:val="18"/>
                      <w:szCs w:val="18"/>
                      <w:highlight w:val="none"/>
                    </w:rPr>
                    <w:t>LD50</w:t>
                  </w:r>
                  <w:r>
                    <w:rPr>
                      <w:rFonts w:hint="default" w:ascii="宋体" w:hAnsi="宋体" w:eastAsia="宋体" w:cs="宋体"/>
                      <w:b w:val="0"/>
                      <w:bCs w:val="0"/>
                      <w:color w:val="auto"/>
                      <w:sz w:val="18"/>
                      <w:szCs w:val="18"/>
                      <w:highlight w:val="none"/>
                    </w:rPr>
                    <w:t>：</w:t>
                  </w:r>
                  <w:r>
                    <w:rPr>
                      <w:rFonts w:hint="default" w:ascii="Times New Roman" w:hAnsi="Times New Roman" w:eastAsia="Times New Roman" w:cs="Times New Roman"/>
                      <w:b w:val="0"/>
                      <w:bCs w:val="0"/>
                      <w:color w:val="auto"/>
                      <w:sz w:val="18"/>
                      <w:szCs w:val="18"/>
                      <w:highlight w:val="none"/>
                    </w:rPr>
                    <w:t>2140mg/kg</w:t>
                  </w:r>
                  <w:r>
                    <w:rPr>
                      <w:rFonts w:hint="default" w:ascii="宋体" w:hAnsi="宋体" w:eastAsia="宋体" w:cs="宋体"/>
                      <w:b w:val="0"/>
                      <w:bCs w:val="0"/>
                      <w:color w:val="auto"/>
                      <w:sz w:val="18"/>
                      <w:szCs w:val="18"/>
                      <w:highlight w:val="none"/>
                    </w:rPr>
                    <w:t>（大鼠，经口）</w:t>
                  </w:r>
                </w:p>
              </w:tc>
            </w:tr>
            <w:tr w14:paraId="02C2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00AEA3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70</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21DE6F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2,6-二硝基酚</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1CBC7D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C</w:t>
                  </w:r>
                  <w:r>
                    <w:rPr>
                      <w:rFonts w:hint="eastAsia"/>
                      <w:color w:val="auto"/>
                      <w:sz w:val="18"/>
                      <w:szCs w:val="18"/>
                      <w:highlight w:val="none"/>
                      <w:vertAlign w:val="subscript"/>
                      <w:lang w:val="en-US" w:eastAsia="zh-CN"/>
                    </w:rPr>
                    <w:t>6</w:t>
                  </w:r>
                  <w:r>
                    <w:rPr>
                      <w:rFonts w:hint="eastAsia"/>
                      <w:color w:val="auto"/>
                      <w:sz w:val="18"/>
                      <w:szCs w:val="18"/>
                      <w:highlight w:val="none"/>
                      <w:lang w:val="en-US" w:eastAsia="zh-CN"/>
                    </w:rPr>
                    <w:t>H</w:t>
                  </w:r>
                  <w:r>
                    <w:rPr>
                      <w:rFonts w:hint="eastAsia"/>
                      <w:color w:val="auto"/>
                      <w:sz w:val="18"/>
                      <w:szCs w:val="18"/>
                      <w:highlight w:val="none"/>
                      <w:vertAlign w:val="subscript"/>
                      <w:lang w:val="en-US" w:eastAsia="zh-CN"/>
                    </w:rPr>
                    <w:t>4</w:t>
                  </w:r>
                  <w:r>
                    <w:rPr>
                      <w:rFonts w:hint="eastAsia"/>
                      <w:color w:val="auto"/>
                      <w:sz w:val="18"/>
                      <w:szCs w:val="18"/>
                      <w:highlight w:val="none"/>
                      <w:lang w:val="en-US" w:eastAsia="zh-CN"/>
                    </w:rPr>
                    <w:t>N</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O</w:t>
                  </w:r>
                  <w:r>
                    <w:rPr>
                      <w:rFonts w:hint="eastAsia"/>
                      <w:color w:val="auto"/>
                      <w:sz w:val="18"/>
                      <w:szCs w:val="18"/>
                      <w:highlight w:val="none"/>
                      <w:vertAlign w:val="subscript"/>
                      <w:lang w:val="en-US" w:eastAsia="zh-CN"/>
                    </w:rPr>
                    <w:t>5</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2D0C1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易燃固体。淡黄色针状结晶。微溶于水及冷醇，溶于沸乙醇、乙醚及氯仿。分子量183.099</w:t>
                  </w:r>
                  <w:r>
                    <w:rPr>
                      <w:rFonts w:hint="eastAsia"/>
                      <w:color w:val="auto"/>
                      <w:sz w:val="18"/>
                      <w:szCs w:val="18"/>
                      <w:highlight w:val="none"/>
                      <w:lang w:eastAsia="zh-CN"/>
                    </w:rPr>
                    <w:t>，</w:t>
                  </w:r>
                  <w:r>
                    <w:rPr>
                      <w:rFonts w:hint="eastAsia"/>
                      <w:color w:val="auto"/>
                      <w:sz w:val="18"/>
                      <w:szCs w:val="18"/>
                      <w:highlight w:val="none"/>
                      <w:lang w:val="en-US" w:eastAsia="zh-CN"/>
                    </w:rPr>
                    <w:t>密度：</w:t>
                  </w:r>
                  <w:r>
                    <w:rPr>
                      <w:rFonts w:hint="default" w:eastAsia="宋体"/>
                      <w:color w:val="auto"/>
                      <w:sz w:val="18"/>
                      <w:szCs w:val="18"/>
                      <w:highlight w:val="none"/>
                    </w:rPr>
                    <w:t>1.</w:t>
                  </w:r>
                  <w:r>
                    <w:rPr>
                      <w:rFonts w:hint="eastAsia" w:eastAsia="宋体"/>
                      <w:color w:val="auto"/>
                      <w:sz w:val="18"/>
                      <w:szCs w:val="18"/>
                      <w:highlight w:val="none"/>
                      <w:lang w:val="en-US" w:eastAsia="zh-CN"/>
                    </w:rPr>
                    <w:t>72</w:t>
                  </w:r>
                  <w:r>
                    <w:rPr>
                      <w:rFonts w:hint="default" w:eastAsia="宋体"/>
                      <w:color w:val="auto"/>
                      <w:sz w:val="18"/>
                      <w:szCs w:val="18"/>
                      <w:highlight w:val="none"/>
                    </w:rPr>
                    <w:t>g/cm</w:t>
                  </w:r>
                  <w:r>
                    <w:rPr>
                      <w:rFonts w:hint="default" w:eastAsia="宋体"/>
                      <w:color w:val="auto"/>
                      <w:sz w:val="18"/>
                      <w:szCs w:val="18"/>
                      <w:highlight w:val="none"/>
                      <w:vertAlign w:val="superscript"/>
                    </w:rPr>
                    <w:t>3</w:t>
                  </w:r>
                  <w:r>
                    <w:rPr>
                      <w:rFonts w:hint="default"/>
                      <w:color w:val="auto"/>
                      <w:sz w:val="18"/>
                      <w:szCs w:val="18"/>
                      <w:highlight w:val="none"/>
                    </w:rPr>
                    <w:t>熔点63-64℃</w:t>
                  </w:r>
                  <w:r>
                    <w:rPr>
                      <w:rFonts w:hint="eastAsia"/>
                      <w:color w:val="auto"/>
                      <w:sz w:val="18"/>
                      <w:szCs w:val="18"/>
                      <w:highlight w:val="none"/>
                      <w:lang w:eastAsia="zh-CN"/>
                    </w:rPr>
                    <w:t>，</w:t>
                  </w:r>
                  <w:r>
                    <w:rPr>
                      <w:rFonts w:hint="default"/>
                      <w:color w:val="auto"/>
                      <w:sz w:val="18"/>
                      <w:szCs w:val="18"/>
                      <w:highlight w:val="none"/>
                    </w:rPr>
                    <w:t>沸点239°Cat60mmHg</w:t>
                  </w:r>
                </w:p>
                <w:p w14:paraId="3AD01D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闪点104.8°C</w:t>
                  </w:r>
                  <w:r>
                    <w:rPr>
                      <w:rFonts w:hint="eastAsia"/>
                      <w:color w:val="auto"/>
                      <w:sz w:val="18"/>
                      <w:szCs w:val="18"/>
                      <w:highlight w:val="none"/>
                      <w:lang w:eastAsia="zh-CN"/>
                    </w:rPr>
                    <w:t>，</w:t>
                  </w:r>
                  <w:r>
                    <w:rPr>
                      <w:rFonts w:hint="default"/>
                      <w:color w:val="auto"/>
                      <w:sz w:val="18"/>
                      <w:szCs w:val="18"/>
                      <w:highlight w:val="none"/>
                    </w:rPr>
                    <w:t>蒸汽压0.0266mmHgat25°C</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228A44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无资料</w:t>
                  </w:r>
                </w:p>
              </w:tc>
            </w:tr>
            <w:tr w14:paraId="3CC0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494817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71</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5974D0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二硫化碳</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66C4E6A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CS</w:t>
                  </w:r>
                  <w:r>
                    <w:rPr>
                      <w:rFonts w:hint="eastAsia"/>
                      <w:color w:val="auto"/>
                      <w:sz w:val="18"/>
                      <w:szCs w:val="18"/>
                      <w:highlight w:val="none"/>
                      <w:vertAlign w:val="subscript"/>
                      <w:lang w:val="en-US" w:eastAsia="zh-CN"/>
                    </w:rPr>
                    <w:t>2</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37F6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eastAsia="宋体"/>
                      <w:color w:val="auto"/>
                      <w:sz w:val="18"/>
                      <w:szCs w:val="18"/>
                      <w:highlight w:val="none"/>
                    </w:rPr>
                    <w:t>熔点：-112~-111℃</w:t>
                  </w:r>
                  <w:r>
                    <w:rPr>
                      <w:rFonts w:hint="eastAsia"/>
                      <w:color w:val="auto"/>
                      <w:sz w:val="18"/>
                      <w:szCs w:val="18"/>
                      <w:highlight w:val="none"/>
                      <w:lang w:eastAsia="zh-CN"/>
                    </w:rPr>
                    <w:t>；</w:t>
                  </w:r>
                  <w:r>
                    <w:rPr>
                      <w:rFonts w:hint="default" w:eastAsia="宋体"/>
                      <w:color w:val="auto"/>
                      <w:sz w:val="18"/>
                      <w:szCs w:val="18"/>
                      <w:highlight w:val="none"/>
                    </w:rPr>
                    <w:t>密度：1.266g/cm</w:t>
                  </w:r>
                  <w:r>
                    <w:rPr>
                      <w:rFonts w:hint="default" w:eastAsia="宋体"/>
                      <w:color w:val="auto"/>
                      <w:sz w:val="18"/>
                      <w:szCs w:val="18"/>
                      <w:highlight w:val="none"/>
                      <w:vertAlign w:val="superscript"/>
                    </w:rPr>
                    <w:t>3</w:t>
                  </w:r>
                  <w:r>
                    <w:rPr>
                      <w:rFonts w:hint="eastAsia"/>
                      <w:color w:val="auto"/>
                      <w:sz w:val="18"/>
                      <w:szCs w:val="18"/>
                      <w:highlight w:val="none"/>
                      <w:lang w:eastAsia="zh-CN"/>
                    </w:rPr>
                    <w:t>；</w:t>
                  </w:r>
                  <w:r>
                    <w:rPr>
                      <w:rFonts w:hint="default" w:eastAsia="宋体"/>
                      <w:color w:val="auto"/>
                      <w:sz w:val="18"/>
                      <w:szCs w:val="18"/>
                      <w:highlight w:val="none"/>
                    </w:rPr>
                    <w:t>相对蒸气密度（空气=1）：2.64</w:t>
                  </w:r>
                  <w:r>
                    <w:rPr>
                      <w:rFonts w:hint="eastAsia" w:eastAsia="宋体"/>
                      <w:color w:val="auto"/>
                      <w:sz w:val="18"/>
                      <w:szCs w:val="18"/>
                      <w:highlight w:val="none"/>
                      <w:lang w:eastAsia="zh-CN"/>
                    </w:rPr>
                    <w:t>；</w:t>
                  </w:r>
                  <w:r>
                    <w:rPr>
                      <w:rFonts w:hint="default" w:eastAsia="宋体"/>
                      <w:color w:val="auto"/>
                      <w:sz w:val="18"/>
                      <w:szCs w:val="18"/>
                      <w:highlight w:val="none"/>
                    </w:rPr>
                    <w:t>沸点：46.2℃</w:t>
                  </w:r>
                  <w:r>
                    <w:rPr>
                      <w:rFonts w:hint="eastAsia" w:eastAsia="宋体"/>
                      <w:color w:val="auto"/>
                      <w:sz w:val="18"/>
                      <w:szCs w:val="18"/>
                      <w:highlight w:val="none"/>
                      <w:lang w:eastAsia="zh-CN"/>
                    </w:rPr>
                    <w:t>；</w:t>
                  </w:r>
                  <w:r>
                    <w:rPr>
                      <w:rFonts w:hint="eastAsia"/>
                      <w:color w:val="auto"/>
                      <w:sz w:val="18"/>
                      <w:szCs w:val="18"/>
                      <w:highlight w:val="none"/>
                      <w:lang w:eastAsia="zh-CN"/>
                    </w:rPr>
                    <w:t>饱和蒸汽</w:t>
                  </w:r>
                  <w:r>
                    <w:rPr>
                      <w:rFonts w:hint="default" w:eastAsia="宋体"/>
                      <w:color w:val="auto"/>
                      <w:sz w:val="18"/>
                      <w:szCs w:val="18"/>
                      <w:highlight w:val="none"/>
                    </w:rPr>
                    <w:t>压：53.32kPa（28℃）</w:t>
                  </w:r>
                  <w:r>
                    <w:rPr>
                      <w:rFonts w:hint="eastAsia"/>
                      <w:color w:val="auto"/>
                      <w:sz w:val="18"/>
                      <w:szCs w:val="18"/>
                      <w:highlight w:val="none"/>
                      <w:lang w:eastAsia="zh-CN"/>
                    </w:rPr>
                    <w:t>；</w:t>
                  </w:r>
                  <w:r>
                    <w:rPr>
                      <w:rFonts w:hint="default" w:eastAsia="宋体"/>
                      <w:color w:val="auto"/>
                      <w:sz w:val="18"/>
                      <w:szCs w:val="18"/>
                      <w:highlight w:val="none"/>
                    </w:rPr>
                    <w:t>燃烧热：1030.8kJ/mol</w:t>
                  </w:r>
                  <w:r>
                    <w:rPr>
                      <w:rFonts w:hint="eastAsia" w:eastAsia="宋体"/>
                      <w:color w:val="auto"/>
                      <w:sz w:val="18"/>
                      <w:szCs w:val="18"/>
                      <w:highlight w:val="none"/>
                      <w:lang w:eastAsia="zh-CN"/>
                    </w:rPr>
                    <w:t>；</w:t>
                  </w:r>
                  <w:r>
                    <w:rPr>
                      <w:rFonts w:hint="default" w:eastAsia="宋体"/>
                      <w:color w:val="auto"/>
                      <w:sz w:val="18"/>
                      <w:szCs w:val="18"/>
                      <w:highlight w:val="none"/>
                    </w:rPr>
                    <w:t>临界温度：279℃</w:t>
                  </w:r>
                  <w:r>
                    <w:rPr>
                      <w:rFonts w:hint="eastAsia" w:eastAsia="宋体"/>
                      <w:color w:val="auto"/>
                      <w:sz w:val="18"/>
                      <w:szCs w:val="18"/>
                      <w:highlight w:val="none"/>
                      <w:lang w:eastAsia="zh-CN"/>
                    </w:rPr>
                    <w:t>；</w:t>
                  </w:r>
                  <w:r>
                    <w:rPr>
                      <w:rFonts w:hint="default" w:eastAsia="宋体"/>
                      <w:color w:val="auto"/>
                      <w:sz w:val="18"/>
                      <w:szCs w:val="18"/>
                      <w:highlight w:val="none"/>
                    </w:rPr>
                    <w:t>临界压力：7.90MPa</w:t>
                  </w:r>
                  <w:r>
                    <w:rPr>
                      <w:rFonts w:hint="eastAsia" w:eastAsia="宋体"/>
                      <w:color w:val="auto"/>
                      <w:sz w:val="18"/>
                      <w:szCs w:val="18"/>
                      <w:highlight w:val="none"/>
                      <w:lang w:eastAsia="zh-CN"/>
                    </w:rPr>
                    <w:t>；</w:t>
                  </w:r>
                  <w:r>
                    <w:rPr>
                      <w:rFonts w:hint="default" w:eastAsia="宋体"/>
                      <w:color w:val="auto"/>
                      <w:sz w:val="18"/>
                      <w:szCs w:val="18"/>
                      <w:highlight w:val="none"/>
                    </w:rPr>
                    <w:t>闪点：-30℃</w:t>
                  </w:r>
                  <w:r>
                    <w:rPr>
                      <w:rFonts w:hint="eastAsia" w:eastAsia="宋体"/>
                      <w:color w:val="auto"/>
                      <w:sz w:val="18"/>
                      <w:szCs w:val="18"/>
                      <w:highlight w:val="none"/>
                      <w:lang w:eastAsia="zh-CN"/>
                    </w:rPr>
                    <w:t>；</w:t>
                  </w:r>
                  <w:r>
                    <w:rPr>
                      <w:rFonts w:hint="default" w:eastAsia="宋体"/>
                      <w:color w:val="auto"/>
                      <w:sz w:val="18"/>
                      <w:szCs w:val="18"/>
                      <w:highlight w:val="none"/>
                    </w:rPr>
                    <w:t>爆炸上限（V/V）：60.0%</w:t>
                  </w:r>
                  <w:r>
                    <w:rPr>
                      <w:rFonts w:hint="eastAsia"/>
                      <w:color w:val="auto"/>
                      <w:sz w:val="18"/>
                      <w:szCs w:val="18"/>
                      <w:highlight w:val="none"/>
                      <w:lang w:eastAsia="zh-CN"/>
                    </w:rPr>
                    <w:t>；</w:t>
                  </w:r>
                  <w:r>
                    <w:rPr>
                      <w:rFonts w:hint="default" w:eastAsia="宋体"/>
                      <w:color w:val="auto"/>
                      <w:sz w:val="18"/>
                      <w:szCs w:val="18"/>
                      <w:highlight w:val="none"/>
                    </w:rPr>
                    <w:t>爆炸下限（V/V）：1.0%</w:t>
                  </w:r>
                  <w:r>
                    <w:rPr>
                      <w:rFonts w:hint="eastAsia"/>
                      <w:color w:val="auto"/>
                      <w:sz w:val="18"/>
                      <w:szCs w:val="18"/>
                      <w:highlight w:val="none"/>
                      <w:lang w:eastAsia="zh-CN"/>
                    </w:rPr>
                    <w:t>；</w:t>
                  </w:r>
                  <w:r>
                    <w:rPr>
                      <w:rFonts w:hint="default" w:eastAsia="宋体"/>
                      <w:color w:val="auto"/>
                      <w:sz w:val="18"/>
                      <w:szCs w:val="18"/>
                      <w:highlight w:val="none"/>
                    </w:rPr>
                    <w:t>引燃温度：90℃</w:t>
                  </w:r>
                  <w:r>
                    <w:rPr>
                      <w:rFonts w:hint="eastAsia" w:eastAsia="宋体"/>
                      <w:color w:val="auto"/>
                      <w:sz w:val="18"/>
                      <w:szCs w:val="18"/>
                      <w:highlight w:val="none"/>
                      <w:lang w:eastAsia="zh-CN"/>
                    </w:rPr>
                    <w:t>；</w:t>
                  </w:r>
                  <w:r>
                    <w:rPr>
                      <w:rFonts w:hint="default" w:eastAsia="宋体"/>
                      <w:color w:val="auto"/>
                      <w:sz w:val="18"/>
                      <w:szCs w:val="18"/>
                      <w:highlight w:val="none"/>
                    </w:rPr>
                    <w:t>外观与性状：无色或淡黄色透明液体，纯品有乙醚味，易挥发</w:t>
                  </w:r>
                  <w:r>
                    <w:rPr>
                      <w:rFonts w:hint="eastAsia" w:eastAsia="宋体"/>
                      <w:color w:val="auto"/>
                      <w:sz w:val="18"/>
                      <w:szCs w:val="18"/>
                      <w:highlight w:val="none"/>
                      <w:lang w:eastAsia="zh-CN"/>
                    </w:rPr>
                    <w:t>；</w:t>
                  </w:r>
                  <w:r>
                    <w:rPr>
                      <w:rFonts w:hint="default" w:eastAsia="宋体"/>
                      <w:color w:val="auto"/>
                      <w:sz w:val="18"/>
                      <w:szCs w:val="18"/>
                      <w:highlight w:val="none"/>
                    </w:rPr>
                    <w:t>溶解性：不溶于水，溶于乙醇、乙醚等多数有机溶剂</w:t>
                  </w:r>
                  <w:r>
                    <w:rPr>
                      <w:rFonts w:hint="eastAsia" w:eastAsia="宋体"/>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70FDC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Times New Roman" w:cs="Times New Roman"/>
                      <w:b w:val="0"/>
                      <w:bCs w:val="0"/>
                      <w:color w:val="auto"/>
                      <w:sz w:val="18"/>
                      <w:szCs w:val="18"/>
                      <w:highlight w:val="none"/>
                    </w:rPr>
                  </w:pPr>
                  <w:r>
                    <w:rPr>
                      <w:rFonts w:hint="default" w:ascii="Times New Roman" w:hAnsi="Times New Roman" w:eastAsia="Times New Roman" w:cs="Times New Roman"/>
                      <w:b w:val="0"/>
                      <w:bCs w:val="0"/>
                      <w:color w:val="auto"/>
                      <w:sz w:val="18"/>
                      <w:szCs w:val="18"/>
                      <w:highlight w:val="none"/>
                    </w:rPr>
                    <w:t>急性毒性：LD</w:t>
                  </w:r>
                  <w:r>
                    <w:rPr>
                      <w:rFonts w:hint="default" w:ascii="Times New Roman" w:hAnsi="Times New Roman" w:eastAsia="Times New Roman" w:cs="Times New Roman"/>
                      <w:b w:val="0"/>
                      <w:bCs w:val="0"/>
                      <w:color w:val="auto"/>
                      <w:sz w:val="18"/>
                      <w:szCs w:val="18"/>
                      <w:highlight w:val="none"/>
                      <w:vertAlign w:val="subscript"/>
                    </w:rPr>
                    <w:t>50</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Times New Roman" w:cs="Times New Roman"/>
                      <w:b w:val="0"/>
                      <w:bCs w:val="0"/>
                      <w:color w:val="auto"/>
                      <w:sz w:val="18"/>
                      <w:szCs w:val="18"/>
                      <w:highlight w:val="none"/>
                    </w:rPr>
                    <w:t>3188mg/kg（大鼠经口）</w:t>
                  </w:r>
                </w:p>
              </w:tc>
            </w:tr>
            <w:tr w14:paraId="4367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6A1A53A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72</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D2641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重铬酸钾</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06A1C5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K</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Cr</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O</w:t>
                  </w:r>
                  <w:r>
                    <w:rPr>
                      <w:rFonts w:hint="eastAsia"/>
                      <w:color w:val="auto"/>
                      <w:sz w:val="18"/>
                      <w:szCs w:val="18"/>
                      <w:highlight w:val="none"/>
                      <w:vertAlign w:val="subscript"/>
                      <w:lang w:val="en-US" w:eastAsia="zh-CN"/>
                    </w:rPr>
                    <w:t>7</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E3F46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default"/>
                      <w:color w:val="auto"/>
                      <w:sz w:val="18"/>
                      <w:szCs w:val="18"/>
                      <w:highlight w:val="none"/>
                    </w:rPr>
                  </w:pPr>
                  <w:r>
                    <w:rPr>
                      <w:rFonts w:hint="default"/>
                      <w:color w:val="auto"/>
                      <w:sz w:val="18"/>
                      <w:szCs w:val="18"/>
                      <w:highlight w:val="none"/>
                    </w:rPr>
                    <w:t>橙红色三斜晶系板状结晶体。有苦味及金属性味。密度2.676g/cm</w:t>
                  </w:r>
                  <w:r>
                    <w:rPr>
                      <w:rFonts w:hint="default"/>
                      <w:color w:val="auto"/>
                      <w:sz w:val="18"/>
                      <w:szCs w:val="18"/>
                      <w:highlight w:val="none"/>
                      <w:vertAlign w:val="superscript"/>
                    </w:rPr>
                    <w:t>3</w:t>
                  </w:r>
                  <w:r>
                    <w:rPr>
                      <w:rFonts w:hint="default"/>
                      <w:color w:val="auto"/>
                      <w:sz w:val="18"/>
                      <w:szCs w:val="18"/>
                      <w:highlight w:val="none"/>
                    </w:rPr>
                    <w:t>。熔点398℃。稍溶于冷水，水溶液呈酸性，易溶于热水，不溶于乙醇。有剧毒。</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05786DC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Times New Roman" w:cs="Times New Roman"/>
                      <w:b w:val="0"/>
                      <w:bCs w:val="0"/>
                      <w:color w:val="auto"/>
                      <w:sz w:val="18"/>
                      <w:szCs w:val="18"/>
                      <w:highlight w:val="none"/>
                    </w:rPr>
                  </w:pPr>
                  <w:r>
                    <w:rPr>
                      <w:rFonts w:hint="default" w:ascii="Times New Roman" w:hAnsi="Times New Roman" w:eastAsia="Times New Roman" w:cs="Times New Roman"/>
                      <w:b w:val="0"/>
                      <w:bCs w:val="0"/>
                      <w:color w:val="auto"/>
                      <w:sz w:val="18"/>
                      <w:szCs w:val="18"/>
                      <w:highlight w:val="none"/>
                    </w:rPr>
                    <w:t>急性毒性</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Times New Roman" w:cs="Times New Roman"/>
                      <w:b w:val="0"/>
                      <w:bCs w:val="0"/>
                      <w:color w:val="auto"/>
                      <w:sz w:val="18"/>
                      <w:szCs w:val="18"/>
                      <w:highlight w:val="none"/>
                    </w:rPr>
                    <w:t>LD</w:t>
                  </w:r>
                  <w:r>
                    <w:rPr>
                      <w:rFonts w:hint="default" w:ascii="Times New Roman" w:hAnsi="Times New Roman" w:eastAsia="Times New Roman" w:cs="Times New Roman"/>
                      <w:b w:val="0"/>
                      <w:bCs w:val="0"/>
                      <w:color w:val="auto"/>
                      <w:sz w:val="18"/>
                      <w:szCs w:val="18"/>
                      <w:highlight w:val="none"/>
                      <w:vertAlign w:val="subscript"/>
                    </w:rPr>
                    <w:t>50</w:t>
                  </w: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Times New Roman" w:cs="Times New Roman"/>
                      <w:b w:val="0"/>
                      <w:bCs w:val="0"/>
                      <w:color w:val="auto"/>
                      <w:sz w:val="18"/>
                      <w:szCs w:val="18"/>
                      <w:highlight w:val="none"/>
                    </w:rPr>
                    <w:t>190mg/kg(小鼠经口)</w:t>
                  </w:r>
                </w:p>
              </w:tc>
            </w:tr>
            <w:tr w14:paraId="3233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7EC9D2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73</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035DB5C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三氯甲烷</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D00CF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CHCl</w:t>
                  </w:r>
                  <w:r>
                    <w:rPr>
                      <w:rFonts w:hint="eastAsia"/>
                      <w:color w:val="auto"/>
                      <w:sz w:val="18"/>
                      <w:szCs w:val="18"/>
                      <w:highlight w:val="none"/>
                      <w:vertAlign w:val="subscript"/>
                      <w:lang w:val="en-US" w:eastAsia="zh-CN"/>
                    </w:rPr>
                    <w:t>3</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21AAC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eastAsia" w:eastAsia="宋体"/>
                      <w:color w:val="auto"/>
                      <w:sz w:val="18"/>
                      <w:szCs w:val="18"/>
                      <w:highlight w:val="none"/>
                      <w:lang w:eastAsia="zh-CN"/>
                    </w:rPr>
                  </w:pPr>
                  <w:r>
                    <w:rPr>
                      <w:rFonts w:hint="default"/>
                      <w:color w:val="auto"/>
                      <w:sz w:val="18"/>
                      <w:szCs w:val="18"/>
                      <w:highlight w:val="none"/>
                    </w:rPr>
                    <w:t>无色透明液体，有特殊气味，</w:t>
                  </w:r>
                  <w:r>
                    <w:rPr>
                      <w:rFonts w:hint="eastAsia"/>
                      <w:color w:val="auto"/>
                      <w:sz w:val="18"/>
                      <w:szCs w:val="18"/>
                      <w:highlight w:val="none"/>
                    </w:rPr>
                    <w:t>密度：1.48g/cm</w:t>
                  </w:r>
                  <w:r>
                    <w:rPr>
                      <w:rFonts w:hint="eastAsia"/>
                      <w:color w:val="auto"/>
                      <w:sz w:val="18"/>
                      <w:szCs w:val="18"/>
                      <w:highlight w:val="none"/>
                      <w:vertAlign w:val="superscript"/>
                    </w:rPr>
                    <w:t>3</w:t>
                  </w:r>
                  <w:r>
                    <w:rPr>
                      <w:rFonts w:hint="eastAsia"/>
                      <w:color w:val="auto"/>
                      <w:sz w:val="18"/>
                      <w:szCs w:val="18"/>
                      <w:highlight w:val="none"/>
                    </w:rPr>
                    <w:t>，沸点：61.3℃，</w:t>
                  </w:r>
                  <w:r>
                    <w:rPr>
                      <w:rFonts w:hint="eastAsia"/>
                      <w:color w:val="auto"/>
                      <w:sz w:val="18"/>
                      <w:szCs w:val="18"/>
                      <w:highlight w:val="none"/>
                      <w:lang w:eastAsia="zh-CN"/>
                    </w:rPr>
                    <w:t>饱和蒸汽</w:t>
                  </w:r>
                  <w:r>
                    <w:rPr>
                      <w:rFonts w:hint="eastAsia"/>
                      <w:color w:val="auto"/>
                      <w:sz w:val="18"/>
                      <w:szCs w:val="18"/>
                      <w:highlight w:val="none"/>
                    </w:rPr>
                    <w:t>压：13.33kPa（10.4℃），临界温度：263.4℃，临界压力：5.47MPa，溶解性：不溶于水，溶于醇、醚、苯</w:t>
                  </w:r>
                  <w:r>
                    <w:rPr>
                      <w:rFonts w:hint="eastAsia"/>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773ACE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Times New Roman" w:cs="Times New Roman"/>
                      <w:b w:val="0"/>
                      <w:bCs w:val="0"/>
                      <w:color w:val="auto"/>
                      <w:sz w:val="18"/>
                      <w:szCs w:val="18"/>
                      <w:highlight w:val="none"/>
                    </w:rPr>
                  </w:pPr>
                  <w:r>
                    <w:rPr>
                      <w:rFonts w:hint="default" w:ascii="Times New Roman" w:hAnsi="Times New Roman" w:eastAsia="Times New Roman" w:cs="Times New Roman"/>
                      <w:b w:val="0"/>
                      <w:bCs w:val="0"/>
                      <w:color w:val="auto"/>
                      <w:sz w:val="18"/>
                      <w:szCs w:val="18"/>
                      <w:highlight w:val="none"/>
                    </w:rPr>
                    <w:t>LD50</w:t>
                  </w:r>
                  <w:r>
                    <w:rPr>
                      <w:rFonts w:hint="default" w:ascii="宋体" w:hAnsi="宋体" w:eastAsia="宋体" w:cs="宋体"/>
                      <w:b w:val="0"/>
                      <w:bCs w:val="0"/>
                      <w:color w:val="auto"/>
                      <w:sz w:val="18"/>
                      <w:szCs w:val="18"/>
                      <w:highlight w:val="none"/>
                    </w:rPr>
                    <w:t>：</w:t>
                  </w:r>
                  <w:r>
                    <w:rPr>
                      <w:rFonts w:hint="default" w:ascii="Times New Roman" w:hAnsi="Times New Roman" w:eastAsia="Times New Roman" w:cs="Times New Roman"/>
                      <w:b w:val="0"/>
                      <w:bCs w:val="0"/>
                      <w:color w:val="auto"/>
                      <w:sz w:val="18"/>
                      <w:szCs w:val="18"/>
                      <w:highlight w:val="none"/>
                    </w:rPr>
                    <w:t>908mg/kg</w:t>
                  </w:r>
                  <w:r>
                    <w:rPr>
                      <w:rFonts w:hint="default" w:ascii="宋体" w:hAnsi="宋体" w:eastAsia="宋体" w:cs="宋体"/>
                      <w:b w:val="0"/>
                      <w:bCs w:val="0"/>
                      <w:color w:val="auto"/>
                      <w:sz w:val="18"/>
                      <w:szCs w:val="18"/>
                      <w:highlight w:val="none"/>
                    </w:rPr>
                    <w:t>（大鼠经口）</w:t>
                  </w:r>
                </w:p>
              </w:tc>
            </w:tr>
            <w:tr w14:paraId="6E98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47" w:type="dxa"/>
                  <w:tcBorders>
                    <w:top w:val="single" w:color="auto" w:sz="4" w:space="0"/>
                    <w:left w:val="single" w:color="auto" w:sz="4" w:space="0"/>
                    <w:bottom w:val="single" w:color="auto" w:sz="4" w:space="0"/>
                    <w:right w:val="single" w:color="auto" w:sz="4" w:space="0"/>
                  </w:tcBorders>
                  <w:noWrap w:val="0"/>
                  <w:vAlign w:val="center"/>
                </w:tcPr>
                <w:p w14:paraId="345490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74</w:t>
                  </w:r>
                </w:p>
              </w:tc>
              <w:tc>
                <w:tcPr>
                  <w:tcW w:w="852" w:type="dxa"/>
                  <w:tcBorders>
                    <w:top w:val="single" w:color="auto" w:sz="4" w:space="0"/>
                    <w:left w:val="single" w:color="auto" w:sz="4" w:space="0"/>
                    <w:bottom w:val="single" w:color="auto" w:sz="4" w:space="0"/>
                    <w:right w:val="single" w:color="auto" w:sz="4" w:space="0"/>
                  </w:tcBorders>
                  <w:noWrap w:val="0"/>
                  <w:vAlign w:val="center"/>
                </w:tcPr>
                <w:p w14:paraId="75276C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甲醛</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2806B7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CH</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O</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8DCAED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firstLine="0" w:firstLineChars="0"/>
                    <w:jc w:val="left"/>
                    <w:textAlignment w:val="auto"/>
                    <w:rPr>
                      <w:rFonts w:hint="eastAsia" w:ascii="宋体" w:hAnsi="宋体" w:eastAsia="宋体" w:cs="宋体"/>
                      <w:b w:val="0"/>
                      <w:bCs w:val="0"/>
                      <w:color w:val="auto"/>
                      <w:sz w:val="18"/>
                      <w:szCs w:val="18"/>
                      <w:highlight w:val="none"/>
                      <w:lang w:eastAsia="zh-CN"/>
                    </w:rPr>
                  </w:pPr>
                  <w:r>
                    <w:rPr>
                      <w:rFonts w:hint="default" w:ascii="宋体" w:hAnsi="宋体" w:eastAsia="宋体" w:cs="宋体"/>
                      <w:b w:val="0"/>
                      <w:bCs w:val="0"/>
                      <w:color w:val="auto"/>
                      <w:sz w:val="18"/>
                      <w:szCs w:val="18"/>
                      <w:highlight w:val="none"/>
                    </w:rPr>
                    <w:t>无色，具有刺激性和窒息性的气体，商品为其水溶液，熔点</w:t>
                  </w:r>
                  <w:r>
                    <w:rPr>
                      <w:rFonts w:hint="default" w:ascii="Times New Roman" w:hAnsi="Times New Roman" w:eastAsia="Times New Roman" w:cs="Times New Roman"/>
                      <w:b w:val="0"/>
                      <w:bCs w:val="0"/>
                      <w:color w:val="auto"/>
                      <w:sz w:val="18"/>
                      <w:szCs w:val="18"/>
                      <w:highlight w:val="none"/>
                    </w:rPr>
                    <w:t>-92°C</w:t>
                  </w:r>
                  <w:r>
                    <w:rPr>
                      <w:rFonts w:hint="default" w:ascii="宋体" w:hAnsi="宋体" w:eastAsia="宋体" w:cs="宋体"/>
                      <w:b w:val="0"/>
                      <w:bCs w:val="0"/>
                      <w:color w:val="auto"/>
                      <w:sz w:val="18"/>
                      <w:szCs w:val="18"/>
                      <w:highlight w:val="none"/>
                    </w:rPr>
                    <w:t>，沸点</w:t>
                  </w:r>
                  <w:r>
                    <w:rPr>
                      <w:rFonts w:hint="default" w:ascii="Times New Roman" w:hAnsi="Times New Roman" w:eastAsia="Times New Roman" w:cs="Times New Roman"/>
                      <w:b w:val="0"/>
                      <w:bCs w:val="0"/>
                      <w:color w:val="auto"/>
                      <w:sz w:val="18"/>
                      <w:szCs w:val="18"/>
                      <w:highlight w:val="none"/>
                    </w:rPr>
                    <w:t>-19.4°C</w:t>
                  </w:r>
                  <w:r>
                    <w:rPr>
                      <w:rFonts w:hint="default" w:ascii="宋体" w:hAnsi="宋体" w:eastAsia="宋体" w:cs="宋体"/>
                      <w:b w:val="0"/>
                      <w:bCs w:val="0"/>
                      <w:color w:val="auto"/>
                      <w:sz w:val="18"/>
                      <w:szCs w:val="18"/>
                      <w:highlight w:val="none"/>
                    </w:rPr>
                    <w:t>，易溶于水，溶于乙醇等多数有机溶剂其蒸气与空气形成爆炸性混合物，遇明火、高热能引起燃烧爆炸，在高温下分解产生水、二氧化碳</w:t>
                  </w:r>
                  <w:r>
                    <w:rPr>
                      <w:rFonts w:hint="eastAsia" w:ascii="宋体" w:hAnsi="宋体" w:cs="宋体"/>
                      <w:b w:val="0"/>
                      <w:bCs w:val="0"/>
                      <w:color w:val="auto"/>
                      <w:sz w:val="18"/>
                      <w:szCs w:val="18"/>
                      <w:highlight w:val="none"/>
                      <w:lang w:eastAsia="zh-CN"/>
                    </w:rPr>
                    <w:t>。</w:t>
                  </w:r>
                </w:p>
              </w:tc>
              <w:tc>
                <w:tcPr>
                  <w:tcW w:w="2058" w:type="dxa"/>
                  <w:tcBorders>
                    <w:top w:val="single" w:color="auto" w:sz="4" w:space="0"/>
                    <w:left w:val="single" w:color="auto" w:sz="4" w:space="0"/>
                    <w:bottom w:val="single" w:color="auto" w:sz="4" w:space="0"/>
                    <w:right w:val="single" w:color="auto" w:sz="4" w:space="0"/>
                  </w:tcBorders>
                  <w:noWrap w:val="0"/>
                  <w:vAlign w:val="center"/>
                </w:tcPr>
                <w:p w14:paraId="1C7237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eastAsia="Times New Roman" w:cs="Times New Roman"/>
                      <w:b w:val="0"/>
                      <w:bCs w:val="0"/>
                      <w:color w:val="auto"/>
                      <w:sz w:val="18"/>
                      <w:szCs w:val="18"/>
                      <w:highlight w:val="none"/>
                    </w:rPr>
                  </w:pPr>
                  <w:r>
                    <w:rPr>
                      <w:rFonts w:hint="default" w:ascii="Times New Roman" w:hAnsi="Times New Roman" w:eastAsia="Times New Roman" w:cs="Times New Roman"/>
                      <w:b w:val="0"/>
                      <w:bCs w:val="0"/>
                      <w:color w:val="auto"/>
                      <w:sz w:val="18"/>
                      <w:szCs w:val="18"/>
                      <w:highlight w:val="none"/>
                    </w:rPr>
                    <w:t>LD50</w:t>
                  </w:r>
                  <w:r>
                    <w:rPr>
                      <w:rFonts w:hint="default" w:ascii="宋体" w:hAnsi="宋体" w:eastAsia="宋体" w:cs="宋体"/>
                      <w:b w:val="0"/>
                      <w:bCs w:val="0"/>
                      <w:color w:val="auto"/>
                      <w:sz w:val="18"/>
                      <w:szCs w:val="18"/>
                      <w:highlight w:val="none"/>
                    </w:rPr>
                    <w:t>：</w:t>
                  </w:r>
                  <w:r>
                    <w:rPr>
                      <w:rFonts w:hint="default" w:ascii="Times New Roman" w:hAnsi="Times New Roman" w:eastAsia="Times New Roman" w:cs="Times New Roman"/>
                      <w:b w:val="0"/>
                      <w:bCs w:val="0"/>
                      <w:color w:val="auto"/>
                      <w:sz w:val="18"/>
                      <w:szCs w:val="18"/>
                      <w:highlight w:val="none"/>
                    </w:rPr>
                    <w:t>800mg/kg</w:t>
                  </w:r>
                  <w:r>
                    <w:rPr>
                      <w:rFonts w:hint="default" w:ascii="宋体" w:hAnsi="宋体" w:eastAsia="宋体" w:cs="宋体"/>
                      <w:b w:val="0"/>
                      <w:bCs w:val="0"/>
                      <w:color w:val="auto"/>
                      <w:sz w:val="18"/>
                      <w:szCs w:val="18"/>
                      <w:highlight w:val="none"/>
                    </w:rPr>
                    <w:t>（大鼠经口）</w:t>
                  </w:r>
                </w:p>
              </w:tc>
            </w:tr>
          </w:tbl>
          <w:p w14:paraId="52B9D31B">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5</w:t>
            </w:r>
            <w:r>
              <w:rPr>
                <w:rFonts w:hint="default"/>
                <w:b/>
                <w:bCs/>
                <w:color w:val="auto"/>
                <w:highlight w:val="none"/>
              </w:rPr>
              <w:t>主要生产设备</w:t>
            </w:r>
          </w:p>
          <w:p w14:paraId="7F998E9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主要</w:t>
            </w:r>
            <w:r>
              <w:rPr>
                <w:rFonts w:hint="eastAsia"/>
                <w:color w:val="auto"/>
                <w:highlight w:val="none"/>
                <w:lang w:val="en-US" w:eastAsia="zh-CN"/>
              </w:rPr>
              <w:t>检测仪器</w:t>
            </w:r>
            <w:r>
              <w:rPr>
                <w:rFonts w:hint="default"/>
                <w:color w:val="auto"/>
                <w:highlight w:val="none"/>
              </w:rPr>
              <w:t>设备详见表</w:t>
            </w:r>
            <w:r>
              <w:rPr>
                <w:rFonts w:hint="eastAsia"/>
                <w:color w:val="auto"/>
                <w:highlight w:val="none"/>
              </w:rPr>
              <w:t>2-</w:t>
            </w:r>
            <w:r>
              <w:rPr>
                <w:rFonts w:hint="eastAsia"/>
                <w:color w:val="auto"/>
                <w:highlight w:val="none"/>
                <w:lang w:val="en-US" w:eastAsia="zh-CN"/>
              </w:rPr>
              <w:t>7</w:t>
            </w:r>
            <w:r>
              <w:rPr>
                <w:rFonts w:hint="default"/>
                <w:color w:val="auto"/>
                <w:highlight w:val="none"/>
              </w:rPr>
              <w:t>。</w:t>
            </w:r>
          </w:p>
          <w:p w14:paraId="5560DDF3">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2-</w:t>
            </w:r>
            <w:r>
              <w:rPr>
                <w:rFonts w:hint="eastAsia"/>
                <w:color w:val="auto"/>
                <w:highlight w:val="none"/>
                <w:lang w:val="en-US" w:eastAsia="zh-CN"/>
              </w:rPr>
              <w:t>7</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项目主要生产设备一览表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2"/>
              <w:gridCol w:w="2226"/>
              <w:gridCol w:w="1616"/>
              <w:gridCol w:w="930"/>
              <w:gridCol w:w="2204"/>
              <w:gridCol w:w="851"/>
            </w:tblGrid>
            <w:tr w14:paraId="6A58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18" w:type="pct"/>
                  <w:vAlign w:val="center"/>
                </w:tcPr>
                <w:p w14:paraId="065A20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序号</w:t>
                  </w:r>
                </w:p>
              </w:tc>
              <w:tc>
                <w:tcPr>
                  <w:tcW w:w="1331" w:type="pct"/>
                  <w:vAlign w:val="center"/>
                </w:tcPr>
                <w:p w14:paraId="2F02BB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设备名称</w:t>
                  </w:r>
                </w:p>
              </w:tc>
              <w:tc>
                <w:tcPr>
                  <w:tcW w:w="966" w:type="pct"/>
                  <w:vAlign w:val="center"/>
                </w:tcPr>
                <w:p w14:paraId="124BB6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型号</w:t>
                  </w:r>
                </w:p>
              </w:tc>
              <w:tc>
                <w:tcPr>
                  <w:tcW w:w="556" w:type="pct"/>
                  <w:vAlign w:val="center"/>
                </w:tcPr>
                <w:p w14:paraId="4F226A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lang w:val="en-US" w:eastAsia="zh-CN"/>
                    </w:rPr>
                  </w:pPr>
                  <w:r>
                    <w:rPr>
                      <w:rFonts w:hint="eastAsia" w:ascii="Times New Roman" w:hAnsi="Times New Roman" w:cs="Times New Roman" w:eastAsiaTheme="minorEastAsia"/>
                      <w:b/>
                      <w:bCs/>
                      <w:color w:val="auto"/>
                      <w:sz w:val="18"/>
                      <w:szCs w:val="18"/>
                      <w:highlight w:val="none"/>
                      <w:lang w:val="en-US" w:eastAsia="zh-CN"/>
                    </w:rPr>
                    <w:t>数量</w:t>
                  </w:r>
                </w:p>
              </w:tc>
              <w:tc>
                <w:tcPr>
                  <w:tcW w:w="1318" w:type="pct"/>
                  <w:vAlign w:val="center"/>
                </w:tcPr>
                <w:p w14:paraId="4CBECE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制造厂家/供应商</w:t>
                  </w:r>
                </w:p>
              </w:tc>
              <w:tc>
                <w:tcPr>
                  <w:tcW w:w="509" w:type="pct"/>
                  <w:vAlign w:val="center"/>
                </w:tcPr>
                <w:p w14:paraId="145C0E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
                      <w:bCs/>
                      <w:color w:val="auto"/>
                      <w:sz w:val="18"/>
                      <w:szCs w:val="18"/>
                      <w:highlight w:val="none"/>
                    </w:rPr>
                  </w:pPr>
                  <w:r>
                    <w:rPr>
                      <w:rFonts w:hint="default" w:ascii="Times New Roman" w:hAnsi="Times New Roman" w:cs="Times New Roman" w:eastAsiaTheme="minorEastAsia"/>
                      <w:b/>
                      <w:bCs/>
                      <w:color w:val="auto"/>
                      <w:sz w:val="18"/>
                      <w:szCs w:val="18"/>
                      <w:highlight w:val="none"/>
                    </w:rPr>
                    <w:t>存放地点</w:t>
                  </w:r>
                </w:p>
              </w:tc>
            </w:tr>
            <w:tr w14:paraId="4869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DA040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w:t>
                  </w:r>
                </w:p>
              </w:tc>
              <w:tc>
                <w:tcPr>
                  <w:tcW w:w="1331" w:type="pct"/>
                  <w:vAlign w:val="center"/>
                </w:tcPr>
                <w:p w14:paraId="48627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原子荧光光度计</w:t>
                  </w:r>
                </w:p>
              </w:tc>
              <w:tc>
                <w:tcPr>
                  <w:tcW w:w="966" w:type="pct"/>
                  <w:vAlign w:val="center"/>
                </w:tcPr>
                <w:p w14:paraId="71ECC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AFS-8220</w:t>
                  </w:r>
                </w:p>
              </w:tc>
              <w:tc>
                <w:tcPr>
                  <w:tcW w:w="556" w:type="pct"/>
                  <w:vAlign w:val="center"/>
                </w:tcPr>
                <w:p w14:paraId="30BDA0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C3AC5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北京吉天</w:t>
                  </w:r>
                </w:p>
              </w:tc>
              <w:tc>
                <w:tcPr>
                  <w:tcW w:w="509" w:type="pct"/>
                  <w:vMerge w:val="restart"/>
                  <w:vAlign w:val="center"/>
                </w:tcPr>
                <w:p w14:paraId="3668A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光谱室</w:t>
                  </w:r>
                </w:p>
              </w:tc>
            </w:tr>
            <w:tr w14:paraId="5248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AEAAD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w:t>
                  </w:r>
                </w:p>
              </w:tc>
              <w:tc>
                <w:tcPr>
                  <w:tcW w:w="1331" w:type="pct"/>
                  <w:vAlign w:val="center"/>
                </w:tcPr>
                <w:p w14:paraId="1510D0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原子吸收分光光度计</w:t>
                  </w:r>
                </w:p>
              </w:tc>
              <w:tc>
                <w:tcPr>
                  <w:tcW w:w="966" w:type="pct"/>
                  <w:vAlign w:val="center"/>
                </w:tcPr>
                <w:p w14:paraId="6873D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TAS-990AFG</w:t>
                  </w:r>
                </w:p>
              </w:tc>
              <w:tc>
                <w:tcPr>
                  <w:tcW w:w="556" w:type="pct"/>
                  <w:vAlign w:val="center"/>
                </w:tcPr>
                <w:p w14:paraId="1D4EB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0C4AF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北京普析</w:t>
                  </w:r>
                </w:p>
              </w:tc>
              <w:tc>
                <w:tcPr>
                  <w:tcW w:w="509" w:type="pct"/>
                  <w:vMerge w:val="continue"/>
                  <w:vAlign w:val="center"/>
                </w:tcPr>
                <w:p w14:paraId="70084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275B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C8082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w:t>
                  </w:r>
                </w:p>
              </w:tc>
              <w:tc>
                <w:tcPr>
                  <w:tcW w:w="1331" w:type="pct"/>
                  <w:vAlign w:val="center"/>
                </w:tcPr>
                <w:p w14:paraId="06582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无油空气压缩机</w:t>
                  </w:r>
                </w:p>
              </w:tc>
              <w:tc>
                <w:tcPr>
                  <w:tcW w:w="966" w:type="pct"/>
                  <w:vAlign w:val="center"/>
                </w:tcPr>
                <w:p w14:paraId="5A4764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AC-1Y</w:t>
                  </w:r>
                </w:p>
              </w:tc>
              <w:tc>
                <w:tcPr>
                  <w:tcW w:w="556" w:type="pct"/>
                  <w:vAlign w:val="center"/>
                </w:tcPr>
                <w:p w14:paraId="6BC90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6FB1E1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北京普析</w:t>
                  </w:r>
                </w:p>
              </w:tc>
              <w:tc>
                <w:tcPr>
                  <w:tcW w:w="509" w:type="pct"/>
                  <w:vMerge w:val="continue"/>
                  <w:vAlign w:val="center"/>
                </w:tcPr>
                <w:p w14:paraId="5FD1F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22B9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F60B6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w:t>
                  </w:r>
                </w:p>
              </w:tc>
              <w:tc>
                <w:tcPr>
                  <w:tcW w:w="1331" w:type="pct"/>
                  <w:vAlign w:val="center"/>
                </w:tcPr>
                <w:p w14:paraId="475D80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石墨炉电源</w:t>
                  </w:r>
                </w:p>
              </w:tc>
              <w:tc>
                <w:tcPr>
                  <w:tcW w:w="966" w:type="pct"/>
                  <w:vAlign w:val="center"/>
                </w:tcPr>
                <w:p w14:paraId="76357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GF-990</w:t>
                  </w:r>
                </w:p>
              </w:tc>
              <w:tc>
                <w:tcPr>
                  <w:tcW w:w="556" w:type="pct"/>
                  <w:vAlign w:val="center"/>
                </w:tcPr>
                <w:p w14:paraId="27EF38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3244B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北京普析</w:t>
                  </w:r>
                </w:p>
              </w:tc>
              <w:tc>
                <w:tcPr>
                  <w:tcW w:w="509" w:type="pct"/>
                  <w:vMerge w:val="continue"/>
                  <w:vAlign w:val="center"/>
                </w:tcPr>
                <w:p w14:paraId="1CB8F8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3B9A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8D5E5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w:t>
                  </w:r>
                </w:p>
              </w:tc>
              <w:tc>
                <w:tcPr>
                  <w:tcW w:w="1331" w:type="pct"/>
                  <w:vAlign w:val="center"/>
                </w:tcPr>
                <w:p w14:paraId="7D115E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冷却水循环机（恒温冷却液循环机）</w:t>
                  </w:r>
                </w:p>
              </w:tc>
              <w:tc>
                <w:tcPr>
                  <w:tcW w:w="966" w:type="pct"/>
                  <w:vAlign w:val="center"/>
                </w:tcPr>
                <w:p w14:paraId="6587A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AC1600-PS</w:t>
                  </w:r>
                </w:p>
              </w:tc>
              <w:tc>
                <w:tcPr>
                  <w:tcW w:w="556" w:type="pct"/>
                  <w:vAlign w:val="center"/>
                </w:tcPr>
                <w:p w14:paraId="1F660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324D6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北京同洲维普</w:t>
                  </w:r>
                </w:p>
              </w:tc>
              <w:tc>
                <w:tcPr>
                  <w:tcW w:w="509" w:type="pct"/>
                  <w:vMerge w:val="continue"/>
                  <w:vAlign w:val="center"/>
                </w:tcPr>
                <w:p w14:paraId="25A86B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0C0E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D0510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w:t>
                  </w:r>
                </w:p>
              </w:tc>
              <w:tc>
                <w:tcPr>
                  <w:tcW w:w="1331" w:type="pct"/>
                  <w:vAlign w:val="center"/>
                </w:tcPr>
                <w:p w14:paraId="41E3E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477E14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0C707B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1D2E4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3CB5D6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2D7BB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28DD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3305F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w:t>
                  </w:r>
                </w:p>
              </w:tc>
              <w:tc>
                <w:tcPr>
                  <w:tcW w:w="1331" w:type="pct"/>
                  <w:vAlign w:val="center"/>
                </w:tcPr>
                <w:p w14:paraId="1A7D2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电脑</w:t>
                  </w:r>
                </w:p>
              </w:tc>
              <w:tc>
                <w:tcPr>
                  <w:tcW w:w="966" w:type="pct"/>
                  <w:vAlign w:val="center"/>
                </w:tcPr>
                <w:p w14:paraId="7A1ABB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w:t>
                  </w:r>
                </w:p>
              </w:tc>
              <w:tc>
                <w:tcPr>
                  <w:tcW w:w="556" w:type="pct"/>
                  <w:vAlign w:val="center"/>
                </w:tcPr>
                <w:p w14:paraId="4EF68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2</w:t>
                  </w:r>
                </w:p>
              </w:tc>
              <w:tc>
                <w:tcPr>
                  <w:tcW w:w="1318" w:type="pct"/>
                  <w:vAlign w:val="center"/>
                </w:tcPr>
                <w:p w14:paraId="50519B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w:t>
                  </w:r>
                </w:p>
              </w:tc>
              <w:tc>
                <w:tcPr>
                  <w:tcW w:w="509" w:type="pct"/>
                  <w:vMerge w:val="continue"/>
                  <w:vAlign w:val="center"/>
                </w:tcPr>
                <w:p w14:paraId="3A2FC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2C91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C6EBA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eastAsia" w:ascii="Times New Roman" w:hAnsi="Times New Roman" w:cs="Times New Roman" w:eastAsiaTheme="minorEastAsia"/>
                      <w:color w:val="auto"/>
                      <w:sz w:val="18"/>
                      <w:szCs w:val="18"/>
                      <w:highlight w:val="none"/>
                      <w:lang w:val="en-US" w:eastAsia="zh-CN"/>
                    </w:rPr>
                    <w:t>8</w:t>
                  </w:r>
                </w:p>
              </w:tc>
              <w:tc>
                <w:tcPr>
                  <w:tcW w:w="1331" w:type="pct"/>
                  <w:vAlign w:val="center"/>
                </w:tcPr>
                <w:p w14:paraId="434B0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离子色谱仪</w:t>
                  </w:r>
                </w:p>
              </w:tc>
              <w:tc>
                <w:tcPr>
                  <w:tcW w:w="966" w:type="pct"/>
                  <w:vAlign w:val="center"/>
                </w:tcPr>
                <w:p w14:paraId="3B4500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CIC-D100</w:t>
                  </w:r>
                </w:p>
              </w:tc>
              <w:tc>
                <w:tcPr>
                  <w:tcW w:w="556" w:type="pct"/>
                  <w:vAlign w:val="center"/>
                </w:tcPr>
                <w:p w14:paraId="1DDE2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98A7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青岛圣翰</w:t>
                  </w:r>
                </w:p>
              </w:tc>
              <w:tc>
                <w:tcPr>
                  <w:tcW w:w="509" w:type="pct"/>
                  <w:vMerge w:val="restart"/>
                  <w:vAlign w:val="center"/>
                </w:tcPr>
                <w:p w14:paraId="0015FE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离子色谱室</w:t>
                  </w:r>
                </w:p>
              </w:tc>
            </w:tr>
            <w:tr w14:paraId="0DD2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56684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9</w:t>
                  </w:r>
                </w:p>
              </w:tc>
              <w:tc>
                <w:tcPr>
                  <w:tcW w:w="1331" w:type="pct"/>
                  <w:vAlign w:val="center"/>
                </w:tcPr>
                <w:p w14:paraId="49DC1D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754E14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04E4C3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1428E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780307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4B45B3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3E74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5901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10</w:t>
                  </w:r>
                </w:p>
              </w:tc>
              <w:tc>
                <w:tcPr>
                  <w:tcW w:w="1331" w:type="pct"/>
                  <w:vAlign w:val="center"/>
                </w:tcPr>
                <w:p w14:paraId="47301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台式电脑</w:t>
                  </w:r>
                </w:p>
              </w:tc>
              <w:tc>
                <w:tcPr>
                  <w:tcW w:w="966" w:type="pct"/>
                  <w:vAlign w:val="center"/>
                </w:tcPr>
                <w:p w14:paraId="44AA72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w:t>
                  </w:r>
                </w:p>
              </w:tc>
              <w:tc>
                <w:tcPr>
                  <w:tcW w:w="556" w:type="pct"/>
                  <w:vAlign w:val="center"/>
                </w:tcPr>
                <w:p w14:paraId="642D33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6CF6B4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w:t>
                  </w:r>
                </w:p>
              </w:tc>
              <w:tc>
                <w:tcPr>
                  <w:tcW w:w="509" w:type="pct"/>
                  <w:vMerge w:val="continue"/>
                  <w:vAlign w:val="center"/>
                </w:tcPr>
                <w:p w14:paraId="091C7D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245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B0AD2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11</w:t>
                  </w:r>
                </w:p>
              </w:tc>
              <w:tc>
                <w:tcPr>
                  <w:tcW w:w="1331" w:type="pct"/>
                  <w:vAlign w:val="center"/>
                </w:tcPr>
                <w:p w14:paraId="6B83FE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气相色谱仪（FID）</w:t>
                  </w:r>
                </w:p>
              </w:tc>
              <w:tc>
                <w:tcPr>
                  <w:tcW w:w="966" w:type="pct"/>
                  <w:vAlign w:val="center"/>
                </w:tcPr>
                <w:p w14:paraId="6B2C6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GC1690</w:t>
                  </w:r>
                </w:p>
              </w:tc>
              <w:tc>
                <w:tcPr>
                  <w:tcW w:w="556" w:type="pct"/>
                  <w:vAlign w:val="center"/>
                </w:tcPr>
                <w:p w14:paraId="284284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479AEB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杭州捷岛</w:t>
                  </w:r>
                </w:p>
              </w:tc>
              <w:tc>
                <w:tcPr>
                  <w:tcW w:w="509" w:type="pct"/>
                  <w:vMerge w:val="restart"/>
                  <w:vAlign w:val="center"/>
                </w:tcPr>
                <w:p w14:paraId="47F267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eastAsia" w:cs="Times New Roman" w:eastAsiaTheme="minorEastAsia"/>
                      <w:bCs/>
                      <w:color w:val="auto"/>
                      <w:sz w:val="18"/>
                      <w:szCs w:val="18"/>
                      <w:highlight w:val="none"/>
                      <w:lang w:eastAsia="zh-CN"/>
                    </w:rPr>
                    <w:t>气相色谱</w:t>
                  </w:r>
                  <w:r>
                    <w:rPr>
                      <w:rFonts w:hint="default" w:ascii="Times New Roman" w:hAnsi="Times New Roman" w:cs="Times New Roman" w:eastAsiaTheme="minorEastAsia"/>
                      <w:bCs/>
                      <w:color w:val="auto"/>
                      <w:sz w:val="18"/>
                      <w:szCs w:val="18"/>
                      <w:highlight w:val="none"/>
                    </w:rPr>
                    <w:t>室</w:t>
                  </w:r>
                </w:p>
              </w:tc>
            </w:tr>
            <w:tr w14:paraId="22CA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D09B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12</w:t>
                  </w:r>
                </w:p>
              </w:tc>
              <w:tc>
                <w:tcPr>
                  <w:tcW w:w="1331" w:type="pct"/>
                  <w:vAlign w:val="center"/>
                </w:tcPr>
                <w:p w14:paraId="38619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氢气发生器</w:t>
                  </w:r>
                </w:p>
              </w:tc>
              <w:tc>
                <w:tcPr>
                  <w:tcW w:w="966" w:type="pct"/>
                  <w:vAlign w:val="center"/>
                </w:tcPr>
                <w:p w14:paraId="2B72D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SGH-300A</w:t>
                  </w:r>
                </w:p>
              </w:tc>
              <w:tc>
                <w:tcPr>
                  <w:tcW w:w="556" w:type="pct"/>
                  <w:vAlign w:val="center"/>
                </w:tcPr>
                <w:p w14:paraId="59859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66C449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杭州捷岛</w:t>
                  </w:r>
                </w:p>
              </w:tc>
              <w:tc>
                <w:tcPr>
                  <w:tcW w:w="509" w:type="pct"/>
                  <w:vMerge w:val="continue"/>
                  <w:vAlign w:val="center"/>
                </w:tcPr>
                <w:p w14:paraId="6D93DC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780A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0875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13</w:t>
                  </w:r>
                </w:p>
              </w:tc>
              <w:tc>
                <w:tcPr>
                  <w:tcW w:w="1331" w:type="pct"/>
                  <w:vAlign w:val="center"/>
                </w:tcPr>
                <w:p w14:paraId="1FB8E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气相色谱仪</w:t>
                  </w:r>
                </w:p>
              </w:tc>
              <w:tc>
                <w:tcPr>
                  <w:tcW w:w="966" w:type="pct"/>
                  <w:vAlign w:val="center"/>
                </w:tcPr>
                <w:p w14:paraId="1EBDB4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GC9790Plus</w:t>
                  </w:r>
                </w:p>
              </w:tc>
              <w:tc>
                <w:tcPr>
                  <w:tcW w:w="556" w:type="pct"/>
                  <w:vAlign w:val="center"/>
                </w:tcPr>
                <w:p w14:paraId="43FC9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389D7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浙江福立</w:t>
                  </w:r>
                </w:p>
              </w:tc>
              <w:tc>
                <w:tcPr>
                  <w:tcW w:w="509" w:type="pct"/>
                  <w:vMerge w:val="continue"/>
                  <w:vAlign w:val="center"/>
                </w:tcPr>
                <w:p w14:paraId="667FDB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51E5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5F79B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14</w:t>
                  </w:r>
                </w:p>
              </w:tc>
              <w:tc>
                <w:tcPr>
                  <w:tcW w:w="1331" w:type="pct"/>
                  <w:vAlign w:val="center"/>
                </w:tcPr>
                <w:p w14:paraId="14856F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气体净化器</w:t>
                  </w:r>
                </w:p>
              </w:tc>
              <w:tc>
                <w:tcPr>
                  <w:tcW w:w="966" w:type="pct"/>
                  <w:vAlign w:val="center"/>
                </w:tcPr>
                <w:p w14:paraId="1BE73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GPI-2</w:t>
                  </w:r>
                </w:p>
              </w:tc>
              <w:tc>
                <w:tcPr>
                  <w:tcW w:w="556" w:type="pct"/>
                  <w:vAlign w:val="center"/>
                </w:tcPr>
                <w:p w14:paraId="5D62E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6B9B84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浙江福立</w:t>
                  </w:r>
                </w:p>
              </w:tc>
              <w:tc>
                <w:tcPr>
                  <w:tcW w:w="509" w:type="pct"/>
                  <w:vMerge w:val="continue"/>
                  <w:vAlign w:val="center"/>
                </w:tcPr>
                <w:p w14:paraId="7B7CAC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5B9C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E380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15</w:t>
                  </w:r>
                </w:p>
              </w:tc>
              <w:tc>
                <w:tcPr>
                  <w:tcW w:w="1331" w:type="pct"/>
                  <w:vAlign w:val="center"/>
                </w:tcPr>
                <w:p w14:paraId="5EAD4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氢空一体发生器</w:t>
                  </w:r>
                </w:p>
              </w:tc>
              <w:tc>
                <w:tcPr>
                  <w:tcW w:w="966" w:type="pct"/>
                  <w:vAlign w:val="center"/>
                </w:tcPr>
                <w:p w14:paraId="4AF7C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PHA-300</w:t>
                  </w:r>
                </w:p>
              </w:tc>
              <w:tc>
                <w:tcPr>
                  <w:tcW w:w="556" w:type="pct"/>
                  <w:vAlign w:val="center"/>
                </w:tcPr>
                <w:p w14:paraId="719035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5785AB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北京谱莱析</w:t>
                  </w:r>
                </w:p>
              </w:tc>
              <w:tc>
                <w:tcPr>
                  <w:tcW w:w="509" w:type="pct"/>
                  <w:vMerge w:val="continue"/>
                  <w:vAlign w:val="center"/>
                </w:tcPr>
                <w:p w14:paraId="58A35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1ED9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49737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16</w:t>
                  </w:r>
                </w:p>
              </w:tc>
              <w:tc>
                <w:tcPr>
                  <w:tcW w:w="1331" w:type="pct"/>
                  <w:vAlign w:val="center"/>
                </w:tcPr>
                <w:p w14:paraId="20403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全自动热解吸仪</w:t>
                  </w:r>
                </w:p>
              </w:tc>
              <w:tc>
                <w:tcPr>
                  <w:tcW w:w="966" w:type="pct"/>
                  <w:vAlign w:val="center"/>
                </w:tcPr>
                <w:p w14:paraId="601B3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ATDS-20A</w:t>
                  </w:r>
                </w:p>
              </w:tc>
              <w:tc>
                <w:tcPr>
                  <w:tcW w:w="556" w:type="pct"/>
                  <w:vAlign w:val="center"/>
                </w:tcPr>
                <w:p w14:paraId="15DD34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39211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北京中仪宇盛</w:t>
                  </w:r>
                </w:p>
              </w:tc>
              <w:tc>
                <w:tcPr>
                  <w:tcW w:w="509" w:type="pct"/>
                  <w:vMerge w:val="continue"/>
                  <w:vAlign w:val="center"/>
                </w:tcPr>
                <w:p w14:paraId="49AA1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5806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6B9B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17</w:t>
                  </w:r>
                </w:p>
              </w:tc>
              <w:tc>
                <w:tcPr>
                  <w:tcW w:w="1331" w:type="pct"/>
                  <w:vAlign w:val="center"/>
                </w:tcPr>
                <w:p w14:paraId="52485A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7B414C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4E9AFB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7B4563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5C1A36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63ECC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2F26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347A9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18</w:t>
                  </w:r>
                </w:p>
              </w:tc>
              <w:tc>
                <w:tcPr>
                  <w:tcW w:w="1331" w:type="pct"/>
                  <w:vAlign w:val="center"/>
                </w:tcPr>
                <w:p w14:paraId="773FB2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电脑</w:t>
                  </w:r>
                </w:p>
              </w:tc>
              <w:tc>
                <w:tcPr>
                  <w:tcW w:w="966" w:type="pct"/>
                  <w:vAlign w:val="center"/>
                </w:tcPr>
                <w:p w14:paraId="1D4218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w:t>
                  </w:r>
                </w:p>
              </w:tc>
              <w:tc>
                <w:tcPr>
                  <w:tcW w:w="556" w:type="pct"/>
                  <w:vAlign w:val="center"/>
                </w:tcPr>
                <w:p w14:paraId="765938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061E27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w:t>
                  </w:r>
                </w:p>
              </w:tc>
              <w:tc>
                <w:tcPr>
                  <w:tcW w:w="509" w:type="pct"/>
                  <w:vMerge w:val="continue"/>
                  <w:vAlign w:val="center"/>
                </w:tcPr>
                <w:p w14:paraId="40CA2B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4EAC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F7986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19</w:t>
                  </w:r>
                </w:p>
              </w:tc>
              <w:tc>
                <w:tcPr>
                  <w:tcW w:w="1331" w:type="pct"/>
                  <w:vAlign w:val="center"/>
                </w:tcPr>
                <w:p w14:paraId="2FA93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红外分光测油仪</w:t>
                  </w:r>
                </w:p>
              </w:tc>
              <w:tc>
                <w:tcPr>
                  <w:tcW w:w="966" w:type="pct"/>
                  <w:vAlign w:val="center"/>
                </w:tcPr>
                <w:p w14:paraId="4E9BC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OIL460</w:t>
                  </w:r>
                </w:p>
              </w:tc>
              <w:tc>
                <w:tcPr>
                  <w:tcW w:w="556" w:type="pct"/>
                  <w:vAlign w:val="center"/>
                </w:tcPr>
                <w:p w14:paraId="3576C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DEC74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浙江谱创</w:t>
                  </w:r>
                </w:p>
              </w:tc>
              <w:tc>
                <w:tcPr>
                  <w:tcW w:w="509" w:type="pct"/>
                  <w:vMerge w:val="restart"/>
                  <w:vAlign w:val="center"/>
                </w:tcPr>
                <w:p w14:paraId="055023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比色室</w:t>
                  </w:r>
                </w:p>
              </w:tc>
            </w:tr>
            <w:tr w14:paraId="7EEB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BDC7B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20</w:t>
                  </w:r>
                </w:p>
              </w:tc>
              <w:tc>
                <w:tcPr>
                  <w:tcW w:w="1331" w:type="pct"/>
                  <w:vAlign w:val="center"/>
                </w:tcPr>
                <w:p w14:paraId="34C5A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数控超声波清洗器</w:t>
                  </w:r>
                </w:p>
              </w:tc>
              <w:tc>
                <w:tcPr>
                  <w:tcW w:w="966" w:type="pct"/>
                  <w:vAlign w:val="center"/>
                </w:tcPr>
                <w:p w14:paraId="4D72C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KQ-100DA</w:t>
                  </w:r>
                </w:p>
              </w:tc>
              <w:tc>
                <w:tcPr>
                  <w:tcW w:w="556" w:type="pct"/>
                  <w:vAlign w:val="center"/>
                </w:tcPr>
                <w:p w14:paraId="49CB15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0621F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昆山市超声仪器有限公司</w:t>
                  </w:r>
                </w:p>
              </w:tc>
              <w:tc>
                <w:tcPr>
                  <w:tcW w:w="509" w:type="pct"/>
                  <w:vMerge w:val="continue"/>
                  <w:vAlign w:val="center"/>
                </w:tcPr>
                <w:p w14:paraId="44435B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25A7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262F8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21</w:t>
                  </w:r>
                </w:p>
              </w:tc>
              <w:tc>
                <w:tcPr>
                  <w:tcW w:w="1331" w:type="pct"/>
                  <w:vAlign w:val="center"/>
                </w:tcPr>
                <w:p w14:paraId="31D9F7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隔膜真空泵</w:t>
                  </w:r>
                </w:p>
              </w:tc>
              <w:tc>
                <w:tcPr>
                  <w:tcW w:w="966" w:type="pct"/>
                  <w:vAlign w:val="center"/>
                </w:tcPr>
                <w:p w14:paraId="3A908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GM-0.5A</w:t>
                  </w:r>
                </w:p>
              </w:tc>
              <w:tc>
                <w:tcPr>
                  <w:tcW w:w="556" w:type="pct"/>
                  <w:vAlign w:val="center"/>
                </w:tcPr>
                <w:p w14:paraId="63ED42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6934E9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津腾</w:t>
                  </w:r>
                </w:p>
              </w:tc>
              <w:tc>
                <w:tcPr>
                  <w:tcW w:w="509" w:type="pct"/>
                  <w:vMerge w:val="continue"/>
                  <w:vAlign w:val="center"/>
                </w:tcPr>
                <w:p w14:paraId="014C43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189F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0EEAC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22</w:t>
                  </w:r>
                </w:p>
              </w:tc>
              <w:tc>
                <w:tcPr>
                  <w:tcW w:w="1331" w:type="pct"/>
                  <w:vAlign w:val="center"/>
                </w:tcPr>
                <w:p w14:paraId="03D84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高精度全自动交流稳压器</w:t>
                  </w:r>
                </w:p>
              </w:tc>
              <w:tc>
                <w:tcPr>
                  <w:tcW w:w="966" w:type="pct"/>
                  <w:vAlign w:val="center"/>
                </w:tcPr>
                <w:p w14:paraId="32F89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TND-3000VA</w:t>
                  </w:r>
                </w:p>
              </w:tc>
              <w:tc>
                <w:tcPr>
                  <w:tcW w:w="556" w:type="pct"/>
                  <w:vAlign w:val="center"/>
                </w:tcPr>
                <w:p w14:paraId="297DA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23FE51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浙江德力西</w:t>
                  </w:r>
                </w:p>
              </w:tc>
              <w:tc>
                <w:tcPr>
                  <w:tcW w:w="509" w:type="pct"/>
                  <w:vMerge w:val="continue"/>
                  <w:vAlign w:val="center"/>
                </w:tcPr>
                <w:p w14:paraId="1965D8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660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A1652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23</w:t>
                  </w:r>
                </w:p>
              </w:tc>
              <w:tc>
                <w:tcPr>
                  <w:tcW w:w="1331" w:type="pct"/>
                  <w:vAlign w:val="center"/>
                </w:tcPr>
                <w:p w14:paraId="65746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416DD8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17E342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38874A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1</w:t>
                  </w:r>
                </w:p>
              </w:tc>
              <w:tc>
                <w:tcPr>
                  <w:tcW w:w="1318" w:type="pct"/>
                  <w:vAlign w:val="center"/>
                </w:tcPr>
                <w:p w14:paraId="1829DA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126992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1AA9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7427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24</w:t>
                  </w:r>
                </w:p>
              </w:tc>
              <w:tc>
                <w:tcPr>
                  <w:tcW w:w="1331" w:type="pct"/>
                  <w:vAlign w:val="center"/>
                </w:tcPr>
                <w:p w14:paraId="08E1F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紫外、可见分光光度计</w:t>
                  </w:r>
                </w:p>
              </w:tc>
              <w:tc>
                <w:tcPr>
                  <w:tcW w:w="966" w:type="pct"/>
                  <w:vAlign w:val="center"/>
                </w:tcPr>
                <w:p w14:paraId="14BA7A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752</w:t>
                  </w:r>
                </w:p>
              </w:tc>
              <w:tc>
                <w:tcPr>
                  <w:tcW w:w="556" w:type="pct"/>
                  <w:vAlign w:val="center"/>
                </w:tcPr>
                <w:p w14:paraId="49AAB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cs="Times New Roman" w:eastAsiaTheme="minorEastAsia"/>
                      <w:bCs/>
                      <w:color w:val="auto"/>
                      <w:sz w:val="18"/>
                      <w:szCs w:val="18"/>
                      <w:highlight w:val="none"/>
                      <w:lang w:val="en-US" w:eastAsia="zh-CN"/>
                    </w:rPr>
                  </w:pPr>
                </w:p>
              </w:tc>
              <w:tc>
                <w:tcPr>
                  <w:tcW w:w="1318" w:type="pct"/>
                  <w:vAlign w:val="center"/>
                </w:tcPr>
                <w:p w14:paraId="174D27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上海舜宇恒平</w:t>
                  </w:r>
                </w:p>
              </w:tc>
              <w:tc>
                <w:tcPr>
                  <w:tcW w:w="509" w:type="pct"/>
                  <w:vMerge w:val="continue"/>
                  <w:vAlign w:val="center"/>
                </w:tcPr>
                <w:p w14:paraId="5AC030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518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F6194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25</w:t>
                  </w:r>
                </w:p>
              </w:tc>
              <w:tc>
                <w:tcPr>
                  <w:tcW w:w="1331" w:type="pct"/>
                  <w:vAlign w:val="center"/>
                </w:tcPr>
                <w:p w14:paraId="262B1A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通风橱</w:t>
                  </w:r>
                </w:p>
              </w:tc>
              <w:tc>
                <w:tcPr>
                  <w:tcW w:w="966" w:type="pct"/>
                  <w:vAlign w:val="center"/>
                </w:tcPr>
                <w:p w14:paraId="67EE57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0150DA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57E55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w:t>
                  </w:r>
                </w:p>
              </w:tc>
              <w:tc>
                <w:tcPr>
                  <w:tcW w:w="509" w:type="pct"/>
                  <w:vMerge w:val="continue"/>
                  <w:vAlign w:val="center"/>
                </w:tcPr>
                <w:p w14:paraId="77C842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C7B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C566D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26</w:t>
                  </w:r>
                </w:p>
              </w:tc>
              <w:tc>
                <w:tcPr>
                  <w:tcW w:w="1331" w:type="pct"/>
                  <w:vAlign w:val="center"/>
                </w:tcPr>
                <w:p w14:paraId="68252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电子分析天平0.0001g</w:t>
                  </w:r>
                </w:p>
              </w:tc>
              <w:tc>
                <w:tcPr>
                  <w:tcW w:w="966" w:type="pct"/>
                  <w:vAlign w:val="center"/>
                </w:tcPr>
                <w:p w14:paraId="08197B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ES1035B</w:t>
                  </w:r>
                </w:p>
              </w:tc>
              <w:tc>
                <w:tcPr>
                  <w:tcW w:w="556" w:type="pct"/>
                  <w:vAlign w:val="center"/>
                </w:tcPr>
                <w:p w14:paraId="1B15D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AFB00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天津德安特</w:t>
                  </w:r>
                </w:p>
              </w:tc>
              <w:tc>
                <w:tcPr>
                  <w:tcW w:w="509" w:type="pct"/>
                  <w:vMerge w:val="restart"/>
                  <w:vAlign w:val="center"/>
                </w:tcPr>
                <w:p w14:paraId="14A20B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天平室</w:t>
                  </w:r>
                </w:p>
              </w:tc>
            </w:tr>
            <w:tr w14:paraId="33B2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16348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27</w:t>
                  </w:r>
                </w:p>
              </w:tc>
              <w:tc>
                <w:tcPr>
                  <w:tcW w:w="1331" w:type="pct"/>
                  <w:vAlign w:val="center"/>
                </w:tcPr>
                <w:p w14:paraId="197625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电子分析天平0.001g</w:t>
                  </w:r>
                </w:p>
              </w:tc>
              <w:tc>
                <w:tcPr>
                  <w:tcW w:w="966" w:type="pct"/>
                  <w:vAlign w:val="center"/>
                </w:tcPr>
                <w:p w14:paraId="5FCB0B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JA2003</w:t>
                  </w:r>
                </w:p>
              </w:tc>
              <w:tc>
                <w:tcPr>
                  <w:tcW w:w="556" w:type="pct"/>
                  <w:vAlign w:val="center"/>
                </w:tcPr>
                <w:p w14:paraId="77DC2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4CE0E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上海舜宇恒平</w:t>
                  </w:r>
                </w:p>
              </w:tc>
              <w:tc>
                <w:tcPr>
                  <w:tcW w:w="509" w:type="pct"/>
                  <w:vMerge w:val="continue"/>
                  <w:vAlign w:val="center"/>
                </w:tcPr>
                <w:p w14:paraId="675615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CDC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D840D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28</w:t>
                  </w:r>
                </w:p>
              </w:tc>
              <w:tc>
                <w:tcPr>
                  <w:tcW w:w="1331" w:type="pct"/>
                  <w:vAlign w:val="center"/>
                </w:tcPr>
                <w:p w14:paraId="6B935A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恒温恒湿称重系统</w:t>
                  </w:r>
                </w:p>
              </w:tc>
              <w:tc>
                <w:tcPr>
                  <w:tcW w:w="966" w:type="pct"/>
                  <w:vAlign w:val="center"/>
                </w:tcPr>
                <w:p w14:paraId="3B2887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LB-350N</w:t>
                  </w:r>
                </w:p>
              </w:tc>
              <w:tc>
                <w:tcPr>
                  <w:tcW w:w="556" w:type="pct"/>
                  <w:vAlign w:val="center"/>
                </w:tcPr>
                <w:p w14:paraId="0BA1B1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E4030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青岛路博建业</w:t>
                  </w:r>
                </w:p>
              </w:tc>
              <w:tc>
                <w:tcPr>
                  <w:tcW w:w="509" w:type="pct"/>
                  <w:vMerge w:val="continue"/>
                  <w:vAlign w:val="center"/>
                </w:tcPr>
                <w:p w14:paraId="5ADEE5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17EB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88AD7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29</w:t>
                  </w:r>
                </w:p>
              </w:tc>
              <w:tc>
                <w:tcPr>
                  <w:tcW w:w="1331" w:type="pct"/>
                  <w:vAlign w:val="center"/>
                </w:tcPr>
                <w:p w14:paraId="5E843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超声波加湿器</w:t>
                  </w:r>
                </w:p>
              </w:tc>
              <w:tc>
                <w:tcPr>
                  <w:tcW w:w="966" w:type="pct"/>
                  <w:vAlign w:val="center"/>
                </w:tcPr>
                <w:p w14:paraId="42DF0E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DY</w:t>
                  </w:r>
                </w:p>
              </w:tc>
              <w:tc>
                <w:tcPr>
                  <w:tcW w:w="556" w:type="pct"/>
                  <w:vAlign w:val="center"/>
                </w:tcPr>
                <w:p w14:paraId="3BD96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E7B3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上海奔腾</w:t>
                  </w:r>
                </w:p>
              </w:tc>
              <w:tc>
                <w:tcPr>
                  <w:tcW w:w="509" w:type="pct"/>
                  <w:vMerge w:val="continue"/>
                  <w:vAlign w:val="center"/>
                </w:tcPr>
                <w:p w14:paraId="1FA0F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684F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839B7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30</w:t>
                  </w:r>
                </w:p>
              </w:tc>
              <w:tc>
                <w:tcPr>
                  <w:tcW w:w="1331" w:type="pct"/>
                  <w:vAlign w:val="center"/>
                </w:tcPr>
                <w:p w14:paraId="40B8C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十万分之一电子天平</w:t>
                  </w:r>
                </w:p>
              </w:tc>
              <w:tc>
                <w:tcPr>
                  <w:tcW w:w="966" w:type="pct"/>
                  <w:vAlign w:val="center"/>
                </w:tcPr>
                <w:p w14:paraId="7C21D3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FB1055</w:t>
                  </w:r>
                </w:p>
              </w:tc>
              <w:tc>
                <w:tcPr>
                  <w:tcW w:w="556" w:type="pct"/>
                  <w:vAlign w:val="center"/>
                </w:tcPr>
                <w:p w14:paraId="0319F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536B9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上海舜宇恒平</w:t>
                  </w:r>
                </w:p>
              </w:tc>
              <w:tc>
                <w:tcPr>
                  <w:tcW w:w="509" w:type="pct"/>
                  <w:vMerge w:val="continue"/>
                  <w:vAlign w:val="center"/>
                </w:tcPr>
                <w:p w14:paraId="03E967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0A55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372EC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31</w:t>
                  </w:r>
                </w:p>
              </w:tc>
              <w:tc>
                <w:tcPr>
                  <w:tcW w:w="1331" w:type="pct"/>
                  <w:vAlign w:val="center"/>
                </w:tcPr>
                <w:p w14:paraId="747ED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除湿机</w:t>
                  </w:r>
                </w:p>
              </w:tc>
              <w:tc>
                <w:tcPr>
                  <w:tcW w:w="966" w:type="pct"/>
                  <w:vAlign w:val="center"/>
                </w:tcPr>
                <w:p w14:paraId="5BA4D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DH62</w:t>
                  </w:r>
                </w:p>
              </w:tc>
              <w:tc>
                <w:tcPr>
                  <w:tcW w:w="556" w:type="pct"/>
                  <w:vAlign w:val="center"/>
                </w:tcPr>
                <w:p w14:paraId="589C7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0B7BA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杭州松京</w:t>
                  </w:r>
                </w:p>
              </w:tc>
              <w:tc>
                <w:tcPr>
                  <w:tcW w:w="509" w:type="pct"/>
                  <w:vMerge w:val="continue"/>
                  <w:vAlign w:val="center"/>
                </w:tcPr>
                <w:p w14:paraId="09BFD9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6EE2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B820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32</w:t>
                  </w:r>
                </w:p>
              </w:tc>
              <w:tc>
                <w:tcPr>
                  <w:tcW w:w="1331" w:type="pct"/>
                  <w:vAlign w:val="center"/>
                </w:tcPr>
                <w:p w14:paraId="128752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719F7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3F9F76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5F0BBC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D4EC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128BEC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499B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606F2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33</w:t>
                  </w:r>
                </w:p>
              </w:tc>
              <w:tc>
                <w:tcPr>
                  <w:tcW w:w="1331" w:type="pct"/>
                  <w:vAlign w:val="center"/>
                </w:tcPr>
                <w:p w14:paraId="0F5945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pH计（酸度计）</w:t>
                  </w:r>
                </w:p>
              </w:tc>
              <w:tc>
                <w:tcPr>
                  <w:tcW w:w="966" w:type="pct"/>
                  <w:vAlign w:val="center"/>
                </w:tcPr>
                <w:p w14:paraId="22037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PHS-25</w:t>
                  </w:r>
                </w:p>
              </w:tc>
              <w:tc>
                <w:tcPr>
                  <w:tcW w:w="556" w:type="pct"/>
                  <w:vAlign w:val="center"/>
                </w:tcPr>
                <w:p w14:paraId="0F2C5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5F93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上海晶磁</w:t>
                  </w:r>
                </w:p>
              </w:tc>
              <w:tc>
                <w:tcPr>
                  <w:tcW w:w="509" w:type="pct"/>
                  <w:vMerge w:val="restart"/>
                  <w:vAlign w:val="center"/>
                </w:tcPr>
                <w:p w14:paraId="554E42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eastAsia" w:cs="Times New Roman" w:eastAsiaTheme="minorEastAsia"/>
                      <w:bCs/>
                      <w:color w:val="auto"/>
                      <w:sz w:val="18"/>
                      <w:szCs w:val="18"/>
                      <w:highlight w:val="none"/>
                      <w:lang w:val="en-US" w:eastAsia="zh-CN"/>
                    </w:rPr>
                    <w:t>分析室</w:t>
                  </w:r>
                </w:p>
              </w:tc>
            </w:tr>
            <w:tr w14:paraId="1643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700C3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34</w:t>
                  </w:r>
                </w:p>
              </w:tc>
              <w:tc>
                <w:tcPr>
                  <w:tcW w:w="1331" w:type="pct"/>
                  <w:vAlign w:val="center"/>
                </w:tcPr>
                <w:p w14:paraId="4F55A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pH计（酸度计）</w:t>
                  </w:r>
                </w:p>
              </w:tc>
              <w:tc>
                <w:tcPr>
                  <w:tcW w:w="966" w:type="pct"/>
                  <w:vAlign w:val="center"/>
                </w:tcPr>
                <w:p w14:paraId="5C0ABD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PHSJ-5</w:t>
                  </w:r>
                </w:p>
              </w:tc>
              <w:tc>
                <w:tcPr>
                  <w:tcW w:w="556" w:type="pct"/>
                  <w:vAlign w:val="center"/>
                </w:tcPr>
                <w:p w14:paraId="321A4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Merge w:val="restart"/>
                  <w:vAlign w:val="center"/>
                </w:tcPr>
                <w:p w14:paraId="32F324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上海精密科学仪器有限公司</w:t>
                  </w:r>
                </w:p>
              </w:tc>
              <w:tc>
                <w:tcPr>
                  <w:tcW w:w="509" w:type="pct"/>
                  <w:vMerge w:val="continue"/>
                  <w:vAlign w:val="center"/>
                </w:tcPr>
                <w:p w14:paraId="62C24B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562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083C6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35</w:t>
                  </w:r>
                </w:p>
              </w:tc>
              <w:tc>
                <w:tcPr>
                  <w:tcW w:w="1331" w:type="pct"/>
                  <w:vAlign w:val="center"/>
                </w:tcPr>
                <w:p w14:paraId="153AD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电导率仪</w:t>
                  </w:r>
                </w:p>
              </w:tc>
              <w:tc>
                <w:tcPr>
                  <w:tcW w:w="966" w:type="pct"/>
                  <w:vAlign w:val="center"/>
                </w:tcPr>
                <w:p w14:paraId="48531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DDS-307A</w:t>
                  </w:r>
                </w:p>
              </w:tc>
              <w:tc>
                <w:tcPr>
                  <w:tcW w:w="556" w:type="pct"/>
                  <w:vAlign w:val="center"/>
                </w:tcPr>
                <w:p w14:paraId="2775B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Merge w:val="continue"/>
                  <w:vAlign w:val="center"/>
                </w:tcPr>
                <w:p w14:paraId="64FA3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c>
                <w:tcPr>
                  <w:tcW w:w="509" w:type="pct"/>
                  <w:vMerge w:val="continue"/>
                  <w:vAlign w:val="center"/>
                </w:tcPr>
                <w:p w14:paraId="1108A8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60B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25AB9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36</w:t>
                  </w:r>
                </w:p>
              </w:tc>
              <w:tc>
                <w:tcPr>
                  <w:tcW w:w="1331" w:type="pct"/>
                  <w:vAlign w:val="center"/>
                </w:tcPr>
                <w:p w14:paraId="629D24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电导率仪</w:t>
                  </w:r>
                </w:p>
              </w:tc>
              <w:tc>
                <w:tcPr>
                  <w:tcW w:w="966" w:type="pct"/>
                  <w:vAlign w:val="center"/>
                </w:tcPr>
                <w:p w14:paraId="63B81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DDSJ308A</w:t>
                  </w:r>
                </w:p>
              </w:tc>
              <w:tc>
                <w:tcPr>
                  <w:tcW w:w="556" w:type="pct"/>
                  <w:vAlign w:val="center"/>
                </w:tcPr>
                <w:p w14:paraId="77457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Merge w:val="continue"/>
                  <w:vAlign w:val="center"/>
                </w:tcPr>
                <w:p w14:paraId="52D29C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c>
                <w:tcPr>
                  <w:tcW w:w="509" w:type="pct"/>
                  <w:vMerge w:val="continue"/>
                  <w:vAlign w:val="center"/>
                </w:tcPr>
                <w:p w14:paraId="72D6CE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588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6BF55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37</w:t>
                  </w:r>
                </w:p>
              </w:tc>
              <w:tc>
                <w:tcPr>
                  <w:tcW w:w="1331" w:type="pct"/>
                  <w:vAlign w:val="center"/>
                </w:tcPr>
                <w:p w14:paraId="3D4D24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标准COD消解仪</w:t>
                  </w:r>
                </w:p>
              </w:tc>
              <w:tc>
                <w:tcPr>
                  <w:tcW w:w="966" w:type="pct"/>
                  <w:vAlign w:val="center"/>
                </w:tcPr>
                <w:p w14:paraId="76C30B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HCA-100</w:t>
                  </w:r>
                </w:p>
              </w:tc>
              <w:tc>
                <w:tcPr>
                  <w:tcW w:w="556" w:type="pct"/>
                  <w:vAlign w:val="center"/>
                </w:tcPr>
                <w:p w14:paraId="78BEB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54CC5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姜堰市科信</w:t>
                  </w:r>
                </w:p>
              </w:tc>
              <w:tc>
                <w:tcPr>
                  <w:tcW w:w="509" w:type="pct"/>
                  <w:vMerge w:val="continue"/>
                  <w:vAlign w:val="center"/>
                </w:tcPr>
                <w:p w14:paraId="79445E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E0F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147B2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38</w:t>
                  </w:r>
                </w:p>
              </w:tc>
              <w:tc>
                <w:tcPr>
                  <w:tcW w:w="1331" w:type="pct"/>
                  <w:vAlign w:val="center"/>
                </w:tcPr>
                <w:p w14:paraId="47D30C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手提式蒸汽灭菌器</w:t>
                  </w:r>
                </w:p>
              </w:tc>
              <w:tc>
                <w:tcPr>
                  <w:tcW w:w="966" w:type="pct"/>
                  <w:vAlign w:val="center"/>
                </w:tcPr>
                <w:p w14:paraId="25B92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YX280</w:t>
                  </w:r>
                </w:p>
              </w:tc>
              <w:tc>
                <w:tcPr>
                  <w:tcW w:w="556" w:type="pct"/>
                  <w:vAlign w:val="center"/>
                </w:tcPr>
                <w:p w14:paraId="74292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87820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上海三申</w:t>
                  </w:r>
                </w:p>
              </w:tc>
              <w:tc>
                <w:tcPr>
                  <w:tcW w:w="509" w:type="pct"/>
                  <w:vMerge w:val="continue"/>
                  <w:vAlign w:val="center"/>
                </w:tcPr>
                <w:p w14:paraId="211D2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4F9F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9643A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39</w:t>
                  </w:r>
                </w:p>
              </w:tc>
              <w:tc>
                <w:tcPr>
                  <w:tcW w:w="1331" w:type="pct"/>
                  <w:vAlign w:val="center"/>
                </w:tcPr>
                <w:p w14:paraId="046AF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磁力搅拌器</w:t>
                  </w:r>
                </w:p>
              </w:tc>
              <w:tc>
                <w:tcPr>
                  <w:tcW w:w="966" w:type="pct"/>
                  <w:vAlign w:val="center"/>
                </w:tcPr>
                <w:p w14:paraId="0A53BE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HJ-1</w:t>
                  </w:r>
                </w:p>
              </w:tc>
              <w:tc>
                <w:tcPr>
                  <w:tcW w:w="556" w:type="pct"/>
                  <w:vAlign w:val="center"/>
                </w:tcPr>
                <w:p w14:paraId="6A82E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590F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常州越新</w:t>
                  </w:r>
                </w:p>
              </w:tc>
              <w:tc>
                <w:tcPr>
                  <w:tcW w:w="509" w:type="pct"/>
                  <w:vMerge w:val="continue"/>
                  <w:vAlign w:val="center"/>
                </w:tcPr>
                <w:p w14:paraId="76CE5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2B7D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1CFBC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40</w:t>
                  </w:r>
                </w:p>
              </w:tc>
              <w:tc>
                <w:tcPr>
                  <w:tcW w:w="1331" w:type="pct"/>
                  <w:vAlign w:val="center"/>
                </w:tcPr>
                <w:p w14:paraId="7868A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多头恒温磁力加热搅拌器</w:t>
                  </w:r>
                </w:p>
              </w:tc>
              <w:tc>
                <w:tcPr>
                  <w:tcW w:w="966" w:type="pct"/>
                  <w:vAlign w:val="center"/>
                </w:tcPr>
                <w:p w14:paraId="113F3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HJ-6A</w:t>
                  </w:r>
                </w:p>
              </w:tc>
              <w:tc>
                <w:tcPr>
                  <w:tcW w:w="556" w:type="pct"/>
                  <w:vAlign w:val="center"/>
                </w:tcPr>
                <w:p w14:paraId="01BAF6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FA8B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金坛区西城新瑞</w:t>
                  </w:r>
                </w:p>
              </w:tc>
              <w:tc>
                <w:tcPr>
                  <w:tcW w:w="509" w:type="pct"/>
                  <w:vMerge w:val="continue"/>
                  <w:vAlign w:val="center"/>
                </w:tcPr>
                <w:p w14:paraId="66F6E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68E0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B3F91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41</w:t>
                  </w:r>
                </w:p>
              </w:tc>
              <w:tc>
                <w:tcPr>
                  <w:tcW w:w="1331" w:type="pct"/>
                  <w:vAlign w:val="center"/>
                </w:tcPr>
                <w:p w14:paraId="133F8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数显不锈钢电热板</w:t>
                  </w:r>
                </w:p>
              </w:tc>
              <w:tc>
                <w:tcPr>
                  <w:tcW w:w="966" w:type="pct"/>
                  <w:vAlign w:val="center"/>
                </w:tcPr>
                <w:p w14:paraId="50CAAE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DB-1A</w:t>
                  </w:r>
                </w:p>
              </w:tc>
              <w:tc>
                <w:tcPr>
                  <w:tcW w:w="556" w:type="pct"/>
                  <w:vAlign w:val="center"/>
                </w:tcPr>
                <w:p w14:paraId="08E2F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0FD3E9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常州国宇</w:t>
                  </w:r>
                </w:p>
              </w:tc>
              <w:tc>
                <w:tcPr>
                  <w:tcW w:w="509" w:type="pct"/>
                  <w:vMerge w:val="continue"/>
                  <w:vAlign w:val="center"/>
                </w:tcPr>
                <w:p w14:paraId="41A8B4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33AF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5C76B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42</w:t>
                  </w:r>
                </w:p>
              </w:tc>
              <w:tc>
                <w:tcPr>
                  <w:tcW w:w="1331" w:type="pct"/>
                  <w:vAlign w:val="center"/>
                </w:tcPr>
                <w:p w14:paraId="7B93A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石墨电热板</w:t>
                  </w:r>
                </w:p>
              </w:tc>
              <w:tc>
                <w:tcPr>
                  <w:tcW w:w="966" w:type="pct"/>
                  <w:vAlign w:val="center"/>
                </w:tcPr>
                <w:p w14:paraId="03F00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DB-1EFS</w:t>
                  </w:r>
                </w:p>
              </w:tc>
              <w:tc>
                <w:tcPr>
                  <w:tcW w:w="556" w:type="pct"/>
                  <w:vAlign w:val="center"/>
                </w:tcPr>
                <w:p w14:paraId="6AD1EC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46375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上海力辰邦西</w:t>
                  </w:r>
                </w:p>
              </w:tc>
              <w:tc>
                <w:tcPr>
                  <w:tcW w:w="509" w:type="pct"/>
                  <w:vMerge w:val="continue"/>
                  <w:vAlign w:val="center"/>
                </w:tcPr>
                <w:p w14:paraId="4D53D3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22FC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53948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43</w:t>
                  </w:r>
                </w:p>
              </w:tc>
              <w:tc>
                <w:tcPr>
                  <w:tcW w:w="1331" w:type="pct"/>
                  <w:vAlign w:val="center"/>
                </w:tcPr>
                <w:p w14:paraId="4CDF77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电子调温电炉</w:t>
                  </w:r>
                </w:p>
              </w:tc>
              <w:tc>
                <w:tcPr>
                  <w:tcW w:w="966" w:type="pct"/>
                  <w:vAlign w:val="center"/>
                </w:tcPr>
                <w:p w14:paraId="23033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DDL-4×1</w:t>
                  </w:r>
                  <w:r>
                    <w:rPr>
                      <w:rFonts w:hint="eastAsia" w:cs="Times New Roman" w:eastAsiaTheme="minorEastAsia"/>
                      <w:bCs/>
                      <w:color w:val="auto"/>
                      <w:kern w:val="0"/>
                      <w:sz w:val="18"/>
                      <w:szCs w:val="18"/>
                      <w:highlight w:val="none"/>
                      <w:lang w:eastAsia="zh-CN" w:bidi="ar"/>
                    </w:rPr>
                    <w:t>kW</w:t>
                  </w:r>
                </w:p>
              </w:tc>
              <w:tc>
                <w:tcPr>
                  <w:tcW w:w="556" w:type="pct"/>
                  <w:vAlign w:val="center"/>
                </w:tcPr>
                <w:p w14:paraId="3EE13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0CB3C5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常州国宇</w:t>
                  </w:r>
                </w:p>
              </w:tc>
              <w:tc>
                <w:tcPr>
                  <w:tcW w:w="509" w:type="pct"/>
                  <w:vMerge w:val="continue"/>
                  <w:vAlign w:val="center"/>
                </w:tcPr>
                <w:p w14:paraId="43B27F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4A43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0ABA1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44</w:t>
                  </w:r>
                </w:p>
              </w:tc>
              <w:tc>
                <w:tcPr>
                  <w:tcW w:w="1331" w:type="pct"/>
                  <w:vAlign w:val="center"/>
                </w:tcPr>
                <w:p w14:paraId="77BCF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电子调温电炉</w:t>
                  </w:r>
                </w:p>
              </w:tc>
              <w:tc>
                <w:tcPr>
                  <w:tcW w:w="966" w:type="pct"/>
                  <w:vAlign w:val="center"/>
                </w:tcPr>
                <w:p w14:paraId="6B5C78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DDL-4×1</w:t>
                  </w:r>
                  <w:r>
                    <w:rPr>
                      <w:rFonts w:hint="eastAsia" w:cs="Times New Roman" w:eastAsiaTheme="minorEastAsia"/>
                      <w:bCs/>
                      <w:color w:val="auto"/>
                      <w:kern w:val="0"/>
                      <w:sz w:val="18"/>
                      <w:szCs w:val="18"/>
                      <w:highlight w:val="none"/>
                      <w:lang w:eastAsia="zh-CN" w:bidi="ar"/>
                    </w:rPr>
                    <w:t>kW</w:t>
                  </w:r>
                </w:p>
              </w:tc>
              <w:tc>
                <w:tcPr>
                  <w:tcW w:w="556" w:type="pct"/>
                  <w:vAlign w:val="center"/>
                </w:tcPr>
                <w:p w14:paraId="0D53AE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ABB05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常州国宇</w:t>
                  </w:r>
                </w:p>
              </w:tc>
              <w:tc>
                <w:tcPr>
                  <w:tcW w:w="509" w:type="pct"/>
                  <w:vMerge w:val="continue"/>
                  <w:vAlign w:val="center"/>
                </w:tcPr>
                <w:p w14:paraId="40ED5C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6A30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2D4A5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45</w:t>
                  </w:r>
                </w:p>
              </w:tc>
              <w:tc>
                <w:tcPr>
                  <w:tcW w:w="1331" w:type="pct"/>
                  <w:vAlign w:val="center"/>
                </w:tcPr>
                <w:p w14:paraId="289600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数显恒温水浴锅</w:t>
                  </w:r>
                </w:p>
              </w:tc>
              <w:tc>
                <w:tcPr>
                  <w:tcW w:w="966" w:type="pct"/>
                  <w:vAlign w:val="center"/>
                </w:tcPr>
                <w:p w14:paraId="53662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HH-S4</w:t>
                  </w:r>
                </w:p>
              </w:tc>
              <w:tc>
                <w:tcPr>
                  <w:tcW w:w="556" w:type="pct"/>
                  <w:vAlign w:val="center"/>
                </w:tcPr>
                <w:p w14:paraId="37A62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006703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常州国宇</w:t>
                  </w:r>
                </w:p>
              </w:tc>
              <w:tc>
                <w:tcPr>
                  <w:tcW w:w="509" w:type="pct"/>
                  <w:vMerge w:val="continue"/>
                  <w:vAlign w:val="center"/>
                </w:tcPr>
                <w:p w14:paraId="44424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707F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AE24E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46</w:t>
                  </w:r>
                </w:p>
              </w:tc>
              <w:tc>
                <w:tcPr>
                  <w:tcW w:w="1331" w:type="pct"/>
                  <w:vAlign w:val="center"/>
                </w:tcPr>
                <w:p w14:paraId="6A9FFD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实验室超纯纯水机</w:t>
                  </w:r>
                </w:p>
              </w:tc>
              <w:tc>
                <w:tcPr>
                  <w:tcW w:w="966" w:type="pct"/>
                  <w:vAlign w:val="center"/>
                </w:tcPr>
                <w:p w14:paraId="62273E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YL-100BU(V4)</w:t>
                  </w:r>
                </w:p>
              </w:tc>
              <w:tc>
                <w:tcPr>
                  <w:tcW w:w="556" w:type="pct"/>
                  <w:vAlign w:val="center"/>
                </w:tcPr>
                <w:p w14:paraId="2D5A31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F6E45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深圳市伊利源</w:t>
                  </w:r>
                </w:p>
              </w:tc>
              <w:tc>
                <w:tcPr>
                  <w:tcW w:w="509" w:type="pct"/>
                  <w:vMerge w:val="continue"/>
                  <w:vAlign w:val="center"/>
                </w:tcPr>
                <w:p w14:paraId="6EFE2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1450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36EFB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47</w:t>
                  </w:r>
                </w:p>
              </w:tc>
              <w:tc>
                <w:tcPr>
                  <w:tcW w:w="1331" w:type="pct"/>
                  <w:vAlign w:val="center"/>
                </w:tcPr>
                <w:p w14:paraId="60C9FA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溶解氧测定仪</w:t>
                  </w:r>
                </w:p>
              </w:tc>
              <w:tc>
                <w:tcPr>
                  <w:tcW w:w="966" w:type="pct"/>
                  <w:vAlign w:val="center"/>
                </w:tcPr>
                <w:p w14:paraId="76D7E9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JPSJ-605</w:t>
                  </w:r>
                </w:p>
              </w:tc>
              <w:tc>
                <w:tcPr>
                  <w:tcW w:w="556" w:type="pct"/>
                  <w:vAlign w:val="center"/>
                </w:tcPr>
                <w:p w14:paraId="517E1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35F2C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上海仪电科学</w:t>
                  </w:r>
                </w:p>
              </w:tc>
              <w:tc>
                <w:tcPr>
                  <w:tcW w:w="509" w:type="pct"/>
                  <w:vMerge w:val="continue"/>
                  <w:vAlign w:val="center"/>
                </w:tcPr>
                <w:p w14:paraId="7944C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4FBE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768B9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48</w:t>
                  </w:r>
                </w:p>
              </w:tc>
              <w:tc>
                <w:tcPr>
                  <w:tcW w:w="1331" w:type="pct"/>
                  <w:vAlign w:val="center"/>
                </w:tcPr>
                <w:p w14:paraId="44118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高精度数显恒温水浴锅</w:t>
                  </w:r>
                </w:p>
              </w:tc>
              <w:tc>
                <w:tcPr>
                  <w:tcW w:w="966" w:type="pct"/>
                  <w:vAlign w:val="center"/>
                </w:tcPr>
                <w:p w14:paraId="582CD1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HH-4</w:t>
                  </w:r>
                </w:p>
              </w:tc>
              <w:tc>
                <w:tcPr>
                  <w:tcW w:w="556" w:type="pct"/>
                  <w:vAlign w:val="center"/>
                </w:tcPr>
                <w:p w14:paraId="516C2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8250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上海力辰邦西</w:t>
                  </w:r>
                </w:p>
              </w:tc>
              <w:tc>
                <w:tcPr>
                  <w:tcW w:w="509" w:type="pct"/>
                  <w:vMerge w:val="continue"/>
                  <w:vAlign w:val="center"/>
                </w:tcPr>
                <w:p w14:paraId="4204A0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771E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FBD2A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49</w:t>
                  </w:r>
                </w:p>
              </w:tc>
              <w:tc>
                <w:tcPr>
                  <w:tcW w:w="1331" w:type="pct"/>
                  <w:vAlign w:val="center"/>
                </w:tcPr>
                <w:p w14:paraId="413B6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手提式压力蒸汽灭菌器</w:t>
                  </w:r>
                </w:p>
              </w:tc>
              <w:tc>
                <w:tcPr>
                  <w:tcW w:w="966" w:type="pct"/>
                  <w:vAlign w:val="center"/>
                </w:tcPr>
                <w:p w14:paraId="59B80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JSM280G-18</w:t>
                  </w:r>
                </w:p>
              </w:tc>
              <w:tc>
                <w:tcPr>
                  <w:tcW w:w="556" w:type="pct"/>
                  <w:vAlign w:val="center"/>
                </w:tcPr>
                <w:p w14:paraId="15F08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E613A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宁波久兴</w:t>
                  </w:r>
                </w:p>
              </w:tc>
              <w:tc>
                <w:tcPr>
                  <w:tcW w:w="509" w:type="pct"/>
                  <w:vMerge w:val="continue"/>
                  <w:vAlign w:val="center"/>
                </w:tcPr>
                <w:p w14:paraId="2AD7A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6AA9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F1968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50</w:t>
                  </w:r>
                </w:p>
              </w:tc>
              <w:tc>
                <w:tcPr>
                  <w:tcW w:w="1331" w:type="pct"/>
                  <w:vAlign w:val="center"/>
                </w:tcPr>
                <w:p w14:paraId="01C88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飞跃真空泵</w:t>
                  </w:r>
                </w:p>
              </w:tc>
              <w:tc>
                <w:tcPr>
                  <w:tcW w:w="966" w:type="pct"/>
                  <w:vAlign w:val="center"/>
                </w:tcPr>
                <w:p w14:paraId="17D94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FY-2C-N</w:t>
                  </w:r>
                </w:p>
              </w:tc>
              <w:tc>
                <w:tcPr>
                  <w:tcW w:w="556" w:type="pct"/>
                  <w:vAlign w:val="center"/>
                </w:tcPr>
                <w:p w14:paraId="7129B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C3FA5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浙江飞跃</w:t>
                  </w:r>
                </w:p>
              </w:tc>
              <w:tc>
                <w:tcPr>
                  <w:tcW w:w="509" w:type="pct"/>
                  <w:vMerge w:val="continue"/>
                  <w:vAlign w:val="center"/>
                </w:tcPr>
                <w:p w14:paraId="74C765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5A39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34BEC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51</w:t>
                  </w:r>
                </w:p>
              </w:tc>
              <w:tc>
                <w:tcPr>
                  <w:tcW w:w="1331" w:type="pct"/>
                  <w:vAlign w:val="center"/>
                </w:tcPr>
                <w:p w14:paraId="38440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AD-01P真空泵</w:t>
                  </w:r>
                </w:p>
              </w:tc>
              <w:tc>
                <w:tcPr>
                  <w:tcW w:w="966" w:type="pct"/>
                  <w:vAlign w:val="center"/>
                </w:tcPr>
                <w:p w14:paraId="32C4C2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AD-01P</w:t>
                  </w:r>
                </w:p>
              </w:tc>
              <w:tc>
                <w:tcPr>
                  <w:tcW w:w="556" w:type="pct"/>
                  <w:vAlign w:val="center"/>
                </w:tcPr>
                <w:p w14:paraId="16C13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A62B0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天津市奥特赛恩斯</w:t>
                  </w:r>
                </w:p>
              </w:tc>
              <w:tc>
                <w:tcPr>
                  <w:tcW w:w="509" w:type="pct"/>
                  <w:vMerge w:val="continue"/>
                  <w:vAlign w:val="center"/>
                </w:tcPr>
                <w:p w14:paraId="18827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7539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20427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52</w:t>
                  </w:r>
                </w:p>
              </w:tc>
              <w:tc>
                <w:tcPr>
                  <w:tcW w:w="1331" w:type="pct"/>
                  <w:vAlign w:val="center"/>
                </w:tcPr>
                <w:p w14:paraId="5EF554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隔膜无油真空泵</w:t>
                  </w:r>
                </w:p>
              </w:tc>
              <w:tc>
                <w:tcPr>
                  <w:tcW w:w="966" w:type="pct"/>
                  <w:vAlign w:val="center"/>
                </w:tcPr>
                <w:p w14:paraId="14A63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SHJ-10</w:t>
                  </w:r>
                </w:p>
              </w:tc>
              <w:tc>
                <w:tcPr>
                  <w:tcW w:w="556" w:type="pct"/>
                  <w:vAlign w:val="center"/>
                </w:tcPr>
                <w:p w14:paraId="2F3F0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F791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绍兴市苏珀</w:t>
                  </w:r>
                </w:p>
              </w:tc>
              <w:tc>
                <w:tcPr>
                  <w:tcW w:w="509" w:type="pct"/>
                  <w:vMerge w:val="continue"/>
                  <w:vAlign w:val="center"/>
                </w:tcPr>
                <w:p w14:paraId="468CEC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5EDA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BA768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53</w:t>
                  </w:r>
                </w:p>
              </w:tc>
              <w:tc>
                <w:tcPr>
                  <w:tcW w:w="1331" w:type="pct"/>
                  <w:vAlign w:val="center"/>
                </w:tcPr>
                <w:p w14:paraId="332802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样品预处理加热仪</w:t>
                  </w:r>
                </w:p>
              </w:tc>
              <w:tc>
                <w:tcPr>
                  <w:tcW w:w="966" w:type="pct"/>
                  <w:vAlign w:val="center"/>
                </w:tcPr>
                <w:p w14:paraId="506825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XT-9816</w:t>
                  </w:r>
                </w:p>
              </w:tc>
              <w:tc>
                <w:tcPr>
                  <w:tcW w:w="556" w:type="pct"/>
                  <w:vAlign w:val="center"/>
                </w:tcPr>
                <w:p w14:paraId="00949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4E7628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上海拓新</w:t>
                  </w:r>
                </w:p>
              </w:tc>
              <w:tc>
                <w:tcPr>
                  <w:tcW w:w="509" w:type="pct"/>
                  <w:vMerge w:val="continue"/>
                  <w:vAlign w:val="center"/>
                </w:tcPr>
                <w:p w14:paraId="301808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4460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43A59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54</w:t>
                  </w:r>
                </w:p>
              </w:tc>
              <w:tc>
                <w:tcPr>
                  <w:tcW w:w="1331" w:type="pct"/>
                  <w:vAlign w:val="center"/>
                </w:tcPr>
                <w:p w14:paraId="716963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电子调温电热套及定氮装置</w:t>
                  </w:r>
                </w:p>
              </w:tc>
              <w:tc>
                <w:tcPr>
                  <w:tcW w:w="966" w:type="pct"/>
                  <w:vAlign w:val="center"/>
                </w:tcPr>
                <w:p w14:paraId="3E240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DRT-250</w:t>
                  </w:r>
                </w:p>
              </w:tc>
              <w:tc>
                <w:tcPr>
                  <w:tcW w:w="556" w:type="pct"/>
                  <w:vAlign w:val="center"/>
                </w:tcPr>
                <w:p w14:paraId="2F30AE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CCF69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w:t>
                  </w:r>
                </w:p>
              </w:tc>
              <w:tc>
                <w:tcPr>
                  <w:tcW w:w="509" w:type="pct"/>
                  <w:vMerge w:val="continue"/>
                  <w:vAlign w:val="center"/>
                </w:tcPr>
                <w:p w14:paraId="21F14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1DCC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298F5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55</w:t>
                  </w:r>
                </w:p>
              </w:tc>
              <w:tc>
                <w:tcPr>
                  <w:tcW w:w="1331" w:type="pct"/>
                  <w:vAlign w:val="center"/>
                </w:tcPr>
                <w:p w14:paraId="5A77F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土壤密度计</w:t>
                  </w:r>
                </w:p>
              </w:tc>
              <w:tc>
                <w:tcPr>
                  <w:tcW w:w="966" w:type="pct"/>
                  <w:vAlign w:val="center"/>
                </w:tcPr>
                <w:p w14:paraId="2437A1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TM-85</w:t>
                  </w:r>
                </w:p>
              </w:tc>
              <w:tc>
                <w:tcPr>
                  <w:tcW w:w="556" w:type="pct"/>
                  <w:vAlign w:val="center"/>
                </w:tcPr>
                <w:p w14:paraId="207295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086594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w:t>
                  </w:r>
                </w:p>
              </w:tc>
              <w:tc>
                <w:tcPr>
                  <w:tcW w:w="509" w:type="pct"/>
                  <w:vMerge w:val="continue"/>
                  <w:vAlign w:val="center"/>
                </w:tcPr>
                <w:p w14:paraId="1D197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6765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73CD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56</w:t>
                  </w:r>
                </w:p>
              </w:tc>
              <w:tc>
                <w:tcPr>
                  <w:tcW w:w="1331" w:type="pct"/>
                  <w:vAlign w:val="center"/>
                </w:tcPr>
                <w:p w14:paraId="15A25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冷藏柜</w:t>
                  </w:r>
                </w:p>
              </w:tc>
              <w:tc>
                <w:tcPr>
                  <w:tcW w:w="966" w:type="pct"/>
                  <w:vAlign w:val="center"/>
                </w:tcPr>
                <w:p w14:paraId="6AA1A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EL-Y</w:t>
                  </w:r>
                </w:p>
              </w:tc>
              <w:tc>
                <w:tcPr>
                  <w:tcW w:w="556" w:type="pct"/>
                  <w:vAlign w:val="center"/>
                </w:tcPr>
                <w:p w14:paraId="767902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1F9F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上海维仕美电器制造有限公司监制，山东胜泉电器有限公司制造</w:t>
                  </w:r>
                </w:p>
              </w:tc>
              <w:tc>
                <w:tcPr>
                  <w:tcW w:w="509" w:type="pct"/>
                  <w:vMerge w:val="continue"/>
                  <w:vAlign w:val="center"/>
                </w:tcPr>
                <w:p w14:paraId="769629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55E3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0D863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57</w:t>
                  </w:r>
                </w:p>
              </w:tc>
              <w:tc>
                <w:tcPr>
                  <w:tcW w:w="1331" w:type="pct"/>
                  <w:vAlign w:val="center"/>
                </w:tcPr>
                <w:p w14:paraId="64086D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电冰箱</w:t>
                  </w:r>
                </w:p>
              </w:tc>
              <w:tc>
                <w:tcPr>
                  <w:tcW w:w="966" w:type="pct"/>
                  <w:vAlign w:val="center"/>
                </w:tcPr>
                <w:p w14:paraId="05DDB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VC880D</w:t>
                  </w:r>
                </w:p>
              </w:tc>
              <w:tc>
                <w:tcPr>
                  <w:tcW w:w="556" w:type="pct"/>
                  <w:vAlign w:val="center"/>
                </w:tcPr>
                <w:p w14:paraId="0BAB6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E52A4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青岛澳柯玛</w:t>
                  </w:r>
                </w:p>
              </w:tc>
              <w:tc>
                <w:tcPr>
                  <w:tcW w:w="509" w:type="pct"/>
                  <w:vMerge w:val="continue"/>
                  <w:vAlign w:val="center"/>
                </w:tcPr>
                <w:p w14:paraId="49D611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3FE5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26553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58</w:t>
                  </w:r>
                </w:p>
              </w:tc>
              <w:tc>
                <w:tcPr>
                  <w:tcW w:w="1331" w:type="pct"/>
                  <w:vAlign w:val="center"/>
                </w:tcPr>
                <w:p w14:paraId="3402B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立式转换柜</w:t>
                  </w:r>
                </w:p>
              </w:tc>
              <w:tc>
                <w:tcPr>
                  <w:tcW w:w="966" w:type="pct"/>
                  <w:vAlign w:val="center"/>
                </w:tcPr>
                <w:p w14:paraId="59E3B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BD/BC-196UM</w:t>
                  </w:r>
                </w:p>
              </w:tc>
              <w:tc>
                <w:tcPr>
                  <w:tcW w:w="556" w:type="pct"/>
                  <w:vAlign w:val="center"/>
                </w:tcPr>
                <w:p w14:paraId="384D0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A9D97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合肥美的</w:t>
                  </w:r>
                </w:p>
              </w:tc>
              <w:tc>
                <w:tcPr>
                  <w:tcW w:w="509" w:type="pct"/>
                  <w:vMerge w:val="continue"/>
                  <w:vAlign w:val="center"/>
                </w:tcPr>
                <w:p w14:paraId="1AE18E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2A8C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9C25B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59</w:t>
                  </w:r>
                </w:p>
              </w:tc>
              <w:tc>
                <w:tcPr>
                  <w:tcW w:w="1331" w:type="pct"/>
                  <w:vAlign w:val="center"/>
                </w:tcPr>
                <w:p w14:paraId="615D9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通风橱</w:t>
                  </w:r>
                </w:p>
              </w:tc>
              <w:tc>
                <w:tcPr>
                  <w:tcW w:w="966" w:type="pct"/>
                  <w:vAlign w:val="center"/>
                </w:tcPr>
                <w:p w14:paraId="2ABD51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c>
                <w:tcPr>
                  <w:tcW w:w="556" w:type="pct"/>
                  <w:vAlign w:val="center"/>
                </w:tcPr>
                <w:p w14:paraId="42A745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8</w:t>
                  </w:r>
                </w:p>
              </w:tc>
              <w:tc>
                <w:tcPr>
                  <w:tcW w:w="1318" w:type="pct"/>
                  <w:vAlign w:val="center"/>
                </w:tcPr>
                <w:p w14:paraId="3CF7F5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w:t>
                  </w:r>
                </w:p>
              </w:tc>
              <w:tc>
                <w:tcPr>
                  <w:tcW w:w="509" w:type="pct"/>
                  <w:vMerge w:val="continue"/>
                  <w:vAlign w:val="center"/>
                </w:tcPr>
                <w:p w14:paraId="65DF12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801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95CF5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60</w:t>
                  </w:r>
                </w:p>
              </w:tc>
              <w:tc>
                <w:tcPr>
                  <w:tcW w:w="1331" w:type="pct"/>
                  <w:vAlign w:val="center"/>
                </w:tcPr>
                <w:p w14:paraId="6FD9FF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美的变频分体落地单元式空调机</w:t>
                  </w:r>
                </w:p>
              </w:tc>
              <w:tc>
                <w:tcPr>
                  <w:tcW w:w="966" w:type="pct"/>
                  <w:vAlign w:val="center"/>
                </w:tcPr>
                <w:p w14:paraId="08CD92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color w:val="auto"/>
                      <w:sz w:val="18"/>
                      <w:szCs w:val="18"/>
                      <w:highlight w:val="none"/>
                    </w:rPr>
                    <w:t>KFR-72LW/BP2DN8Y-PA401(3)</w:t>
                  </w:r>
                </w:p>
              </w:tc>
              <w:tc>
                <w:tcPr>
                  <w:tcW w:w="556" w:type="pct"/>
                  <w:vAlign w:val="center"/>
                </w:tcPr>
                <w:p w14:paraId="7AF4C5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97FD7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7719FB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397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5C787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61</w:t>
                  </w:r>
                </w:p>
              </w:tc>
              <w:tc>
                <w:tcPr>
                  <w:tcW w:w="1331" w:type="pct"/>
                  <w:vAlign w:val="center"/>
                </w:tcPr>
                <w:p w14:paraId="54B96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霉菌培养箱</w:t>
                  </w:r>
                </w:p>
              </w:tc>
              <w:tc>
                <w:tcPr>
                  <w:tcW w:w="966" w:type="pct"/>
                  <w:vAlign w:val="center"/>
                </w:tcPr>
                <w:p w14:paraId="64DE7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MJX-250B-Z</w:t>
                  </w:r>
                </w:p>
              </w:tc>
              <w:tc>
                <w:tcPr>
                  <w:tcW w:w="556" w:type="pct"/>
                  <w:vAlign w:val="center"/>
                </w:tcPr>
                <w:p w14:paraId="45F71E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257F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上海博讯</w:t>
                  </w:r>
                </w:p>
              </w:tc>
              <w:tc>
                <w:tcPr>
                  <w:tcW w:w="509" w:type="pct"/>
                  <w:vMerge w:val="restart"/>
                  <w:vAlign w:val="center"/>
                </w:tcPr>
                <w:p w14:paraId="20C06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培养室</w:t>
                  </w:r>
                </w:p>
              </w:tc>
            </w:tr>
            <w:tr w14:paraId="0B03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3597E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62</w:t>
                  </w:r>
                </w:p>
              </w:tc>
              <w:tc>
                <w:tcPr>
                  <w:tcW w:w="1331" w:type="pct"/>
                  <w:vAlign w:val="center"/>
                </w:tcPr>
                <w:p w14:paraId="1C1FC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智能生化培养箱</w:t>
                  </w:r>
                </w:p>
              </w:tc>
              <w:tc>
                <w:tcPr>
                  <w:tcW w:w="966" w:type="pct"/>
                  <w:vAlign w:val="center"/>
                </w:tcPr>
                <w:p w14:paraId="39884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SHP-250</w:t>
                  </w:r>
                </w:p>
              </w:tc>
              <w:tc>
                <w:tcPr>
                  <w:tcW w:w="556" w:type="pct"/>
                  <w:vAlign w:val="center"/>
                </w:tcPr>
                <w:p w14:paraId="34A833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C54A7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上海三发</w:t>
                  </w:r>
                </w:p>
              </w:tc>
              <w:tc>
                <w:tcPr>
                  <w:tcW w:w="509" w:type="pct"/>
                  <w:vMerge w:val="continue"/>
                  <w:vAlign w:val="center"/>
                </w:tcPr>
                <w:p w14:paraId="29311D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2E01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2150F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63</w:t>
                  </w:r>
                </w:p>
              </w:tc>
              <w:tc>
                <w:tcPr>
                  <w:tcW w:w="1331" w:type="pct"/>
                  <w:vAlign w:val="center"/>
                </w:tcPr>
                <w:p w14:paraId="2D754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生化培养箱</w:t>
                  </w:r>
                </w:p>
              </w:tc>
              <w:tc>
                <w:tcPr>
                  <w:tcW w:w="966" w:type="pct"/>
                  <w:vAlign w:val="center"/>
                </w:tcPr>
                <w:p w14:paraId="54DA65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SHP-250</w:t>
                  </w:r>
                </w:p>
              </w:tc>
              <w:tc>
                <w:tcPr>
                  <w:tcW w:w="556" w:type="pct"/>
                  <w:vAlign w:val="center"/>
                </w:tcPr>
                <w:p w14:paraId="2CD7A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04D3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上海精宏</w:t>
                  </w:r>
                </w:p>
              </w:tc>
              <w:tc>
                <w:tcPr>
                  <w:tcW w:w="509" w:type="pct"/>
                  <w:vMerge w:val="continue"/>
                  <w:vAlign w:val="center"/>
                </w:tcPr>
                <w:p w14:paraId="1F93C6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578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1B792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64</w:t>
                  </w:r>
                </w:p>
              </w:tc>
              <w:tc>
                <w:tcPr>
                  <w:tcW w:w="1331" w:type="pct"/>
                  <w:vAlign w:val="center"/>
                </w:tcPr>
                <w:p w14:paraId="15B7F1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电热恒温鼓风干燥箱</w:t>
                  </w:r>
                </w:p>
              </w:tc>
              <w:tc>
                <w:tcPr>
                  <w:tcW w:w="966" w:type="pct"/>
                  <w:vAlign w:val="center"/>
                </w:tcPr>
                <w:p w14:paraId="75E4A2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DHG-9140A</w:t>
                  </w:r>
                </w:p>
              </w:tc>
              <w:tc>
                <w:tcPr>
                  <w:tcW w:w="556" w:type="pct"/>
                  <w:vAlign w:val="center"/>
                </w:tcPr>
                <w:p w14:paraId="72DD0E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953CF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上海三发</w:t>
                  </w:r>
                </w:p>
              </w:tc>
              <w:tc>
                <w:tcPr>
                  <w:tcW w:w="509" w:type="pct"/>
                  <w:vMerge w:val="restart"/>
                  <w:vAlign w:val="center"/>
                </w:tcPr>
                <w:p w14:paraId="081E0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高温室</w:t>
                  </w:r>
                </w:p>
              </w:tc>
            </w:tr>
            <w:tr w14:paraId="74F4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9F076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65</w:t>
                  </w:r>
                </w:p>
              </w:tc>
              <w:tc>
                <w:tcPr>
                  <w:tcW w:w="1331" w:type="pct"/>
                  <w:vAlign w:val="center"/>
                </w:tcPr>
                <w:p w14:paraId="3DA5A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电热恒温鼓风干燥箱</w:t>
                  </w:r>
                </w:p>
              </w:tc>
              <w:tc>
                <w:tcPr>
                  <w:tcW w:w="966" w:type="pct"/>
                  <w:vAlign w:val="center"/>
                </w:tcPr>
                <w:p w14:paraId="2AB90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DHG101-2B</w:t>
                  </w:r>
                </w:p>
              </w:tc>
              <w:tc>
                <w:tcPr>
                  <w:tcW w:w="556" w:type="pct"/>
                  <w:vAlign w:val="center"/>
                </w:tcPr>
                <w:p w14:paraId="34B78E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7BFD7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浙江力辰</w:t>
                  </w:r>
                </w:p>
              </w:tc>
              <w:tc>
                <w:tcPr>
                  <w:tcW w:w="509" w:type="pct"/>
                  <w:vMerge w:val="continue"/>
                  <w:vAlign w:val="center"/>
                </w:tcPr>
                <w:p w14:paraId="63E9D0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C8D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11828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66</w:t>
                  </w:r>
                </w:p>
              </w:tc>
              <w:tc>
                <w:tcPr>
                  <w:tcW w:w="1331" w:type="pct"/>
                  <w:vAlign w:val="center"/>
                </w:tcPr>
                <w:p w14:paraId="305FE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电热恒温鼓风干燥箱</w:t>
                  </w:r>
                </w:p>
              </w:tc>
              <w:tc>
                <w:tcPr>
                  <w:tcW w:w="966" w:type="pct"/>
                  <w:vAlign w:val="center"/>
                </w:tcPr>
                <w:p w14:paraId="72554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DHG-9246A</w:t>
                  </w:r>
                </w:p>
              </w:tc>
              <w:tc>
                <w:tcPr>
                  <w:tcW w:w="556" w:type="pct"/>
                  <w:vAlign w:val="center"/>
                </w:tcPr>
                <w:p w14:paraId="076CD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1055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上海精宏</w:t>
                  </w:r>
                </w:p>
              </w:tc>
              <w:tc>
                <w:tcPr>
                  <w:tcW w:w="509" w:type="pct"/>
                  <w:vMerge w:val="continue"/>
                  <w:vAlign w:val="center"/>
                </w:tcPr>
                <w:p w14:paraId="0E045B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EE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7DB52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67</w:t>
                  </w:r>
                </w:p>
              </w:tc>
              <w:tc>
                <w:tcPr>
                  <w:tcW w:w="1331" w:type="pct"/>
                  <w:vAlign w:val="center"/>
                </w:tcPr>
                <w:p w14:paraId="19DEF8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电热恒温鼓风干燥箱</w:t>
                  </w:r>
                </w:p>
              </w:tc>
              <w:tc>
                <w:tcPr>
                  <w:tcW w:w="966" w:type="pct"/>
                  <w:vAlign w:val="center"/>
                </w:tcPr>
                <w:p w14:paraId="60DFBA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DHG-9246A</w:t>
                  </w:r>
                </w:p>
              </w:tc>
              <w:tc>
                <w:tcPr>
                  <w:tcW w:w="556" w:type="pct"/>
                  <w:vAlign w:val="center"/>
                </w:tcPr>
                <w:p w14:paraId="2E385B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FD7D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上海精宏</w:t>
                  </w:r>
                </w:p>
              </w:tc>
              <w:tc>
                <w:tcPr>
                  <w:tcW w:w="509" w:type="pct"/>
                  <w:vMerge w:val="continue"/>
                  <w:vAlign w:val="center"/>
                </w:tcPr>
                <w:p w14:paraId="370698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472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D3634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68</w:t>
                  </w:r>
                </w:p>
              </w:tc>
              <w:tc>
                <w:tcPr>
                  <w:tcW w:w="1331" w:type="pct"/>
                  <w:vAlign w:val="center"/>
                </w:tcPr>
                <w:p w14:paraId="435AC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箱式电阻炉</w:t>
                  </w:r>
                </w:p>
              </w:tc>
              <w:tc>
                <w:tcPr>
                  <w:tcW w:w="966" w:type="pct"/>
                  <w:vAlign w:val="center"/>
                </w:tcPr>
                <w:p w14:paraId="266706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Style w:val="48"/>
                      <w:rFonts w:hint="default" w:ascii="Times New Roman" w:hAnsi="Times New Roman" w:cs="Times New Roman" w:eastAsiaTheme="minorEastAsia"/>
                      <w:b w:val="0"/>
                      <w:color w:val="auto"/>
                      <w:sz w:val="18"/>
                      <w:szCs w:val="18"/>
                      <w:highlight w:val="none"/>
                      <w:lang w:bidi="ar"/>
                    </w:rPr>
                    <w:t>SX</w:t>
                  </w:r>
                  <w:r>
                    <w:rPr>
                      <w:rStyle w:val="49"/>
                      <w:rFonts w:hint="default" w:ascii="Times New Roman" w:hAnsi="Times New Roman" w:cs="Times New Roman" w:eastAsiaTheme="minorEastAsia"/>
                      <w:b w:val="0"/>
                      <w:color w:val="auto"/>
                      <w:sz w:val="18"/>
                      <w:szCs w:val="18"/>
                      <w:highlight w:val="none"/>
                      <w:lang w:bidi="ar"/>
                    </w:rPr>
                    <w:t>2</w:t>
                  </w:r>
                  <w:r>
                    <w:rPr>
                      <w:rStyle w:val="48"/>
                      <w:rFonts w:hint="default" w:ascii="Times New Roman" w:hAnsi="Times New Roman" w:cs="Times New Roman" w:eastAsiaTheme="minorEastAsia"/>
                      <w:b w:val="0"/>
                      <w:color w:val="auto"/>
                      <w:sz w:val="18"/>
                      <w:szCs w:val="18"/>
                      <w:highlight w:val="none"/>
                      <w:lang w:bidi="ar"/>
                    </w:rPr>
                    <w:t>-2.5-10A</w:t>
                  </w:r>
                </w:p>
              </w:tc>
              <w:tc>
                <w:tcPr>
                  <w:tcW w:w="556" w:type="pct"/>
                  <w:vAlign w:val="center"/>
                </w:tcPr>
                <w:p w14:paraId="43385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DFE6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绍兴市上虞道墟</w:t>
                  </w:r>
                </w:p>
              </w:tc>
              <w:tc>
                <w:tcPr>
                  <w:tcW w:w="509" w:type="pct"/>
                  <w:vMerge w:val="continue"/>
                  <w:vAlign w:val="center"/>
                </w:tcPr>
                <w:p w14:paraId="10B93D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6465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AA616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69</w:t>
                  </w:r>
                </w:p>
              </w:tc>
              <w:tc>
                <w:tcPr>
                  <w:tcW w:w="1331" w:type="pct"/>
                  <w:vAlign w:val="center"/>
                </w:tcPr>
                <w:p w14:paraId="40A658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净化工作台</w:t>
                  </w:r>
                </w:p>
              </w:tc>
              <w:tc>
                <w:tcPr>
                  <w:tcW w:w="966" w:type="pct"/>
                  <w:vAlign w:val="center"/>
                </w:tcPr>
                <w:p w14:paraId="77AD1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AF-CJ-1B</w:t>
                  </w:r>
                </w:p>
              </w:tc>
              <w:tc>
                <w:tcPr>
                  <w:tcW w:w="556" w:type="pct"/>
                  <w:vAlign w:val="center"/>
                </w:tcPr>
                <w:p w14:paraId="44833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3685C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上海三发</w:t>
                  </w:r>
                </w:p>
              </w:tc>
              <w:tc>
                <w:tcPr>
                  <w:tcW w:w="509" w:type="pct"/>
                  <w:vMerge w:val="restart"/>
                  <w:vAlign w:val="center"/>
                </w:tcPr>
                <w:p w14:paraId="56769C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生物室</w:t>
                  </w:r>
                </w:p>
              </w:tc>
            </w:tr>
            <w:tr w14:paraId="4C0E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F474A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70</w:t>
                  </w:r>
                </w:p>
              </w:tc>
              <w:tc>
                <w:tcPr>
                  <w:tcW w:w="1331" w:type="pct"/>
                  <w:vAlign w:val="center"/>
                </w:tcPr>
                <w:p w14:paraId="68B5CA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生物显微镜</w:t>
                  </w:r>
                </w:p>
              </w:tc>
              <w:tc>
                <w:tcPr>
                  <w:tcW w:w="966" w:type="pct"/>
                  <w:vAlign w:val="center"/>
                </w:tcPr>
                <w:p w14:paraId="32FA44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PH50-1B43L-A</w:t>
                  </w:r>
                </w:p>
              </w:tc>
              <w:tc>
                <w:tcPr>
                  <w:tcW w:w="556" w:type="pct"/>
                  <w:vAlign w:val="center"/>
                </w:tcPr>
                <w:p w14:paraId="07602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2636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凤凰光学</w:t>
                  </w:r>
                </w:p>
              </w:tc>
              <w:tc>
                <w:tcPr>
                  <w:tcW w:w="509" w:type="pct"/>
                  <w:vMerge w:val="continue"/>
                  <w:vAlign w:val="center"/>
                </w:tcPr>
                <w:p w14:paraId="50E5C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19C8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385F4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71</w:t>
                  </w:r>
                </w:p>
              </w:tc>
              <w:tc>
                <w:tcPr>
                  <w:tcW w:w="1331" w:type="pct"/>
                  <w:vAlign w:val="center"/>
                </w:tcPr>
                <w:p w14:paraId="612BF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手提式压力蒸汽灭菌器</w:t>
                  </w:r>
                </w:p>
              </w:tc>
              <w:tc>
                <w:tcPr>
                  <w:tcW w:w="966" w:type="pct"/>
                  <w:vAlign w:val="center"/>
                </w:tcPr>
                <w:p w14:paraId="04C7D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XFS-280A</w:t>
                  </w:r>
                </w:p>
              </w:tc>
              <w:tc>
                <w:tcPr>
                  <w:tcW w:w="556" w:type="pct"/>
                  <w:vAlign w:val="center"/>
                </w:tcPr>
                <w:p w14:paraId="09486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6FC991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浙江新丰</w:t>
                  </w:r>
                </w:p>
              </w:tc>
              <w:tc>
                <w:tcPr>
                  <w:tcW w:w="509" w:type="pct"/>
                  <w:vMerge w:val="continue"/>
                  <w:vAlign w:val="center"/>
                </w:tcPr>
                <w:p w14:paraId="1E006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767E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818DC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72</w:t>
                  </w:r>
                </w:p>
              </w:tc>
              <w:tc>
                <w:tcPr>
                  <w:tcW w:w="1331" w:type="pct"/>
                  <w:vAlign w:val="center"/>
                </w:tcPr>
                <w:p w14:paraId="0E7DC8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菌落计数器</w:t>
                  </w:r>
                </w:p>
              </w:tc>
              <w:tc>
                <w:tcPr>
                  <w:tcW w:w="966" w:type="pct"/>
                  <w:vAlign w:val="center"/>
                </w:tcPr>
                <w:p w14:paraId="1030EE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J-2</w:t>
                  </w:r>
                </w:p>
              </w:tc>
              <w:tc>
                <w:tcPr>
                  <w:tcW w:w="556" w:type="pct"/>
                  <w:vAlign w:val="center"/>
                </w:tcPr>
                <w:p w14:paraId="0E37B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24422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江苏天翎</w:t>
                  </w:r>
                </w:p>
              </w:tc>
              <w:tc>
                <w:tcPr>
                  <w:tcW w:w="509" w:type="pct"/>
                  <w:vMerge w:val="continue"/>
                  <w:vAlign w:val="center"/>
                </w:tcPr>
                <w:p w14:paraId="7318E5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3AAB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F2D10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73</w:t>
                  </w:r>
                </w:p>
              </w:tc>
              <w:tc>
                <w:tcPr>
                  <w:tcW w:w="1331" w:type="pct"/>
                  <w:vAlign w:val="center"/>
                </w:tcPr>
                <w:p w14:paraId="28095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紫外线消毒车</w:t>
                  </w:r>
                </w:p>
              </w:tc>
              <w:tc>
                <w:tcPr>
                  <w:tcW w:w="966" w:type="pct"/>
                  <w:vAlign w:val="center"/>
                </w:tcPr>
                <w:p w14:paraId="71EA18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ZXC-Ⅱ</w:t>
                  </w:r>
                </w:p>
              </w:tc>
              <w:tc>
                <w:tcPr>
                  <w:tcW w:w="556" w:type="pct"/>
                  <w:vAlign w:val="center"/>
                </w:tcPr>
                <w:p w14:paraId="5B985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9848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江阴市健仕福</w:t>
                  </w:r>
                </w:p>
              </w:tc>
              <w:tc>
                <w:tcPr>
                  <w:tcW w:w="509" w:type="pct"/>
                  <w:vMerge w:val="continue"/>
                  <w:vAlign w:val="center"/>
                </w:tcPr>
                <w:p w14:paraId="31D5AC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043E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8F22A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74</w:t>
                  </w:r>
                </w:p>
              </w:tc>
              <w:tc>
                <w:tcPr>
                  <w:tcW w:w="1331" w:type="pct"/>
                  <w:vAlign w:val="center"/>
                </w:tcPr>
                <w:p w14:paraId="22A38C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366nm紫外检测灯</w:t>
                  </w:r>
                </w:p>
              </w:tc>
              <w:tc>
                <w:tcPr>
                  <w:tcW w:w="966" w:type="pct"/>
                  <w:vAlign w:val="center"/>
                </w:tcPr>
                <w:p w14:paraId="549A2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BD-AA</w:t>
                  </w:r>
                </w:p>
              </w:tc>
              <w:tc>
                <w:tcPr>
                  <w:tcW w:w="556" w:type="pct"/>
                  <w:vAlign w:val="center"/>
                </w:tcPr>
                <w:p w14:paraId="3DF23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15CFE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北京启航博达</w:t>
                  </w:r>
                </w:p>
              </w:tc>
              <w:tc>
                <w:tcPr>
                  <w:tcW w:w="509" w:type="pct"/>
                  <w:vMerge w:val="continue"/>
                  <w:vAlign w:val="center"/>
                </w:tcPr>
                <w:p w14:paraId="5637D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4C9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CE0FB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74</w:t>
                  </w:r>
                </w:p>
              </w:tc>
              <w:tc>
                <w:tcPr>
                  <w:tcW w:w="1331" w:type="pct"/>
                  <w:vAlign w:val="center"/>
                </w:tcPr>
                <w:p w14:paraId="7E3A3C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1BAF9B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60662D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52A889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9AF4D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6E6F29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3326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0A36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75</w:t>
                  </w:r>
                </w:p>
              </w:tc>
              <w:tc>
                <w:tcPr>
                  <w:tcW w:w="1331" w:type="pct"/>
                  <w:vAlign w:val="center"/>
                </w:tcPr>
                <w:p w14:paraId="3AFF6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密闭式智能微波消解/萃取仪</w:t>
                  </w:r>
                </w:p>
              </w:tc>
              <w:tc>
                <w:tcPr>
                  <w:tcW w:w="966" w:type="pct"/>
                  <w:vAlign w:val="center"/>
                </w:tcPr>
                <w:p w14:paraId="01258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XT-9906</w:t>
                  </w:r>
                </w:p>
              </w:tc>
              <w:tc>
                <w:tcPr>
                  <w:tcW w:w="556" w:type="pct"/>
                  <w:vAlign w:val="center"/>
                </w:tcPr>
                <w:p w14:paraId="7B647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16CED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上海拓新</w:t>
                  </w:r>
                </w:p>
              </w:tc>
              <w:tc>
                <w:tcPr>
                  <w:tcW w:w="509" w:type="pct"/>
                  <w:vMerge w:val="restart"/>
                  <w:vAlign w:val="center"/>
                </w:tcPr>
                <w:p w14:paraId="6FDA3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eastAsia" w:cs="Times New Roman" w:eastAsiaTheme="minorEastAsia"/>
                      <w:bCs/>
                      <w:color w:val="auto"/>
                      <w:kern w:val="0"/>
                      <w:sz w:val="18"/>
                      <w:szCs w:val="18"/>
                      <w:highlight w:val="none"/>
                      <w:lang w:val="en-US" w:eastAsia="zh-CN" w:bidi="ar"/>
                    </w:rPr>
                    <w:t>有机前</w:t>
                  </w:r>
                  <w:r>
                    <w:rPr>
                      <w:rFonts w:hint="default" w:ascii="Times New Roman" w:hAnsi="Times New Roman" w:cs="Times New Roman" w:eastAsiaTheme="minorEastAsia"/>
                      <w:bCs/>
                      <w:color w:val="auto"/>
                      <w:kern w:val="0"/>
                      <w:sz w:val="18"/>
                      <w:szCs w:val="18"/>
                      <w:highlight w:val="none"/>
                      <w:lang w:bidi="ar"/>
                    </w:rPr>
                    <w:t>处理室</w:t>
                  </w:r>
                </w:p>
              </w:tc>
            </w:tr>
            <w:tr w14:paraId="05B1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D8BA9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76</w:t>
                  </w:r>
                </w:p>
              </w:tc>
              <w:tc>
                <w:tcPr>
                  <w:tcW w:w="1331" w:type="pct"/>
                  <w:vAlign w:val="center"/>
                </w:tcPr>
                <w:p w14:paraId="538A0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台式离心机</w:t>
                  </w:r>
                </w:p>
              </w:tc>
              <w:tc>
                <w:tcPr>
                  <w:tcW w:w="966" w:type="pct"/>
                  <w:vAlign w:val="center"/>
                </w:tcPr>
                <w:p w14:paraId="2A5C06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LD-4</w:t>
                  </w:r>
                </w:p>
              </w:tc>
              <w:tc>
                <w:tcPr>
                  <w:tcW w:w="556" w:type="pct"/>
                  <w:vAlign w:val="center"/>
                </w:tcPr>
                <w:p w14:paraId="36BFF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F38EA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金坛区西城新瑞</w:t>
                  </w:r>
                </w:p>
              </w:tc>
              <w:tc>
                <w:tcPr>
                  <w:tcW w:w="509" w:type="pct"/>
                  <w:vMerge w:val="continue"/>
                  <w:vAlign w:val="center"/>
                </w:tcPr>
                <w:p w14:paraId="19F51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p>
              </w:tc>
            </w:tr>
            <w:tr w14:paraId="62CE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B042D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77</w:t>
                  </w:r>
                </w:p>
              </w:tc>
              <w:tc>
                <w:tcPr>
                  <w:tcW w:w="1331" w:type="pct"/>
                  <w:vAlign w:val="center"/>
                </w:tcPr>
                <w:p w14:paraId="7D0A2D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双功能水浴恒温振荡器</w:t>
                  </w:r>
                </w:p>
              </w:tc>
              <w:tc>
                <w:tcPr>
                  <w:tcW w:w="966" w:type="pct"/>
                  <w:vAlign w:val="center"/>
                </w:tcPr>
                <w:p w14:paraId="659D2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SHA-B</w:t>
                  </w:r>
                </w:p>
              </w:tc>
              <w:tc>
                <w:tcPr>
                  <w:tcW w:w="556" w:type="pct"/>
                  <w:vAlign w:val="center"/>
                </w:tcPr>
                <w:p w14:paraId="52D1C6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295C8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常州金坛旭日</w:t>
                  </w:r>
                </w:p>
              </w:tc>
              <w:tc>
                <w:tcPr>
                  <w:tcW w:w="509" w:type="pct"/>
                  <w:vMerge w:val="continue"/>
                  <w:vAlign w:val="center"/>
                </w:tcPr>
                <w:p w14:paraId="47A4F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r>
            <w:tr w14:paraId="277A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BA62B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78</w:t>
                  </w:r>
                </w:p>
              </w:tc>
              <w:tc>
                <w:tcPr>
                  <w:tcW w:w="1331" w:type="pct"/>
                  <w:vAlign w:val="center"/>
                </w:tcPr>
                <w:p w14:paraId="357359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立式转换柜</w:t>
                  </w:r>
                </w:p>
              </w:tc>
              <w:tc>
                <w:tcPr>
                  <w:tcW w:w="966" w:type="pct"/>
                  <w:vAlign w:val="center"/>
                </w:tcPr>
                <w:p w14:paraId="2E3ED4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BD/BC-196UM</w:t>
                  </w:r>
                </w:p>
              </w:tc>
              <w:tc>
                <w:tcPr>
                  <w:tcW w:w="556" w:type="pct"/>
                  <w:vAlign w:val="center"/>
                </w:tcPr>
                <w:p w14:paraId="3D0593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50C980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合肥美的</w:t>
                  </w:r>
                </w:p>
              </w:tc>
              <w:tc>
                <w:tcPr>
                  <w:tcW w:w="509" w:type="pct"/>
                  <w:vMerge w:val="continue"/>
                  <w:vAlign w:val="center"/>
                </w:tcPr>
                <w:p w14:paraId="443724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5976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ABE54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79</w:t>
                  </w:r>
                </w:p>
              </w:tc>
              <w:tc>
                <w:tcPr>
                  <w:tcW w:w="1331" w:type="pct"/>
                  <w:vAlign w:val="center"/>
                </w:tcPr>
                <w:p w14:paraId="6AA3B3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通风橱</w:t>
                  </w:r>
                </w:p>
              </w:tc>
              <w:tc>
                <w:tcPr>
                  <w:tcW w:w="966" w:type="pct"/>
                  <w:vAlign w:val="center"/>
                </w:tcPr>
                <w:p w14:paraId="2162D3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c>
                <w:tcPr>
                  <w:tcW w:w="556" w:type="pct"/>
                  <w:vAlign w:val="center"/>
                </w:tcPr>
                <w:p w14:paraId="3A326F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4</w:t>
                  </w:r>
                </w:p>
              </w:tc>
              <w:tc>
                <w:tcPr>
                  <w:tcW w:w="1318" w:type="pct"/>
                  <w:vAlign w:val="center"/>
                </w:tcPr>
                <w:p w14:paraId="436D45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c>
                <w:tcPr>
                  <w:tcW w:w="509" w:type="pct"/>
                  <w:vMerge w:val="continue"/>
                  <w:vAlign w:val="center"/>
                </w:tcPr>
                <w:p w14:paraId="76A702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39F2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4D183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80</w:t>
                  </w:r>
                </w:p>
              </w:tc>
              <w:tc>
                <w:tcPr>
                  <w:tcW w:w="1331" w:type="pct"/>
                  <w:vAlign w:val="center"/>
                </w:tcPr>
                <w:p w14:paraId="1D7A5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数显恒温油浴锅</w:t>
                  </w:r>
                </w:p>
              </w:tc>
              <w:tc>
                <w:tcPr>
                  <w:tcW w:w="966" w:type="pct"/>
                  <w:vAlign w:val="center"/>
                </w:tcPr>
                <w:p w14:paraId="141FB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HH-S50</w:t>
                  </w:r>
                </w:p>
              </w:tc>
              <w:tc>
                <w:tcPr>
                  <w:tcW w:w="556" w:type="pct"/>
                  <w:vAlign w:val="center"/>
                </w:tcPr>
                <w:p w14:paraId="3B2919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709E0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杭州保恒</w:t>
                  </w:r>
                </w:p>
              </w:tc>
              <w:tc>
                <w:tcPr>
                  <w:tcW w:w="509" w:type="pct"/>
                  <w:vMerge w:val="continue"/>
                  <w:vAlign w:val="center"/>
                </w:tcPr>
                <w:p w14:paraId="2BF903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1555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45985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81</w:t>
                  </w:r>
                </w:p>
              </w:tc>
              <w:tc>
                <w:tcPr>
                  <w:tcW w:w="1331" w:type="pct"/>
                  <w:vAlign w:val="center"/>
                </w:tcPr>
                <w:p w14:paraId="45C3E6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美的分体壁挂式空调器</w:t>
                  </w:r>
                </w:p>
              </w:tc>
              <w:tc>
                <w:tcPr>
                  <w:tcW w:w="966" w:type="pct"/>
                  <w:vAlign w:val="center"/>
                </w:tcPr>
                <w:p w14:paraId="594A55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KFR-35GB/BP3DN8Y</w:t>
                  </w:r>
                </w:p>
                <w:p w14:paraId="430F28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color w:val="auto"/>
                      <w:sz w:val="18"/>
                      <w:szCs w:val="18"/>
                      <w:highlight w:val="none"/>
                    </w:rPr>
                    <w:t>DH400(3)</w:t>
                  </w:r>
                </w:p>
              </w:tc>
              <w:tc>
                <w:tcPr>
                  <w:tcW w:w="556" w:type="pct"/>
                  <w:vAlign w:val="center"/>
                </w:tcPr>
                <w:p w14:paraId="7E5928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ascii="Times New Roman" w:hAnsi="Times New Roman" w:cs="Times New Roman" w:eastAsiaTheme="minorEastAsia"/>
                      <w:bCs/>
                      <w:color w:val="auto"/>
                      <w:kern w:val="0"/>
                      <w:sz w:val="18"/>
                      <w:szCs w:val="18"/>
                      <w:highlight w:val="none"/>
                      <w:lang w:val="en-US" w:eastAsia="zh-CN" w:bidi="ar"/>
                    </w:rPr>
                    <w:t>1</w:t>
                  </w:r>
                </w:p>
              </w:tc>
              <w:tc>
                <w:tcPr>
                  <w:tcW w:w="1318" w:type="pct"/>
                  <w:vAlign w:val="center"/>
                </w:tcPr>
                <w:p w14:paraId="310918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广东美的</w:t>
                  </w:r>
                </w:p>
              </w:tc>
              <w:tc>
                <w:tcPr>
                  <w:tcW w:w="509" w:type="pct"/>
                  <w:vMerge w:val="continue"/>
                  <w:vAlign w:val="center"/>
                </w:tcPr>
                <w:p w14:paraId="539325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266D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4FEE6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82</w:t>
                  </w:r>
                </w:p>
              </w:tc>
              <w:tc>
                <w:tcPr>
                  <w:tcW w:w="1331" w:type="pct"/>
                  <w:vAlign w:val="center"/>
                </w:tcPr>
                <w:p w14:paraId="485C3F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通风橱</w:t>
                  </w:r>
                </w:p>
              </w:tc>
              <w:tc>
                <w:tcPr>
                  <w:tcW w:w="966" w:type="pct"/>
                  <w:vAlign w:val="center"/>
                </w:tcPr>
                <w:p w14:paraId="0DE078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7BD0DD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3</w:t>
                  </w:r>
                </w:p>
              </w:tc>
              <w:tc>
                <w:tcPr>
                  <w:tcW w:w="1318" w:type="pct"/>
                  <w:vAlign w:val="center"/>
                </w:tcPr>
                <w:p w14:paraId="5A2A29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09" w:type="pct"/>
                  <w:vMerge w:val="restart"/>
                  <w:vAlign w:val="center"/>
                </w:tcPr>
                <w:p w14:paraId="144516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eastAsia" w:cs="Times New Roman" w:eastAsiaTheme="minorEastAsia"/>
                      <w:bCs/>
                      <w:color w:val="auto"/>
                      <w:kern w:val="0"/>
                      <w:sz w:val="18"/>
                      <w:szCs w:val="18"/>
                      <w:highlight w:val="none"/>
                      <w:lang w:val="en-US" w:eastAsia="zh-CN" w:bidi="ar"/>
                    </w:rPr>
                    <w:t>无机前</w:t>
                  </w:r>
                  <w:r>
                    <w:rPr>
                      <w:rFonts w:hint="default" w:ascii="Times New Roman" w:hAnsi="Times New Roman" w:cs="Times New Roman" w:eastAsiaTheme="minorEastAsia"/>
                      <w:bCs/>
                      <w:color w:val="auto"/>
                      <w:kern w:val="0"/>
                      <w:sz w:val="18"/>
                      <w:szCs w:val="18"/>
                      <w:highlight w:val="none"/>
                      <w:lang w:bidi="ar"/>
                    </w:rPr>
                    <w:t>处理室</w:t>
                  </w:r>
                </w:p>
              </w:tc>
            </w:tr>
            <w:tr w14:paraId="4471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2B6FA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83</w:t>
                  </w:r>
                </w:p>
              </w:tc>
              <w:tc>
                <w:tcPr>
                  <w:tcW w:w="1331" w:type="pct"/>
                  <w:vAlign w:val="center"/>
                </w:tcPr>
                <w:p w14:paraId="32D6DD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电热板</w:t>
                  </w:r>
                </w:p>
              </w:tc>
              <w:tc>
                <w:tcPr>
                  <w:tcW w:w="966" w:type="pct"/>
                  <w:vAlign w:val="center"/>
                </w:tcPr>
                <w:p w14:paraId="66269C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4FBAB0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2A4F55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p>
              </w:tc>
              <w:tc>
                <w:tcPr>
                  <w:tcW w:w="509" w:type="pct"/>
                  <w:vMerge w:val="continue"/>
                  <w:vAlign w:val="center"/>
                </w:tcPr>
                <w:p w14:paraId="153083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076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2504C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84</w:t>
                  </w:r>
                </w:p>
              </w:tc>
              <w:tc>
                <w:tcPr>
                  <w:tcW w:w="1331" w:type="pct"/>
                  <w:vAlign w:val="center"/>
                </w:tcPr>
                <w:p w14:paraId="730B5D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微波消解仪</w:t>
                  </w:r>
                </w:p>
              </w:tc>
              <w:tc>
                <w:tcPr>
                  <w:tcW w:w="966" w:type="pct"/>
                  <w:vAlign w:val="center"/>
                </w:tcPr>
                <w:p w14:paraId="462DF2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27F1F6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476FD7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p>
              </w:tc>
              <w:tc>
                <w:tcPr>
                  <w:tcW w:w="509" w:type="pct"/>
                  <w:vMerge w:val="continue"/>
                  <w:vAlign w:val="center"/>
                </w:tcPr>
                <w:p w14:paraId="0587DD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46D9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DAEFF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85</w:t>
                  </w:r>
                </w:p>
              </w:tc>
              <w:tc>
                <w:tcPr>
                  <w:tcW w:w="1331" w:type="pct"/>
                  <w:vAlign w:val="center"/>
                </w:tcPr>
                <w:p w14:paraId="3AA31B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烘箱</w:t>
                  </w:r>
                </w:p>
              </w:tc>
              <w:tc>
                <w:tcPr>
                  <w:tcW w:w="966" w:type="pct"/>
                  <w:vAlign w:val="center"/>
                </w:tcPr>
                <w:p w14:paraId="675CEF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5647BA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6744F0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p>
              </w:tc>
              <w:tc>
                <w:tcPr>
                  <w:tcW w:w="509" w:type="pct"/>
                  <w:vMerge w:val="continue"/>
                  <w:vAlign w:val="center"/>
                </w:tcPr>
                <w:p w14:paraId="639642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7012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7279D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86</w:t>
                  </w:r>
                </w:p>
              </w:tc>
              <w:tc>
                <w:tcPr>
                  <w:tcW w:w="1331" w:type="pct"/>
                  <w:vAlign w:val="center"/>
                </w:tcPr>
                <w:p w14:paraId="55ACC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cs="Times New Roman" w:eastAsiaTheme="minorEastAsia"/>
                      <w:bCs/>
                      <w:color w:val="auto"/>
                      <w:sz w:val="18"/>
                      <w:szCs w:val="18"/>
                      <w:highlight w:val="none"/>
                      <w:lang w:val="en-US" w:eastAsia="zh-CN"/>
                    </w:rPr>
                  </w:pPr>
                  <w:r>
                    <w:rPr>
                      <w:rFonts w:hint="eastAsia" w:cs="Times New Roman" w:eastAsiaTheme="minorEastAsia"/>
                      <w:bCs/>
                      <w:color w:val="auto"/>
                      <w:sz w:val="18"/>
                      <w:szCs w:val="18"/>
                      <w:highlight w:val="none"/>
                      <w:lang w:val="en-US" w:eastAsia="zh-CN"/>
                    </w:rPr>
                    <w:t>冰箱</w:t>
                  </w:r>
                </w:p>
              </w:tc>
              <w:tc>
                <w:tcPr>
                  <w:tcW w:w="966" w:type="pct"/>
                  <w:vAlign w:val="center"/>
                </w:tcPr>
                <w:p w14:paraId="7E6456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508825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1</w:t>
                  </w:r>
                </w:p>
              </w:tc>
              <w:tc>
                <w:tcPr>
                  <w:tcW w:w="1318" w:type="pct"/>
                  <w:vAlign w:val="center"/>
                </w:tcPr>
                <w:p w14:paraId="490031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p>
              </w:tc>
              <w:tc>
                <w:tcPr>
                  <w:tcW w:w="509" w:type="pct"/>
                  <w:vMerge w:val="continue"/>
                  <w:vAlign w:val="center"/>
                </w:tcPr>
                <w:p w14:paraId="64B3BD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r>
            <w:tr w14:paraId="49CC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96E27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83</w:t>
                  </w:r>
                </w:p>
              </w:tc>
              <w:tc>
                <w:tcPr>
                  <w:tcW w:w="1331" w:type="pct"/>
                  <w:vAlign w:val="center"/>
                </w:tcPr>
                <w:p w14:paraId="0F177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电子天平</w:t>
                  </w:r>
                </w:p>
              </w:tc>
              <w:tc>
                <w:tcPr>
                  <w:tcW w:w="966" w:type="pct"/>
                  <w:vAlign w:val="center"/>
                </w:tcPr>
                <w:p w14:paraId="051B8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YP50001B</w:t>
                  </w:r>
                </w:p>
              </w:tc>
              <w:tc>
                <w:tcPr>
                  <w:tcW w:w="556" w:type="pct"/>
                  <w:vAlign w:val="center"/>
                </w:tcPr>
                <w:p w14:paraId="585AE8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1318" w:type="pct"/>
                  <w:vAlign w:val="center"/>
                </w:tcPr>
                <w:p w14:paraId="0D395C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Align w:val="center"/>
                </w:tcPr>
                <w:p w14:paraId="5AB90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土壤</w:t>
                  </w:r>
                  <w:r>
                    <w:rPr>
                      <w:rFonts w:hint="eastAsia" w:cs="Times New Roman" w:eastAsiaTheme="minorEastAsia"/>
                      <w:bCs/>
                      <w:color w:val="auto"/>
                      <w:kern w:val="0"/>
                      <w:sz w:val="18"/>
                      <w:szCs w:val="18"/>
                      <w:highlight w:val="none"/>
                      <w:lang w:val="en-US" w:eastAsia="zh-CN" w:bidi="ar"/>
                    </w:rPr>
                    <w:t>风干</w:t>
                  </w:r>
                  <w:r>
                    <w:rPr>
                      <w:rFonts w:hint="default" w:ascii="Times New Roman" w:hAnsi="Times New Roman" w:cs="Times New Roman" w:eastAsiaTheme="minorEastAsia"/>
                      <w:bCs/>
                      <w:color w:val="auto"/>
                      <w:kern w:val="0"/>
                      <w:sz w:val="18"/>
                      <w:szCs w:val="18"/>
                      <w:highlight w:val="none"/>
                      <w:lang w:bidi="ar"/>
                    </w:rPr>
                    <w:t>室</w:t>
                  </w:r>
                </w:p>
              </w:tc>
            </w:tr>
            <w:tr w14:paraId="7D33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70746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84</w:t>
                  </w:r>
                </w:p>
              </w:tc>
              <w:tc>
                <w:tcPr>
                  <w:tcW w:w="1331" w:type="pct"/>
                  <w:vAlign w:val="center"/>
                </w:tcPr>
                <w:p w14:paraId="5C59B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干燥箱</w:t>
                  </w:r>
                </w:p>
              </w:tc>
              <w:tc>
                <w:tcPr>
                  <w:tcW w:w="966" w:type="pct"/>
                  <w:vAlign w:val="center"/>
                </w:tcPr>
                <w:p w14:paraId="7FCF3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0CAA59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w:t>
                  </w:r>
                </w:p>
              </w:tc>
              <w:tc>
                <w:tcPr>
                  <w:tcW w:w="1318" w:type="pct"/>
                  <w:vAlign w:val="center"/>
                </w:tcPr>
                <w:p w14:paraId="16760B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Align w:val="center"/>
                </w:tcPr>
                <w:p w14:paraId="526261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1777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5D4AE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85</w:t>
                  </w:r>
                </w:p>
              </w:tc>
              <w:tc>
                <w:tcPr>
                  <w:tcW w:w="1331" w:type="pct"/>
                  <w:vAlign w:val="center"/>
                </w:tcPr>
                <w:p w14:paraId="1EC259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eastAsia" w:ascii="Times New Roman" w:hAnsi="Times New Roman" w:cs="Times New Roman" w:eastAsiaTheme="minorEastAsia"/>
                      <w:bCs/>
                      <w:color w:val="auto"/>
                      <w:kern w:val="0"/>
                      <w:sz w:val="18"/>
                      <w:szCs w:val="18"/>
                      <w:highlight w:val="none"/>
                      <w:lang w:val="en-US" w:eastAsia="zh-CN" w:bidi="ar"/>
                    </w:rPr>
                  </w:pPr>
                  <w:r>
                    <w:rPr>
                      <w:rFonts w:hint="eastAsia" w:cs="Times New Roman" w:eastAsiaTheme="minorEastAsia"/>
                      <w:bCs/>
                      <w:color w:val="auto"/>
                      <w:kern w:val="0"/>
                      <w:sz w:val="18"/>
                      <w:szCs w:val="18"/>
                      <w:highlight w:val="none"/>
                      <w:lang w:val="en-US" w:eastAsia="zh-CN" w:bidi="ar"/>
                    </w:rPr>
                    <w:t>分子筛</w:t>
                  </w:r>
                </w:p>
              </w:tc>
              <w:tc>
                <w:tcPr>
                  <w:tcW w:w="966" w:type="pct"/>
                  <w:vAlign w:val="center"/>
                </w:tcPr>
                <w:p w14:paraId="577617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5B0E42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1</w:t>
                  </w:r>
                </w:p>
              </w:tc>
              <w:tc>
                <w:tcPr>
                  <w:tcW w:w="1318" w:type="pct"/>
                  <w:vAlign w:val="center"/>
                </w:tcPr>
                <w:p w14:paraId="001A2F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restart"/>
                  <w:vAlign w:val="center"/>
                </w:tcPr>
                <w:p w14:paraId="031FE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kern w:val="0"/>
                      <w:sz w:val="18"/>
                      <w:szCs w:val="18"/>
                      <w:highlight w:val="none"/>
                      <w:lang w:bidi="ar"/>
                    </w:rPr>
                    <w:t>土壤</w:t>
                  </w:r>
                  <w:r>
                    <w:rPr>
                      <w:rFonts w:hint="eastAsia" w:cs="Times New Roman" w:eastAsiaTheme="minorEastAsia"/>
                      <w:bCs/>
                      <w:color w:val="auto"/>
                      <w:kern w:val="0"/>
                      <w:sz w:val="18"/>
                      <w:szCs w:val="18"/>
                      <w:highlight w:val="none"/>
                      <w:lang w:val="en-US" w:eastAsia="zh-CN" w:bidi="ar"/>
                    </w:rPr>
                    <w:t>制备</w:t>
                  </w:r>
                  <w:r>
                    <w:rPr>
                      <w:rFonts w:hint="default" w:ascii="Times New Roman" w:hAnsi="Times New Roman" w:cs="Times New Roman" w:eastAsiaTheme="minorEastAsia"/>
                      <w:bCs/>
                      <w:color w:val="auto"/>
                      <w:kern w:val="0"/>
                      <w:sz w:val="18"/>
                      <w:szCs w:val="18"/>
                      <w:highlight w:val="none"/>
                      <w:lang w:bidi="ar"/>
                    </w:rPr>
                    <w:t>室</w:t>
                  </w:r>
                </w:p>
              </w:tc>
            </w:tr>
            <w:tr w14:paraId="7C28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25426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86</w:t>
                  </w:r>
                </w:p>
              </w:tc>
              <w:tc>
                <w:tcPr>
                  <w:tcW w:w="1331" w:type="pct"/>
                  <w:vAlign w:val="center"/>
                </w:tcPr>
                <w:p w14:paraId="6CA9EF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r>
                    <w:rPr>
                      <w:rFonts w:hint="default" w:ascii="Times New Roman" w:hAnsi="Times New Roman" w:cs="Times New Roman" w:eastAsiaTheme="minorEastAsia"/>
                      <w:bCs/>
                      <w:color w:val="auto"/>
                      <w:sz w:val="18"/>
                      <w:szCs w:val="18"/>
                      <w:highlight w:val="none"/>
                    </w:rPr>
                    <w:t>通风橱</w:t>
                  </w:r>
                </w:p>
              </w:tc>
              <w:tc>
                <w:tcPr>
                  <w:tcW w:w="966" w:type="pct"/>
                  <w:vAlign w:val="center"/>
                </w:tcPr>
                <w:p w14:paraId="1DB65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c>
                <w:tcPr>
                  <w:tcW w:w="556" w:type="pct"/>
                  <w:vAlign w:val="center"/>
                </w:tcPr>
                <w:p w14:paraId="39EE2C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2</w:t>
                  </w:r>
                </w:p>
              </w:tc>
              <w:tc>
                <w:tcPr>
                  <w:tcW w:w="1318" w:type="pct"/>
                  <w:vAlign w:val="center"/>
                </w:tcPr>
                <w:p w14:paraId="72620D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vAlign w:val="center"/>
                </w:tcPr>
                <w:p w14:paraId="23595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kern w:val="0"/>
                      <w:sz w:val="18"/>
                      <w:szCs w:val="18"/>
                      <w:highlight w:val="none"/>
                      <w:lang w:bidi="ar"/>
                    </w:rPr>
                  </w:pPr>
                </w:p>
              </w:tc>
            </w:tr>
            <w:tr w14:paraId="0B0D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254DC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8</w:t>
                  </w:r>
                  <w:r>
                    <w:rPr>
                      <w:rFonts w:hint="eastAsia" w:cs="Times New Roman" w:eastAsiaTheme="minorEastAsia"/>
                      <w:color w:val="auto"/>
                      <w:sz w:val="18"/>
                      <w:szCs w:val="18"/>
                      <w:highlight w:val="none"/>
                      <w:lang w:val="en-US" w:eastAsia="zh-CN"/>
                    </w:rPr>
                    <w:t>7</w:t>
                  </w:r>
                </w:p>
              </w:tc>
              <w:tc>
                <w:tcPr>
                  <w:tcW w:w="1331" w:type="pct"/>
                  <w:vAlign w:val="center"/>
                </w:tcPr>
                <w:p w14:paraId="32426F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冷藏柜</w:t>
                  </w:r>
                </w:p>
              </w:tc>
              <w:tc>
                <w:tcPr>
                  <w:tcW w:w="966" w:type="pct"/>
                  <w:vAlign w:val="center"/>
                </w:tcPr>
                <w:p w14:paraId="2B900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EL-Y</w:t>
                  </w:r>
                </w:p>
              </w:tc>
              <w:tc>
                <w:tcPr>
                  <w:tcW w:w="556" w:type="pct"/>
                  <w:vAlign w:val="center"/>
                </w:tcPr>
                <w:p w14:paraId="3C4FA3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2</w:t>
                  </w:r>
                </w:p>
              </w:tc>
              <w:tc>
                <w:tcPr>
                  <w:tcW w:w="1318" w:type="pct"/>
                  <w:vAlign w:val="center"/>
                </w:tcPr>
                <w:p w14:paraId="74478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上海维仕美电器制造有限公司监制，山东胜泉电器有限公司制造</w:t>
                  </w:r>
                </w:p>
              </w:tc>
              <w:tc>
                <w:tcPr>
                  <w:tcW w:w="509" w:type="pct"/>
                  <w:vAlign w:val="center"/>
                </w:tcPr>
                <w:p w14:paraId="2E6B61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样品室</w:t>
                  </w:r>
                </w:p>
              </w:tc>
            </w:tr>
            <w:tr w14:paraId="55A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61F5B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eastAsia" w:cs="Times New Roman" w:eastAsiaTheme="minorEastAsia"/>
                      <w:color w:val="auto"/>
                      <w:sz w:val="18"/>
                      <w:szCs w:val="18"/>
                      <w:highlight w:val="none"/>
                      <w:lang w:val="en-US" w:eastAsia="zh-CN"/>
                    </w:rPr>
                    <w:t>8</w:t>
                  </w:r>
                  <w:r>
                    <w:rPr>
                      <w:rFonts w:hint="default" w:ascii="Times New Roman" w:hAnsi="Times New Roman" w:cs="Times New Roman" w:eastAsiaTheme="minorEastAsia"/>
                      <w:color w:val="auto"/>
                      <w:sz w:val="18"/>
                      <w:szCs w:val="18"/>
                      <w:highlight w:val="none"/>
                    </w:rPr>
                    <w:t>8</w:t>
                  </w:r>
                </w:p>
              </w:tc>
              <w:tc>
                <w:tcPr>
                  <w:tcW w:w="1331" w:type="pct"/>
                  <w:vAlign w:val="center"/>
                </w:tcPr>
                <w:p w14:paraId="07671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电冰箱</w:t>
                  </w:r>
                </w:p>
              </w:tc>
              <w:tc>
                <w:tcPr>
                  <w:tcW w:w="966" w:type="pct"/>
                  <w:vAlign w:val="center"/>
                </w:tcPr>
                <w:p w14:paraId="06C1E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BC-71</w:t>
                  </w:r>
                </w:p>
              </w:tc>
              <w:tc>
                <w:tcPr>
                  <w:tcW w:w="556" w:type="pct"/>
                  <w:vAlign w:val="center"/>
                </w:tcPr>
                <w:p w14:paraId="556BF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22BA1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深圳市先科电器有限公司</w:t>
                  </w:r>
                </w:p>
              </w:tc>
              <w:tc>
                <w:tcPr>
                  <w:tcW w:w="509" w:type="pct"/>
                  <w:vAlign w:val="center"/>
                </w:tcPr>
                <w:p w14:paraId="027D2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bCs/>
                      <w:color w:val="auto"/>
                      <w:sz w:val="18"/>
                      <w:szCs w:val="18"/>
                      <w:highlight w:val="none"/>
                    </w:rPr>
                    <w:t>试剂室</w:t>
                  </w:r>
                  <w:r>
                    <w:rPr>
                      <w:rFonts w:hint="eastAsia" w:cs="Times New Roman" w:eastAsiaTheme="minorEastAsia"/>
                      <w:bCs/>
                      <w:color w:val="auto"/>
                      <w:sz w:val="18"/>
                      <w:szCs w:val="18"/>
                      <w:highlight w:val="none"/>
                      <w:lang w:eastAsia="zh-CN"/>
                    </w:rPr>
                    <w:t>（</w:t>
                  </w:r>
                  <w:r>
                    <w:rPr>
                      <w:rFonts w:hint="eastAsia" w:cs="Times New Roman" w:eastAsiaTheme="minorEastAsia"/>
                      <w:bCs/>
                      <w:color w:val="auto"/>
                      <w:sz w:val="18"/>
                      <w:szCs w:val="18"/>
                      <w:highlight w:val="none"/>
                      <w:lang w:val="en-US" w:eastAsia="zh-CN"/>
                    </w:rPr>
                    <w:t>粉剂类</w:t>
                  </w:r>
                  <w:r>
                    <w:rPr>
                      <w:rFonts w:hint="eastAsia" w:cs="Times New Roman" w:eastAsiaTheme="minorEastAsia"/>
                      <w:bCs/>
                      <w:color w:val="auto"/>
                      <w:sz w:val="18"/>
                      <w:szCs w:val="18"/>
                      <w:highlight w:val="none"/>
                      <w:lang w:eastAsia="zh-CN"/>
                    </w:rPr>
                    <w:t>）</w:t>
                  </w:r>
                </w:p>
              </w:tc>
            </w:tr>
            <w:tr w14:paraId="38FD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639C0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89</w:t>
                  </w:r>
                </w:p>
              </w:tc>
              <w:tc>
                <w:tcPr>
                  <w:tcW w:w="1331" w:type="pct"/>
                  <w:vAlign w:val="center"/>
                </w:tcPr>
                <w:p w14:paraId="3978DB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电冰箱</w:t>
                  </w:r>
                </w:p>
              </w:tc>
              <w:tc>
                <w:tcPr>
                  <w:tcW w:w="1616" w:type="dxa"/>
                  <w:vAlign w:val="center"/>
                </w:tcPr>
                <w:p w14:paraId="3C720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BC-71</w:t>
                  </w:r>
                </w:p>
              </w:tc>
              <w:tc>
                <w:tcPr>
                  <w:tcW w:w="930" w:type="dxa"/>
                  <w:vAlign w:val="center"/>
                </w:tcPr>
                <w:p w14:paraId="761E1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2204" w:type="dxa"/>
                  <w:vAlign w:val="center"/>
                </w:tcPr>
                <w:p w14:paraId="62776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深圳市先科电器有限公司</w:t>
                  </w:r>
                </w:p>
              </w:tc>
              <w:tc>
                <w:tcPr>
                  <w:tcW w:w="509" w:type="pct"/>
                  <w:vAlign w:val="center"/>
                </w:tcPr>
                <w:p w14:paraId="7DCF4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试剂室</w:t>
                  </w:r>
                  <w:r>
                    <w:rPr>
                      <w:rFonts w:hint="eastAsia" w:cs="Times New Roman" w:eastAsiaTheme="minorEastAsia"/>
                      <w:bCs/>
                      <w:color w:val="auto"/>
                      <w:sz w:val="18"/>
                      <w:szCs w:val="18"/>
                      <w:highlight w:val="none"/>
                      <w:lang w:eastAsia="zh-CN"/>
                    </w:rPr>
                    <w:t>（</w:t>
                  </w:r>
                  <w:r>
                    <w:rPr>
                      <w:rFonts w:hint="eastAsia" w:cs="Times New Roman" w:eastAsiaTheme="minorEastAsia"/>
                      <w:bCs/>
                      <w:color w:val="auto"/>
                      <w:sz w:val="18"/>
                      <w:szCs w:val="18"/>
                      <w:highlight w:val="none"/>
                      <w:lang w:val="en-US" w:eastAsia="zh-CN"/>
                    </w:rPr>
                    <w:t>液体类</w:t>
                  </w:r>
                  <w:r>
                    <w:rPr>
                      <w:rFonts w:hint="eastAsia" w:cs="Times New Roman" w:eastAsiaTheme="minorEastAsia"/>
                      <w:bCs/>
                      <w:color w:val="auto"/>
                      <w:sz w:val="18"/>
                      <w:szCs w:val="18"/>
                      <w:highlight w:val="none"/>
                      <w:lang w:eastAsia="zh-CN"/>
                    </w:rPr>
                    <w:t>）</w:t>
                  </w:r>
                </w:p>
              </w:tc>
            </w:tr>
            <w:tr w14:paraId="2C24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689D1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0</w:t>
                  </w:r>
                </w:p>
              </w:tc>
              <w:tc>
                <w:tcPr>
                  <w:tcW w:w="1331" w:type="pct"/>
                  <w:vAlign w:val="center"/>
                </w:tcPr>
                <w:p w14:paraId="10D6F4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便携式pH计</w:t>
                  </w:r>
                </w:p>
              </w:tc>
              <w:tc>
                <w:tcPr>
                  <w:tcW w:w="966" w:type="pct"/>
                  <w:vAlign w:val="center"/>
                </w:tcPr>
                <w:p w14:paraId="1CE42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PHBJ-260</w:t>
                  </w:r>
                </w:p>
              </w:tc>
              <w:tc>
                <w:tcPr>
                  <w:tcW w:w="556" w:type="pct"/>
                  <w:vAlign w:val="center"/>
                </w:tcPr>
                <w:p w14:paraId="3C2630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62E81B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上海仪电科学仪器股份有限公司</w:t>
                  </w:r>
                </w:p>
              </w:tc>
              <w:tc>
                <w:tcPr>
                  <w:tcW w:w="509" w:type="pct"/>
                  <w:vMerge w:val="restart"/>
                  <w:vAlign w:val="center"/>
                </w:tcPr>
                <w:p w14:paraId="37244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eastAsia" w:cs="Times New Roman" w:eastAsiaTheme="minorEastAsia"/>
                      <w:bCs/>
                      <w:color w:val="auto"/>
                      <w:sz w:val="18"/>
                      <w:szCs w:val="18"/>
                      <w:highlight w:val="none"/>
                      <w:lang w:val="en-US" w:eastAsia="zh-CN"/>
                    </w:rPr>
                    <w:t>库房</w:t>
                  </w:r>
                </w:p>
              </w:tc>
            </w:tr>
            <w:tr w14:paraId="37F5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EA20B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1</w:t>
                  </w:r>
                </w:p>
              </w:tc>
              <w:tc>
                <w:tcPr>
                  <w:tcW w:w="1331" w:type="pct"/>
                  <w:vAlign w:val="center"/>
                </w:tcPr>
                <w:p w14:paraId="3B50A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污水采样器</w:t>
                  </w:r>
                </w:p>
              </w:tc>
              <w:tc>
                <w:tcPr>
                  <w:tcW w:w="966" w:type="pct"/>
                  <w:vAlign w:val="center"/>
                </w:tcPr>
                <w:p w14:paraId="04C489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56" w:type="pct"/>
                  <w:vAlign w:val="center"/>
                </w:tcPr>
                <w:p w14:paraId="4BF182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1318" w:type="pct"/>
                  <w:vAlign w:val="center"/>
                </w:tcPr>
                <w:p w14:paraId="1DCDE0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09" w:type="pct"/>
                  <w:vMerge w:val="continue"/>
                </w:tcPr>
                <w:p w14:paraId="6065C1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4D2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40453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2</w:t>
                  </w:r>
                </w:p>
              </w:tc>
              <w:tc>
                <w:tcPr>
                  <w:tcW w:w="1331" w:type="pct"/>
                  <w:vAlign w:val="center"/>
                </w:tcPr>
                <w:p w14:paraId="1C9A5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多功能噪声分析仪</w:t>
                  </w:r>
                </w:p>
              </w:tc>
              <w:tc>
                <w:tcPr>
                  <w:tcW w:w="966" w:type="pct"/>
                  <w:vAlign w:val="center"/>
                </w:tcPr>
                <w:p w14:paraId="2068B3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HS6288E</w:t>
                  </w:r>
                </w:p>
              </w:tc>
              <w:tc>
                <w:tcPr>
                  <w:tcW w:w="556" w:type="pct"/>
                  <w:vAlign w:val="center"/>
                </w:tcPr>
                <w:p w14:paraId="6F073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restart"/>
                  <w:vAlign w:val="center"/>
                </w:tcPr>
                <w:p w14:paraId="56D2BA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国营四三八零厂嘉兴分厂</w:t>
                  </w:r>
                </w:p>
              </w:tc>
              <w:tc>
                <w:tcPr>
                  <w:tcW w:w="509" w:type="pct"/>
                  <w:vMerge w:val="continue"/>
                </w:tcPr>
                <w:p w14:paraId="54B52C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0C66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7EDB3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3</w:t>
                  </w:r>
                </w:p>
              </w:tc>
              <w:tc>
                <w:tcPr>
                  <w:tcW w:w="1331" w:type="pct"/>
                  <w:vAlign w:val="center"/>
                </w:tcPr>
                <w:p w14:paraId="28F8A1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声级校准器</w:t>
                  </w:r>
                </w:p>
              </w:tc>
              <w:tc>
                <w:tcPr>
                  <w:tcW w:w="966" w:type="pct"/>
                  <w:vAlign w:val="center"/>
                </w:tcPr>
                <w:p w14:paraId="008556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HS6020A</w:t>
                  </w:r>
                </w:p>
              </w:tc>
              <w:tc>
                <w:tcPr>
                  <w:tcW w:w="556" w:type="pct"/>
                  <w:vAlign w:val="center"/>
                </w:tcPr>
                <w:p w14:paraId="78C4C7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4FB02D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AC692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D44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99AA3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4</w:t>
                  </w:r>
                </w:p>
              </w:tc>
              <w:tc>
                <w:tcPr>
                  <w:tcW w:w="1331" w:type="pct"/>
                  <w:vAlign w:val="center"/>
                </w:tcPr>
                <w:p w14:paraId="3FDBE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声级计</w:t>
                  </w:r>
                </w:p>
              </w:tc>
              <w:tc>
                <w:tcPr>
                  <w:tcW w:w="966" w:type="pct"/>
                  <w:vAlign w:val="center"/>
                </w:tcPr>
                <w:p w14:paraId="6BEBF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HS6288D</w:t>
                  </w:r>
                </w:p>
              </w:tc>
              <w:tc>
                <w:tcPr>
                  <w:tcW w:w="556" w:type="pct"/>
                  <w:vAlign w:val="center"/>
                </w:tcPr>
                <w:p w14:paraId="4E874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6948C5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B452F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129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445BB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5</w:t>
                  </w:r>
                </w:p>
              </w:tc>
              <w:tc>
                <w:tcPr>
                  <w:tcW w:w="1331" w:type="pct"/>
                  <w:vAlign w:val="center"/>
                </w:tcPr>
                <w:p w14:paraId="235F7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林格曼烟气黑度图</w:t>
                  </w:r>
                </w:p>
              </w:tc>
              <w:tc>
                <w:tcPr>
                  <w:tcW w:w="966" w:type="pct"/>
                  <w:vAlign w:val="center"/>
                </w:tcPr>
                <w:p w14:paraId="0017E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JC-LB</w:t>
                  </w:r>
                </w:p>
              </w:tc>
              <w:tc>
                <w:tcPr>
                  <w:tcW w:w="556" w:type="pct"/>
                  <w:vAlign w:val="center"/>
                </w:tcPr>
                <w:p w14:paraId="341F4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1731A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青岛精诚</w:t>
                  </w:r>
                </w:p>
              </w:tc>
              <w:tc>
                <w:tcPr>
                  <w:tcW w:w="509" w:type="pct"/>
                  <w:vMerge w:val="continue"/>
                </w:tcPr>
                <w:p w14:paraId="2F1C61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245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1B486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rPr>
                    <w:t>9</w:t>
                  </w:r>
                  <w:r>
                    <w:rPr>
                      <w:rFonts w:hint="eastAsia" w:cs="Times New Roman" w:eastAsiaTheme="minorEastAsia"/>
                      <w:color w:val="auto"/>
                      <w:sz w:val="18"/>
                      <w:szCs w:val="18"/>
                      <w:highlight w:val="none"/>
                      <w:lang w:val="en-US" w:eastAsia="zh-CN"/>
                    </w:rPr>
                    <w:t>6</w:t>
                  </w:r>
                </w:p>
              </w:tc>
              <w:tc>
                <w:tcPr>
                  <w:tcW w:w="1331" w:type="pct"/>
                  <w:vAlign w:val="center"/>
                </w:tcPr>
                <w:p w14:paraId="566C8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智能皂膜流量计</w:t>
                  </w:r>
                </w:p>
              </w:tc>
              <w:tc>
                <w:tcPr>
                  <w:tcW w:w="966" w:type="pct"/>
                  <w:vAlign w:val="center"/>
                </w:tcPr>
                <w:p w14:paraId="5C65C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ZR-5320</w:t>
                  </w:r>
                </w:p>
              </w:tc>
              <w:tc>
                <w:tcPr>
                  <w:tcW w:w="556" w:type="pct"/>
                  <w:vAlign w:val="center"/>
                </w:tcPr>
                <w:p w14:paraId="6FB7E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2D381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青岛众瑞智能</w:t>
                  </w:r>
                </w:p>
              </w:tc>
              <w:tc>
                <w:tcPr>
                  <w:tcW w:w="509" w:type="pct"/>
                  <w:vMerge w:val="continue"/>
                </w:tcPr>
                <w:p w14:paraId="5AA697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0B33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C9766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100</w:t>
                  </w:r>
                </w:p>
              </w:tc>
              <w:tc>
                <w:tcPr>
                  <w:tcW w:w="1331" w:type="pct"/>
                  <w:vAlign w:val="center"/>
                </w:tcPr>
                <w:p w14:paraId="54D1D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孔口流量校准器</w:t>
                  </w:r>
                </w:p>
              </w:tc>
              <w:tc>
                <w:tcPr>
                  <w:tcW w:w="966" w:type="pct"/>
                  <w:vAlign w:val="center"/>
                </w:tcPr>
                <w:p w14:paraId="73B557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ZR-5040</w:t>
                  </w:r>
                </w:p>
              </w:tc>
              <w:tc>
                <w:tcPr>
                  <w:tcW w:w="556" w:type="pct"/>
                  <w:vAlign w:val="center"/>
                </w:tcPr>
                <w:p w14:paraId="7BFF4F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17CD65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青岛众瑞智能</w:t>
                  </w:r>
                </w:p>
              </w:tc>
              <w:tc>
                <w:tcPr>
                  <w:tcW w:w="509" w:type="pct"/>
                  <w:vMerge w:val="continue"/>
                </w:tcPr>
                <w:p w14:paraId="2AF1E8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4D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5EDC0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101</w:t>
                  </w:r>
                </w:p>
              </w:tc>
              <w:tc>
                <w:tcPr>
                  <w:tcW w:w="1331" w:type="pct"/>
                  <w:vAlign w:val="center"/>
                </w:tcPr>
                <w:p w14:paraId="54B13F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底泥采样器</w:t>
                  </w:r>
                </w:p>
              </w:tc>
              <w:tc>
                <w:tcPr>
                  <w:tcW w:w="966" w:type="pct"/>
                  <w:vAlign w:val="center"/>
                </w:tcPr>
                <w:p w14:paraId="2B9D1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56" w:type="pct"/>
                  <w:vAlign w:val="center"/>
                </w:tcPr>
                <w:p w14:paraId="667BA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1318" w:type="pct"/>
                  <w:vAlign w:val="center"/>
                </w:tcPr>
                <w:p w14:paraId="2692B7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09" w:type="pct"/>
                  <w:vMerge w:val="continue"/>
                </w:tcPr>
                <w:p w14:paraId="7A8F4A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A78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AA995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102</w:t>
                  </w:r>
                </w:p>
              </w:tc>
              <w:tc>
                <w:tcPr>
                  <w:tcW w:w="1331" w:type="pct"/>
                  <w:vAlign w:val="center"/>
                </w:tcPr>
                <w:p w14:paraId="37226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智能型中流量颗粒物采样器</w:t>
                  </w:r>
                </w:p>
              </w:tc>
              <w:tc>
                <w:tcPr>
                  <w:tcW w:w="966" w:type="pct"/>
                  <w:vAlign w:val="center"/>
                </w:tcPr>
                <w:p w14:paraId="09DB6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HT-120F</w:t>
                  </w:r>
                </w:p>
              </w:tc>
              <w:tc>
                <w:tcPr>
                  <w:tcW w:w="556" w:type="pct"/>
                  <w:vAlign w:val="center"/>
                </w:tcPr>
                <w:p w14:paraId="73E10E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restart"/>
                  <w:vAlign w:val="center"/>
                </w:tcPr>
                <w:p w14:paraId="6BB98B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青岛海特尔环保科技有限公司</w:t>
                  </w:r>
                </w:p>
              </w:tc>
              <w:tc>
                <w:tcPr>
                  <w:tcW w:w="509" w:type="pct"/>
                  <w:vMerge w:val="continue"/>
                </w:tcPr>
                <w:p w14:paraId="28DC73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BA9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CD0BC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103</w:t>
                  </w:r>
                </w:p>
              </w:tc>
              <w:tc>
                <w:tcPr>
                  <w:tcW w:w="1331" w:type="pct"/>
                  <w:vAlign w:val="center"/>
                </w:tcPr>
                <w:p w14:paraId="50AF79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智能型中流量颗粒物采样器</w:t>
                  </w:r>
                </w:p>
              </w:tc>
              <w:tc>
                <w:tcPr>
                  <w:tcW w:w="966" w:type="pct"/>
                </w:tcPr>
                <w:p w14:paraId="295347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HT-120F</w:t>
                  </w:r>
                </w:p>
              </w:tc>
              <w:tc>
                <w:tcPr>
                  <w:tcW w:w="556" w:type="pct"/>
                  <w:vAlign w:val="center"/>
                </w:tcPr>
                <w:p w14:paraId="3C3E2E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2FF809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0EF4F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AD4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22D15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104</w:t>
                  </w:r>
                </w:p>
              </w:tc>
              <w:tc>
                <w:tcPr>
                  <w:tcW w:w="1331" w:type="pct"/>
                  <w:vAlign w:val="center"/>
                </w:tcPr>
                <w:p w14:paraId="6A54C2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智能型中流量颗粒物采样器</w:t>
                  </w:r>
                </w:p>
              </w:tc>
              <w:tc>
                <w:tcPr>
                  <w:tcW w:w="966" w:type="pct"/>
                </w:tcPr>
                <w:p w14:paraId="4D9780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HT-120F</w:t>
                  </w:r>
                </w:p>
              </w:tc>
              <w:tc>
                <w:tcPr>
                  <w:tcW w:w="556" w:type="pct"/>
                  <w:vAlign w:val="center"/>
                </w:tcPr>
                <w:p w14:paraId="272913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6B613D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6CD9B6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92A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11C1B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105</w:t>
                  </w:r>
                </w:p>
              </w:tc>
              <w:tc>
                <w:tcPr>
                  <w:tcW w:w="1331" w:type="pct"/>
                  <w:vAlign w:val="center"/>
                </w:tcPr>
                <w:p w14:paraId="7EB09E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智能型中流量颗粒物采样器</w:t>
                  </w:r>
                </w:p>
              </w:tc>
              <w:tc>
                <w:tcPr>
                  <w:tcW w:w="966" w:type="pct"/>
                  <w:vAlign w:val="center"/>
                </w:tcPr>
                <w:p w14:paraId="5E0C64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HT-120F</w:t>
                  </w:r>
                </w:p>
              </w:tc>
              <w:tc>
                <w:tcPr>
                  <w:tcW w:w="556" w:type="pct"/>
                  <w:vAlign w:val="center"/>
                </w:tcPr>
                <w:p w14:paraId="1FA786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vAlign w:val="center"/>
                </w:tcPr>
                <w:p w14:paraId="60E8F5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FC9F7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051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1548E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106</w:t>
                  </w:r>
                </w:p>
              </w:tc>
              <w:tc>
                <w:tcPr>
                  <w:tcW w:w="1331" w:type="pct"/>
                  <w:vAlign w:val="center"/>
                </w:tcPr>
                <w:p w14:paraId="09A76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自动烟尘烟气测试仪</w:t>
                  </w:r>
                </w:p>
              </w:tc>
              <w:tc>
                <w:tcPr>
                  <w:tcW w:w="966" w:type="pct"/>
                  <w:vAlign w:val="center"/>
                </w:tcPr>
                <w:p w14:paraId="67C561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JY-60E</w:t>
                  </w:r>
                </w:p>
              </w:tc>
              <w:tc>
                <w:tcPr>
                  <w:tcW w:w="556" w:type="pct"/>
                  <w:vAlign w:val="center"/>
                </w:tcPr>
                <w:p w14:paraId="60BD2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vAlign w:val="center"/>
                </w:tcPr>
                <w:p w14:paraId="2919F5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151121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2533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DA0C1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107</w:t>
                  </w:r>
                </w:p>
              </w:tc>
              <w:tc>
                <w:tcPr>
                  <w:tcW w:w="1331" w:type="pct"/>
                  <w:vAlign w:val="center"/>
                </w:tcPr>
                <w:p w14:paraId="003DF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空盒气压表</w:t>
                  </w:r>
                </w:p>
              </w:tc>
              <w:tc>
                <w:tcPr>
                  <w:tcW w:w="966" w:type="pct"/>
                  <w:vAlign w:val="center"/>
                </w:tcPr>
                <w:p w14:paraId="3BBF83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DYM3</w:t>
                  </w:r>
                </w:p>
              </w:tc>
              <w:tc>
                <w:tcPr>
                  <w:tcW w:w="556" w:type="pct"/>
                  <w:vAlign w:val="center"/>
                </w:tcPr>
                <w:p w14:paraId="22EF78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2018B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上海孟德</w:t>
                  </w:r>
                </w:p>
              </w:tc>
              <w:tc>
                <w:tcPr>
                  <w:tcW w:w="509" w:type="pct"/>
                  <w:vMerge w:val="continue"/>
                </w:tcPr>
                <w:p w14:paraId="06ABC6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07B9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3DED7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108</w:t>
                  </w:r>
                </w:p>
              </w:tc>
              <w:tc>
                <w:tcPr>
                  <w:tcW w:w="1331" w:type="pct"/>
                  <w:vAlign w:val="center"/>
                </w:tcPr>
                <w:p w14:paraId="18279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风速仪</w:t>
                  </w:r>
                </w:p>
              </w:tc>
              <w:tc>
                <w:tcPr>
                  <w:tcW w:w="966" w:type="pct"/>
                  <w:vAlign w:val="center"/>
                </w:tcPr>
                <w:p w14:paraId="44781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P6-8232</w:t>
                  </w:r>
                </w:p>
              </w:tc>
              <w:tc>
                <w:tcPr>
                  <w:tcW w:w="556" w:type="pct"/>
                  <w:vAlign w:val="center"/>
                </w:tcPr>
                <w:p w14:paraId="5E796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316CDF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乐清市大仓电子</w:t>
                  </w:r>
                </w:p>
              </w:tc>
              <w:tc>
                <w:tcPr>
                  <w:tcW w:w="509" w:type="pct"/>
                  <w:vMerge w:val="continue"/>
                </w:tcPr>
                <w:p w14:paraId="26667E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D3D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13E644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109</w:t>
                  </w:r>
                </w:p>
              </w:tc>
              <w:tc>
                <w:tcPr>
                  <w:tcW w:w="1331" w:type="pct"/>
                  <w:vAlign w:val="center"/>
                </w:tcPr>
                <w:p w14:paraId="7B4C7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sz w:val="18"/>
                      <w:szCs w:val="18"/>
                      <w:highlight w:val="none"/>
                    </w:rPr>
                    <w:t>旋</w:t>
                  </w:r>
                  <w:r>
                    <w:rPr>
                      <w:rFonts w:hint="eastAsia" w:cs="Times New Roman" w:eastAsiaTheme="minorEastAsia"/>
                      <w:bCs/>
                      <w:color w:val="auto"/>
                      <w:sz w:val="18"/>
                      <w:szCs w:val="18"/>
                      <w:highlight w:val="none"/>
                      <w:lang w:eastAsia="zh-CN"/>
                    </w:rPr>
                    <w:t>桨</w:t>
                  </w:r>
                  <w:r>
                    <w:rPr>
                      <w:rFonts w:hint="default" w:ascii="Times New Roman" w:hAnsi="Times New Roman" w:cs="Times New Roman" w:eastAsiaTheme="minorEastAsia"/>
                      <w:bCs/>
                      <w:color w:val="auto"/>
                      <w:sz w:val="18"/>
                      <w:szCs w:val="18"/>
                      <w:highlight w:val="none"/>
                    </w:rPr>
                    <w:t>式流速仪（转子式</w:t>
                  </w:r>
                </w:p>
                <w:p w14:paraId="018132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流速仪）</w:t>
                  </w:r>
                </w:p>
              </w:tc>
              <w:tc>
                <w:tcPr>
                  <w:tcW w:w="966" w:type="pct"/>
                  <w:vAlign w:val="center"/>
                </w:tcPr>
                <w:p w14:paraId="35E8C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LS1206B</w:t>
                  </w:r>
                </w:p>
              </w:tc>
              <w:tc>
                <w:tcPr>
                  <w:tcW w:w="556" w:type="pct"/>
                  <w:vAlign w:val="center"/>
                </w:tcPr>
                <w:p w14:paraId="32E35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20704C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江苏南水科技</w:t>
                  </w:r>
                </w:p>
              </w:tc>
              <w:tc>
                <w:tcPr>
                  <w:tcW w:w="509" w:type="pct"/>
                  <w:vMerge w:val="continue"/>
                </w:tcPr>
                <w:p w14:paraId="76E1D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2271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16E97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110</w:t>
                  </w:r>
                </w:p>
              </w:tc>
              <w:tc>
                <w:tcPr>
                  <w:tcW w:w="1331" w:type="pct"/>
                  <w:vAlign w:val="center"/>
                </w:tcPr>
                <w:p w14:paraId="13026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双气路大气采样仪</w:t>
                  </w:r>
                </w:p>
              </w:tc>
              <w:tc>
                <w:tcPr>
                  <w:tcW w:w="966" w:type="pct"/>
                  <w:vAlign w:val="center"/>
                </w:tcPr>
                <w:p w14:paraId="549A88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QC-2</w:t>
                  </w:r>
                </w:p>
              </w:tc>
              <w:tc>
                <w:tcPr>
                  <w:tcW w:w="556" w:type="pct"/>
                  <w:vAlign w:val="center"/>
                </w:tcPr>
                <w:p w14:paraId="2160CB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restart"/>
                  <w:vAlign w:val="center"/>
                </w:tcPr>
                <w:p w14:paraId="5A517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北京市劳动保护科学研究所</w:t>
                  </w:r>
                </w:p>
              </w:tc>
              <w:tc>
                <w:tcPr>
                  <w:tcW w:w="509" w:type="pct"/>
                  <w:vMerge w:val="continue"/>
                </w:tcPr>
                <w:p w14:paraId="0E8068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D6D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FE8BD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111</w:t>
                  </w:r>
                </w:p>
              </w:tc>
              <w:tc>
                <w:tcPr>
                  <w:tcW w:w="1331" w:type="pct"/>
                  <w:vAlign w:val="center"/>
                </w:tcPr>
                <w:p w14:paraId="2EEA60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双气路大气采样仪</w:t>
                  </w:r>
                </w:p>
              </w:tc>
              <w:tc>
                <w:tcPr>
                  <w:tcW w:w="966" w:type="pct"/>
                </w:tcPr>
                <w:p w14:paraId="4E8748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QC-2</w:t>
                  </w:r>
                </w:p>
              </w:tc>
              <w:tc>
                <w:tcPr>
                  <w:tcW w:w="556" w:type="pct"/>
                  <w:vAlign w:val="center"/>
                </w:tcPr>
                <w:p w14:paraId="4DD53B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3CB795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ADE81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4650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6AAFE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112</w:t>
                  </w:r>
                </w:p>
              </w:tc>
              <w:tc>
                <w:tcPr>
                  <w:tcW w:w="1331" w:type="pct"/>
                  <w:vAlign w:val="center"/>
                </w:tcPr>
                <w:p w14:paraId="09331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双气路大气采样仪</w:t>
                  </w:r>
                </w:p>
              </w:tc>
              <w:tc>
                <w:tcPr>
                  <w:tcW w:w="966" w:type="pct"/>
                </w:tcPr>
                <w:p w14:paraId="3317EE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QC-2</w:t>
                  </w:r>
                </w:p>
              </w:tc>
              <w:tc>
                <w:tcPr>
                  <w:tcW w:w="556" w:type="pct"/>
                  <w:vAlign w:val="center"/>
                </w:tcPr>
                <w:p w14:paraId="0C0AF4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05620D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7D077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FF3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107E0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113</w:t>
                  </w:r>
                </w:p>
              </w:tc>
              <w:tc>
                <w:tcPr>
                  <w:tcW w:w="1331" w:type="pct"/>
                  <w:vAlign w:val="center"/>
                </w:tcPr>
                <w:p w14:paraId="33B7F9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双气路大气采样仪</w:t>
                  </w:r>
                </w:p>
              </w:tc>
              <w:tc>
                <w:tcPr>
                  <w:tcW w:w="966" w:type="pct"/>
                </w:tcPr>
                <w:p w14:paraId="3BBA5D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QC-2</w:t>
                  </w:r>
                </w:p>
              </w:tc>
              <w:tc>
                <w:tcPr>
                  <w:tcW w:w="556" w:type="pct"/>
                  <w:vAlign w:val="center"/>
                </w:tcPr>
                <w:p w14:paraId="755456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1C252D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13FEB9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3326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D1CB3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114</w:t>
                  </w:r>
                </w:p>
              </w:tc>
              <w:tc>
                <w:tcPr>
                  <w:tcW w:w="1331" w:type="pct"/>
                  <w:vAlign w:val="center"/>
                </w:tcPr>
                <w:p w14:paraId="0B0C2D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测氡仪</w:t>
                  </w:r>
                </w:p>
              </w:tc>
              <w:tc>
                <w:tcPr>
                  <w:tcW w:w="966" w:type="pct"/>
                  <w:vAlign w:val="center"/>
                </w:tcPr>
                <w:p w14:paraId="3C432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HS01</w:t>
                  </w:r>
                </w:p>
              </w:tc>
              <w:tc>
                <w:tcPr>
                  <w:tcW w:w="556" w:type="pct"/>
                  <w:vAlign w:val="center"/>
                </w:tcPr>
                <w:p w14:paraId="2652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53DD4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成都核盛</w:t>
                  </w:r>
                </w:p>
              </w:tc>
              <w:tc>
                <w:tcPr>
                  <w:tcW w:w="509" w:type="pct"/>
                  <w:vMerge w:val="continue"/>
                </w:tcPr>
                <w:p w14:paraId="6A2CF0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23AF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4CE87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115</w:t>
                  </w:r>
                </w:p>
              </w:tc>
              <w:tc>
                <w:tcPr>
                  <w:tcW w:w="1331" w:type="pct"/>
                  <w:vAlign w:val="center"/>
                </w:tcPr>
                <w:p w14:paraId="5F2A8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便携式明渠流量计</w:t>
                  </w:r>
                </w:p>
              </w:tc>
              <w:tc>
                <w:tcPr>
                  <w:tcW w:w="966" w:type="pct"/>
                  <w:vAlign w:val="center"/>
                </w:tcPr>
                <w:p w14:paraId="2364F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center"/>
                    <w:rPr>
                      <w:rFonts w:hint="default" w:ascii="Times New Roman" w:hAnsi="Times New Roman" w:cs="Times New Roman" w:eastAsiaTheme="minorEastAsia"/>
                      <w:bCs/>
                      <w:color w:val="auto"/>
                      <w:sz w:val="18"/>
                      <w:szCs w:val="18"/>
                      <w:highlight w:val="none"/>
                    </w:rPr>
                  </w:pPr>
                  <w:r>
                    <w:rPr>
                      <w:rFonts w:hint="default" w:ascii="Times New Roman" w:hAnsi="Times New Roman" w:cs="Times New Roman" w:eastAsiaTheme="minorEastAsia"/>
                      <w:bCs/>
                      <w:color w:val="auto"/>
                      <w:kern w:val="0"/>
                      <w:sz w:val="18"/>
                      <w:szCs w:val="18"/>
                      <w:highlight w:val="none"/>
                      <w:lang w:bidi="ar"/>
                    </w:rPr>
                    <w:t>LB-6200</w:t>
                  </w:r>
                </w:p>
              </w:tc>
              <w:tc>
                <w:tcPr>
                  <w:tcW w:w="556" w:type="pct"/>
                  <w:vAlign w:val="center"/>
                </w:tcPr>
                <w:p w14:paraId="5D208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restart"/>
                  <w:vAlign w:val="center"/>
                </w:tcPr>
                <w:p w14:paraId="41D56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青岛路博建业</w:t>
                  </w:r>
                </w:p>
              </w:tc>
              <w:tc>
                <w:tcPr>
                  <w:tcW w:w="509" w:type="pct"/>
                  <w:vMerge w:val="continue"/>
                </w:tcPr>
                <w:p w14:paraId="1DEA48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3DC0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B6910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116</w:t>
                  </w:r>
                </w:p>
              </w:tc>
              <w:tc>
                <w:tcPr>
                  <w:tcW w:w="1331" w:type="pct"/>
                  <w:vAlign w:val="center"/>
                </w:tcPr>
                <w:p w14:paraId="776EF4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不透光烟度计</w:t>
                  </w:r>
                </w:p>
              </w:tc>
              <w:tc>
                <w:tcPr>
                  <w:tcW w:w="966" w:type="pct"/>
                  <w:vAlign w:val="center"/>
                </w:tcPr>
                <w:p w14:paraId="6EE8B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LB-5YX</w:t>
                  </w:r>
                </w:p>
              </w:tc>
              <w:tc>
                <w:tcPr>
                  <w:tcW w:w="556" w:type="pct"/>
                </w:tcPr>
                <w:p w14:paraId="47944E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3B7BA2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63D652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8E0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F6FC9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117</w:t>
                  </w:r>
                </w:p>
              </w:tc>
              <w:tc>
                <w:tcPr>
                  <w:tcW w:w="1331" w:type="pct"/>
                  <w:vAlign w:val="center"/>
                </w:tcPr>
                <w:p w14:paraId="7ECCD1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kern w:val="0"/>
                      <w:sz w:val="18"/>
                      <w:szCs w:val="18"/>
                      <w:highlight w:val="none"/>
                    </w:rPr>
                  </w:pPr>
                  <w:r>
                    <w:rPr>
                      <w:rFonts w:hint="default" w:ascii="Times New Roman" w:hAnsi="Times New Roman" w:cs="Times New Roman" w:eastAsiaTheme="minorEastAsia"/>
                      <w:bCs/>
                      <w:color w:val="auto"/>
                      <w:sz w:val="18"/>
                      <w:szCs w:val="18"/>
                      <w:highlight w:val="none"/>
                    </w:rPr>
                    <w:t>低浓度烟尘烟气测试仪</w:t>
                  </w:r>
                </w:p>
                <w:p w14:paraId="5010D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固定污染源综合（四合一污染源）取样管</w:t>
                  </w:r>
                </w:p>
              </w:tc>
              <w:tc>
                <w:tcPr>
                  <w:tcW w:w="966" w:type="pct"/>
                  <w:vAlign w:val="center"/>
                </w:tcPr>
                <w:p w14:paraId="56A55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LB-70C</w:t>
                  </w:r>
                </w:p>
              </w:tc>
              <w:tc>
                <w:tcPr>
                  <w:tcW w:w="556" w:type="pct"/>
                  <w:vAlign w:val="center"/>
                </w:tcPr>
                <w:p w14:paraId="167344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5801FA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13139D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AC2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3F9AD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118</w:t>
                  </w:r>
                </w:p>
              </w:tc>
              <w:tc>
                <w:tcPr>
                  <w:tcW w:w="1331" w:type="pct"/>
                  <w:vAlign w:val="center"/>
                </w:tcPr>
                <w:p w14:paraId="5EF7F3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固定污染源综合（四合一污染源）取样管</w:t>
                  </w:r>
                </w:p>
              </w:tc>
              <w:tc>
                <w:tcPr>
                  <w:tcW w:w="966" w:type="pct"/>
                  <w:vAlign w:val="center"/>
                </w:tcPr>
                <w:p w14:paraId="1C8E3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LB-1080</w:t>
                  </w:r>
                </w:p>
              </w:tc>
              <w:tc>
                <w:tcPr>
                  <w:tcW w:w="556" w:type="pct"/>
                </w:tcPr>
                <w:p w14:paraId="077138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51E71E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390EA7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81B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7A920D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119</w:t>
                  </w:r>
                </w:p>
              </w:tc>
              <w:tc>
                <w:tcPr>
                  <w:tcW w:w="1331" w:type="pct"/>
                  <w:vAlign w:val="center"/>
                </w:tcPr>
                <w:p w14:paraId="67E27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小流量恒流气体采样器</w:t>
                  </w:r>
                </w:p>
              </w:tc>
              <w:tc>
                <w:tcPr>
                  <w:tcW w:w="966" w:type="pct"/>
                  <w:vAlign w:val="center"/>
                </w:tcPr>
                <w:p w14:paraId="29070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LB-2090</w:t>
                  </w:r>
                </w:p>
              </w:tc>
              <w:tc>
                <w:tcPr>
                  <w:tcW w:w="556" w:type="pct"/>
                </w:tcPr>
                <w:p w14:paraId="375F32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21BC44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514155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2983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1D0A1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120</w:t>
                  </w:r>
                </w:p>
              </w:tc>
              <w:tc>
                <w:tcPr>
                  <w:tcW w:w="1331" w:type="pct"/>
                  <w:vAlign w:val="center"/>
                </w:tcPr>
                <w:p w14:paraId="3ECE1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小流量恒流气体采样器</w:t>
                  </w:r>
                </w:p>
              </w:tc>
              <w:tc>
                <w:tcPr>
                  <w:tcW w:w="966" w:type="pct"/>
                  <w:vAlign w:val="center"/>
                </w:tcPr>
                <w:p w14:paraId="6A2451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LB-2090</w:t>
                  </w:r>
                </w:p>
              </w:tc>
              <w:tc>
                <w:tcPr>
                  <w:tcW w:w="556" w:type="pct"/>
                </w:tcPr>
                <w:p w14:paraId="203DDB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65BCFD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487A9B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D8A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94A13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121</w:t>
                  </w:r>
                </w:p>
              </w:tc>
              <w:tc>
                <w:tcPr>
                  <w:tcW w:w="1331" w:type="pct"/>
                  <w:vAlign w:val="center"/>
                </w:tcPr>
                <w:p w14:paraId="01C6D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小流量恒流气体采样器</w:t>
                  </w:r>
                </w:p>
              </w:tc>
              <w:tc>
                <w:tcPr>
                  <w:tcW w:w="966" w:type="pct"/>
                  <w:vAlign w:val="center"/>
                </w:tcPr>
                <w:p w14:paraId="161BF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LB-2090</w:t>
                  </w:r>
                </w:p>
              </w:tc>
              <w:tc>
                <w:tcPr>
                  <w:tcW w:w="556" w:type="pct"/>
                </w:tcPr>
                <w:p w14:paraId="6D7A9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0D8CE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1B415C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D48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C32D8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122</w:t>
                  </w:r>
                </w:p>
              </w:tc>
              <w:tc>
                <w:tcPr>
                  <w:tcW w:w="1331" w:type="pct"/>
                  <w:vAlign w:val="center"/>
                </w:tcPr>
                <w:p w14:paraId="4067DE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小流量恒流气体采样器</w:t>
                  </w:r>
                </w:p>
              </w:tc>
              <w:tc>
                <w:tcPr>
                  <w:tcW w:w="966" w:type="pct"/>
                  <w:vAlign w:val="center"/>
                </w:tcPr>
                <w:p w14:paraId="6EC5E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LB-2090</w:t>
                  </w:r>
                </w:p>
              </w:tc>
              <w:tc>
                <w:tcPr>
                  <w:tcW w:w="556" w:type="pct"/>
                </w:tcPr>
                <w:p w14:paraId="1A9025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30BD8A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60BD3F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8D4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26F374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123</w:t>
                  </w:r>
                </w:p>
              </w:tc>
              <w:tc>
                <w:tcPr>
                  <w:tcW w:w="1331" w:type="pct"/>
                  <w:vAlign w:val="center"/>
                </w:tcPr>
                <w:p w14:paraId="2C2CC0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高负压型智能颗粒物中流量采样器</w:t>
                  </w:r>
                </w:p>
              </w:tc>
              <w:tc>
                <w:tcPr>
                  <w:tcW w:w="966" w:type="pct"/>
                  <w:vAlign w:val="center"/>
                </w:tcPr>
                <w:p w14:paraId="4FB38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LB-120F（GK）</w:t>
                  </w:r>
                </w:p>
              </w:tc>
              <w:tc>
                <w:tcPr>
                  <w:tcW w:w="556" w:type="pct"/>
                </w:tcPr>
                <w:p w14:paraId="0C5E1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6F763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015723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5E0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F8328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124</w:t>
                  </w:r>
                </w:p>
              </w:tc>
              <w:tc>
                <w:tcPr>
                  <w:tcW w:w="1331" w:type="pct"/>
                  <w:vAlign w:val="center"/>
                </w:tcPr>
                <w:p w14:paraId="43504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高负压型智能颗粒物中流量采样器</w:t>
                  </w:r>
                </w:p>
              </w:tc>
              <w:tc>
                <w:tcPr>
                  <w:tcW w:w="966" w:type="pct"/>
                  <w:vAlign w:val="center"/>
                </w:tcPr>
                <w:p w14:paraId="4D65E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LB-120F（GK）</w:t>
                  </w:r>
                </w:p>
              </w:tc>
              <w:tc>
                <w:tcPr>
                  <w:tcW w:w="556" w:type="pct"/>
                </w:tcPr>
                <w:p w14:paraId="23DD7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0919C6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3C2654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9EF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6A38B4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125</w:t>
                  </w:r>
                </w:p>
              </w:tc>
              <w:tc>
                <w:tcPr>
                  <w:tcW w:w="1331" w:type="pct"/>
                </w:tcPr>
                <w:p w14:paraId="1EEF60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高负压型智能颗粒物中流量采样器</w:t>
                  </w:r>
                </w:p>
              </w:tc>
              <w:tc>
                <w:tcPr>
                  <w:tcW w:w="966" w:type="pct"/>
                  <w:vAlign w:val="center"/>
                </w:tcPr>
                <w:p w14:paraId="7E58B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LB-120F（GK）</w:t>
                  </w:r>
                </w:p>
              </w:tc>
              <w:tc>
                <w:tcPr>
                  <w:tcW w:w="556" w:type="pct"/>
                </w:tcPr>
                <w:p w14:paraId="510DD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2510A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27C35F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A31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407752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126</w:t>
                  </w:r>
                </w:p>
              </w:tc>
              <w:tc>
                <w:tcPr>
                  <w:tcW w:w="1331" w:type="pct"/>
                </w:tcPr>
                <w:p w14:paraId="79C704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高负压型智能颗粒物中流量采样器</w:t>
                  </w:r>
                </w:p>
              </w:tc>
              <w:tc>
                <w:tcPr>
                  <w:tcW w:w="966" w:type="pct"/>
                  <w:vAlign w:val="center"/>
                </w:tcPr>
                <w:p w14:paraId="3682A6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LB-120F（GK）</w:t>
                  </w:r>
                </w:p>
              </w:tc>
              <w:tc>
                <w:tcPr>
                  <w:tcW w:w="556" w:type="pct"/>
                </w:tcPr>
                <w:p w14:paraId="1B06AE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tcPr>
                <w:p w14:paraId="314CC7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tcPr>
                <w:p w14:paraId="0A1BF8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66D9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B505D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127</w:t>
                  </w:r>
                </w:p>
              </w:tc>
              <w:tc>
                <w:tcPr>
                  <w:tcW w:w="1331" w:type="pct"/>
                  <w:vAlign w:val="center"/>
                </w:tcPr>
                <w:p w14:paraId="006FD5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加热型低浓度烟尘取样管</w:t>
                  </w:r>
                </w:p>
              </w:tc>
              <w:tc>
                <w:tcPr>
                  <w:tcW w:w="966" w:type="pct"/>
                  <w:vAlign w:val="center"/>
                </w:tcPr>
                <w:p w14:paraId="325780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56" w:type="pct"/>
                  <w:vAlign w:val="center"/>
                </w:tcPr>
                <w:p w14:paraId="38FABB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1318" w:type="pct"/>
                  <w:vAlign w:val="center"/>
                </w:tcPr>
                <w:p w14:paraId="03BEFA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eastAsia="zh-CN"/>
                    </w:rPr>
                  </w:pPr>
                  <w:r>
                    <w:rPr>
                      <w:rFonts w:hint="eastAsia" w:ascii="Times New Roman" w:hAnsi="Times New Roman" w:cs="Times New Roman" w:eastAsiaTheme="minorEastAsia"/>
                      <w:color w:val="auto"/>
                      <w:sz w:val="18"/>
                      <w:szCs w:val="18"/>
                      <w:highlight w:val="none"/>
                      <w:lang w:val="en-US" w:eastAsia="zh-CN"/>
                    </w:rPr>
                    <w:t>/</w:t>
                  </w:r>
                </w:p>
              </w:tc>
              <w:tc>
                <w:tcPr>
                  <w:tcW w:w="509" w:type="pct"/>
                  <w:vMerge w:val="continue"/>
                  <w:vAlign w:val="center"/>
                </w:tcPr>
                <w:p w14:paraId="04361B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7F16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96560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128</w:t>
                  </w:r>
                </w:p>
              </w:tc>
              <w:tc>
                <w:tcPr>
                  <w:tcW w:w="1331" w:type="pct"/>
                  <w:vAlign w:val="center"/>
                </w:tcPr>
                <w:p w14:paraId="6DE82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普通烟尘采样管</w:t>
                  </w:r>
                </w:p>
              </w:tc>
              <w:tc>
                <w:tcPr>
                  <w:tcW w:w="966" w:type="pct"/>
                  <w:vAlign w:val="center"/>
                </w:tcPr>
                <w:p w14:paraId="743D02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56" w:type="pct"/>
                  <w:vAlign w:val="center"/>
                </w:tcPr>
                <w:p w14:paraId="4B41A4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w:t>
                  </w:r>
                </w:p>
              </w:tc>
              <w:tc>
                <w:tcPr>
                  <w:tcW w:w="1318" w:type="pct"/>
                  <w:vAlign w:val="center"/>
                </w:tcPr>
                <w:p w14:paraId="1699D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509" w:type="pct"/>
                  <w:vMerge w:val="continue"/>
                  <w:vAlign w:val="center"/>
                </w:tcPr>
                <w:p w14:paraId="5A1FD3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6B3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D44FF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129</w:t>
                  </w:r>
                </w:p>
              </w:tc>
              <w:tc>
                <w:tcPr>
                  <w:tcW w:w="1331" w:type="pct"/>
                  <w:vAlign w:val="center"/>
                </w:tcPr>
                <w:p w14:paraId="32D7E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便携式浊度计</w:t>
                  </w:r>
                </w:p>
              </w:tc>
              <w:tc>
                <w:tcPr>
                  <w:tcW w:w="966" w:type="pct"/>
                  <w:vAlign w:val="center"/>
                </w:tcPr>
                <w:p w14:paraId="441A45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WZB-170</w:t>
                  </w:r>
                </w:p>
              </w:tc>
              <w:tc>
                <w:tcPr>
                  <w:tcW w:w="556" w:type="pct"/>
                  <w:vAlign w:val="center"/>
                </w:tcPr>
                <w:p w14:paraId="3A2FAB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3DE610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上海仪电</w:t>
                  </w:r>
                </w:p>
              </w:tc>
              <w:tc>
                <w:tcPr>
                  <w:tcW w:w="509" w:type="pct"/>
                  <w:vMerge w:val="continue"/>
                  <w:vAlign w:val="center"/>
                </w:tcPr>
                <w:p w14:paraId="33599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757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2175F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130</w:t>
                  </w:r>
                </w:p>
              </w:tc>
              <w:tc>
                <w:tcPr>
                  <w:tcW w:w="1331" w:type="pct"/>
                  <w:vAlign w:val="center"/>
                </w:tcPr>
                <w:p w14:paraId="365CB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微生物采样器</w:t>
                  </w:r>
                </w:p>
              </w:tc>
              <w:tc>
                <w:tcPr>
                  <w:tcW w:w="966" w:type="pct"/>
                  <w:vAlign w:val="center"/>
                </w:tcPr>
                <w:p w14:paraId="76F2F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LB-KHW-6</w:t>
                  </w:r>
                </w:p>
              </w:tc>
              <w:tc>
                <w:tcPr>
                  <w:tcW w:w="556" w:type="pct"/>
                  <w:vAlign w:val="center"/>
                </w:tcPr>
                <w:p w14:paraId="5EB21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restart"/>
                  <w:vAlign w:val="center"/>
                </w:tcPr>
                <w:p w14:paraId="453A7B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青岛路博建业</w:t>
                  </w:r>
                </w:p>
              </w:tc>
              <w:tc>
                <w:tcPr>
                  <w:tcW w:w="509" w:type="pct"/>
                  <w:vMerge w:val="continue"/>
                  <w:vAlign w:val="center"/>
                </w:tcPr>
                <w:p w14:paraId="2DC1D5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02EB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352E04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131</w:t>
                  </w:r>
                </w:p>
              </w:tc>
              <w:tc>
                <w:tcPr>
                  <w:tcW w:w="1331" w:type="pct"/>
                  <w:vAlign w:val="center"/>
                </w:tcPr>
                <w:p w14:paraId="3A2FD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热球式风速仪</w:t>
                  </w:r>
                </w:p>
              </w:tc>
              <w:tc>
                <w:tcPr>
                  <w:tcW w:w="966" w:type="pct"/>
                  <w:vAlign w:val="center"/>
                </w:tcPr>
                <w:p w14:paraId="5F52AD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QDF-6</w:t>
                  </w:r>
                </w:p>
              </w:tc>
              <w:tc>
                <w:tcPr>
                  <w:tcW w:w="556" w:type="pct"/>
                  <w:vAlign w:val="center"/>
                </w:tcPr>
                <w:p w14:paraId="0FE641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Merge w:val="continue"/>
                  <w:vAlign w:val="center"/>
                </w:tcPr>
                <w:p w14:paraId="718352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c>
                <w:tcPr>
                  <w:tcW w:w="509" w:type="pct"/>
                  <w:vMerge w:val="continue"/>
                  <w:vAlign w:val="center"/>
                </w:tcPr>
                <w:p w14:paraId="35FF62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5C2E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004FE4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132</w:t>
                  </w:r>
                </w:p>
              </w:tc>
              <w:tc>
                <w:tcPr>
                  <w:tcW w:w="1331" w:type="pct"/>
                  <w:vAlign w:val="center"/>
                </w:tcPr>
                <w:p w14:paraId="2145C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真空采样箱</w:t>
                  </w:r>
                </w:p>
              </w:tc>
              <w:tc>
                <w:tcPr>
                  <w:tcW w:w="966" w:type="pct"/>
                  <w:vAlign w:val="center"/>
                </w:tcPr>
                <w:p w14:paraId="024D8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HP-3001</w:t>
                  </w:r>
                </w:p>
              </w:tc>
              <w:tc>
                <w:tcPr>
                  <w:tcW w:w="556" w:type="pct"/>
                  <w:vAlign w:val="center"/>
                </w:tcPr>
                <w:p w14:paraId="71614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eastAsia" w:ascii="Times New Roman" w:hAnsi="Times New Roman" w:cs="Times New Roman" w:eastAsiaTheme="minorEastAsia"/>
                      <w:bCs/>
                      <w:color w:val="auto"/>
                      <w:sz w:val="18"/>
                      <w:szCs w:val="18"/>
                      <w:highlight w:val="none"/>
                      <w:lang w:val="en-US" w:eastAsia="zh-CN"/>
                    </w:rPr>
                  </w:pPr>
                  <w:r>
                    <w:rPr>
                      <w:rFonts w:hint="eastAsia" w:ascii="Times New Roman" w:hAnsi="Times New Roman" w:cs="Times New Roman" w:eastAsiaTheme="minorEastAsia"/>
                      <w:bCs/>
                      <w:color w:val="auto"/>
                      <w:sz w:val="18"/>
                      <w:szCs w:val="18"/>
                      <w:highlight w:val="none"/>
                      <w:lang w:val="en-US" w:eastAsia="zh-CN"/>
                    </w:rPr>
                    <w:t>1</w:t>
                  </w:r>
                </w:p>
              </w:tc>
              <w:tc>
                <w:tcPr>
                  <w:tcW w:w="1318" w:type="pct"/>
                  <w:vAlign w:val="center"/>
                </w:tcPr>
                <w:p w14:paraId="36FA3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浙江鸿普</w:t>
                  </w:r>
                </w:p>
              </w:tc>
              <w:tc>
                <w:tcPr>
                  <w:tcW w:w="509" w:type="pct"/>
                  <w:vMerge w:val="continue"/>
                  <w:vAlign w:val="center"/>
                </w:tcPr>
                <w:p w14:paraId="590A55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r w14:paraId="14B1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 w:type="pct"/>
                  <w:vAlign w:val="center"/>
                </w:tcPr>
                <w:p w14:paraId="5D41CE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133</w:t>
                  </w:r>
                </w:p>
              </w:tc>
              <w:tc>
                <w:tcPr>
                  <w:tcW w:w="1331" w:type="pct"/>
                  <w:vAlign w:val="center"/>
                </w:tcPr>
                <w:p w14:paraId="19D2B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便携式多参数分析仪</w:t>
                  </w:r>
                </w:p>
              </w:tc>
              <w:tc>
                <w:tcPr>
                  <w:tcW w:w="966" w:type="pct"/>
                  <w:vAlign w:val="center"/>
                </w:tcPr>
                <w:p w14:paraId="6FC263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DZB-718</w:t>
                  </w:r>
                </w:p>
              </w:tc>
              <w:tc>
                <w:tcPr>
                  <w:tcW w:w="556" w:type="pct"/>
                  <w:vAlign w:val="center"/>
                </w:tcPr>
                <w:p w14:paraId="3C96B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bCs/>
                      <w:color w:val="auto"/>
                      <w:sz w:val="18"/>
                      <w:szCs w:val="18"/>
                      <w:highlight w:val="none"/>
                    </w:rPr>
                  </w:pPr>
                </w:p>
              </w:tc>
              <w:tc>
                <w:tcPr>
                  <w:tcW w:w="1318" w:type="pct"/>
                  <w:vAlign w:val="center"/>
                </w:tcPr>
                <w:p w14:paraId="70019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bCs/>
                      <w:color w:val="auto"/>
                      <w:sz w:val="18"/>
                      <w:szCs w:val="18"/>
                      <w:highlight w:val="none"/>
                    </w:rPr>
                    <w:t>上海仪电</w:t>
                  </w:r>
                </w:p>
              </w:tc>
              <w:tc>
                <w:tcPr>
                  <w:tcW w:w="509" w:type="pct"/>
                  <w:vMerge w:val="continue"/>
                  <w:vAlign w:val="center"/>
                </w:tcPr>
                <w:p w14:paraId="791949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rPr>
                      <w:rFonts w:hint="default" w:ascii="Times New Roman" w:hAnsi="Times New Roman" w:cs="Times New Roman" w:eastAsiaTheme="minorEastAsia"/>
                      <w:color w:val="auto"/>
                      <w:sz w:val="18"/>
                      <w:szCs w:val="18"/>
                      <w:highlight w:val="none"/>
                    </w:rPr>
                  </w:pPr>
                </w:p>
              </w:tc>
            </w:tr>
          </w:tbl>
          <w:p w14:paraId="6579B510">
            <w:pPr>
              <w:keepNext w:val="0"/>
              <w:keepLines w:val="0"/>
              <w:suppressLineNumbers w:val="0"/>
              <w:spacing w:before="0" w:beforeAutospacing="0" w:after="0" w:afterAutospacing="0" w:line="480" w:lineRule="exact"/>
              <w:ind w:left="0" w:right="0" w:firstLine="413" w:firstLineChars="196"/>
              <w:jc w:val="center"/>
              <w:rPr>
                <w:rFonts w:hint="default"/>
                <w:b/>
                <w:color w:val="auto"/>
                <w:sz w:val="21"/>
                <w:szCs w:val="21"/>
                <w:highlight w:val="none"/>
              </w:rPr>
            </w:pPr>
            <w:r>
              <w:rPr>
                <w:rFonts w:hint="default"/>
                <w:b/>
                <w:color w:val="auto"/>
                <w:sz w:val="21"/>
                <w:szCs w:val="21"/>
                <w:highlight w:val="none"/>
              </w:rPr>
              <w:t>表2-</w:t>
            </w:r>
            <w:r>
              <w:rPr>
                <w:rFonts w:hint="eastAsia"/>
                <w:b/>
                <w:color w:val="auto"/>
                <w:sz w:val="21"/>
                <w:szCs w:val="21"/>
                <w:highlight w:val="none"/>
                <w:lang w:val="en-US" w:eastAsia="zh-CN"/>
              </w:rPr>
              <w:t>8</w:t>
            </w:r>
            <w:r>
              <w:rPr>
                <w:rFonts w:hint="default"/>
                <w:b/>
                <w:color w:val="auto"/>
                <w:sz w:val="21"/>
                <w:szCs w:val="21"/>
                <w:highlight w:val="none"/>
              </w:rPr>
              <w:t xml:space="preserve">  实验室常用耗材一览表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576"/>
              <w:gridCol w:w="1200"/>
              <w:gridCol w:w="4745"/>
            </w:tblGrid>
            <w:tr w14:paraId="729E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942C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173B53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20E8C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年用量</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B33C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规格</w:t>
                  </w:r>
                </w:p>
              </w:tc>
            </w:tr>
            <w:tr w14:paraId="4C3B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C112C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66EF3F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三口烧瓶</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00B8E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44E4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50mL、100mL、250mL、500mL、1000mL</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2000mL</w:t>
                  </w:r>
                </w:p>
              </w:tc>
            </w:tr>
            <w:tr w14:paraId="576A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84A5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61E1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梨形分液漏斗</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56B52A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31B9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250mL、500mL</w:t>
                  </w:r>
                </w:p>
              </w:tc>
            </w:tr>
            <w:tr w14:paraId="3C50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5F1B6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01BBB8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低型烧杯</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F7F9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9151C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100mL、500mL、1000mL</w:t>
                  </w:r>
                </w:p>
              </w:tc>
            </w:tr>
            <w:tr w14:paraId="76FD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16415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2DDC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球形冷凝管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8A66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4B6AB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30cm</w:t>
                  </w:r>
                </w:p>
              </w:tc>
            </w:tr>
            <w:tr w14:paraId="76A9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E4AA9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6FA24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烧杯</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1C83A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139A55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100mL、250mL、500mL</w:t>
                  </w:r>
                </w:p>
              </w:tc>
            </w:tr>
            <w:tr w14:paraId="316A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748F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D7D3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空心塞</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07DC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17A0E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14:paraId="330C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3B3964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7E3F5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温度计套管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7E092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03712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14:paraId="11DA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13707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E34E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称量纸</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6B2B6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10包</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B924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100×100mm</w:t>
                  </w:r>
                </w:p>
              </w:tc>
            </w:tr>
            <w:tr w14:paraId="1186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476DA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8814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量筒</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5D091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226B1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10mL、50mL、100mL、500mL</w:t>
                  </w:r>
                </w:p>
              </w:tc>
            </w:tr>
            <w:tr w14:paraId="3EC8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802D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6098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容量瓶</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A08C4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0ABB6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5mL、10mL、25mL、50mL、100mL、250mL、1000mL</w:t>
                  </w:r>
                </w:p>
              </w:tc>
            </w:tr>
            <w:tr w14:paraId="6D5A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7F2A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B7A59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移液管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6AD83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0546B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1mL、5mL、10mL</w:t>
                  </w:r>
                </w:p>
              </w:tc>
            </w:tr>
            <w:tr w14:paraId="009E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08D0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6AAD1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碱式滴定管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99D4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ED92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50mL</w:t>
                  </w:r>
                </w:p>
              </w:tc>
            </w:tr>
            <w:tr w14:paraId="1AF0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ED82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ACFBF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砂芯坩埚</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61280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44AFC3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30mL</w:t>
                  </w:r>
                </w:p>
              </w:tc>
            </w:tr>
            <w:tr w14:paraId="4EC7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55E65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2E516E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瓷蒸发皿</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B3E8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5C02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500mL</w:t>
                  </w:r>
                </w:p>
              </w:tc>
            </w:tr>
            <w:tr w14:paraId="5A80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E2F8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C3D6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一次性吸管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EE82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50包</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9E4F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3mL</w:t>
                  </w:r>
                </w:p>
              </w:tc>
            </w:tr>
            <w:tr w14:paraId="4B29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F41D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06B95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橡胶管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5289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10米</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4C80B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6×18mm</w:t>
                  </w:r>
                </w:p>
              </w:tc>
            </w:tr>
            <w:tr w14:paraId="7EF1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48400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2A9E44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标签纸</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1E22C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2盒</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8991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35AD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1C143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19373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一次性PE手套</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7C265F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1盒</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9A94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大号</w:t>
                  </w:r>
                </w:p>
              </w:tc>
            </w:tr>
            <w:tr w14:paraId="1706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435019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277F1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铁架台</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260A0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E964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442A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6D82C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D229A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定性滤纸</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2C016E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3盒</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D0205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9cm</w:t>
                  </w:r>
                </w:p>
              </w:tc>
            </w:tr>
            <w:tr w14:paraId="1A87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6C2ED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2B9A1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酸碱滴定台</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7D297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2AC3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1E5E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E46D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34DC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红色石蕊试纸</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5A6718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1盒</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2973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2980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CD2AA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111E7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活性炭口罩</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0A7C3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50盒</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20A7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0B20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3FC95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D63E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不锈钢镊子</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18FBDE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6把</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5F96A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25cm</w:t>
                  </w:r>
                </w:p>
              </w:tc>
            </w:tr>
            <w:tr w14:paraId="18C7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DF1E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F083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收纳箱</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8730B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1BAFD3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5D98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41817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92CF5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医用剪刀</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9ECF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310CFF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18cm</w:t>
                  </w:r>
                </w:p>
              </w:tc>
            </w:tr>
            <w:tr w14:paraId="3E3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63F2A2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687F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洗洁精</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785F9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10瓶</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ECB61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1kg</w:t>
                  </w:r>
                </w:p>
              </w:tc>
            </w:tr>
            <w:tr w14:paraId="3B4B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5527D4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A851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移液器</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6FF3F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1A1EE7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100-1000uL</w:t>
                  </w:r>
                </w:p>
              </w:tc>
            </w:tr>
            <w:tr w14:paraId="472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61364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1BBC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棕色干燥器</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40A44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DA79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240mm</w:t>
                  </w:r>
                </w:p>
              </w:tc>
            </w:tr>
            <w:tr w14:paraId="024A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6D617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2442F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有机比色管架</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79FBD6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0DA26F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25×12孔，50×12孔</w:t>
                  </w:r>
                </w:p>
              </w:tc>
            </w:tr>
            <w:tr w14:paraId="20D7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1872E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6DB2B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瓷研钵</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65982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0F188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100mm</w:t>
                  </w:r>
                </w:p>
              </w:tc>
            </w:tr>
            <w:tr w14:paraId="0639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A82A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5D8EE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搪瓷托盘</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EF1C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3E3D0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20×30cm、30×40cm</w:t>
                  </w:r>
                </w:p>
              </w:tc>
            </w:tr>
            <w:tr w14:paraId="6F38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7A0F19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3BCB4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不锈钢方盘</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A252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4082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30×40×4.8cm</w:t>
                  </w:r>
                </w:p>
              </w:tc>
            </w:tr>
            <w:tr w14:paraId="6467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200A6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42750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洗耳球</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A627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7D4180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小，大</w:t>
                  </w:r>
                </w:p>
              </w:tc>
            </w:tr>
            <w:tr w14:paraId="669B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181E5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668DE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结晶皿</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37B2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48DFC2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180mm</w:t>
                  </w:r>
                </w:p>
              </w:tc>
            </w:tr>
            <w:tr w14:paraId="1220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046034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244A1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环标刻度吸管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399DF8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5个</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6A365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1mL、2mL、5mL</w:t>
                  </w:r>
                </w:p>
              </w:tc>
            </w:tr>
            <w:tr w14:paraId="34E5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14:paraId="402DF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c>
                <w:tcPr>
                  <w:tcW w:w="942" w:type="pct"/>
                  <w:tcBorders>
                    <w:top w:val="single" w:color="auto" w:sz="4" w:space="0"/>
                    <w:left w:val="single" w:color="auto" w:sz="4" w:space="0"/>
                    <w:bottom w:val="single" w:color="auto" w:sz="4" w:space="0"/>
                    <w:right w:val="single" w:color="auto" w:sz="4" w:space="0"/>
                  </w:tcBorders>
                  <w:noWrap w:val="0"/>
                  <w:vAlign w:val="center"/>
                </w:tcPr>
                <w:p w14:paraId="75B99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离心管</w:t>
                  </w:r>
                </w:p>
              </w:tc>
              <w:tc>
                <w:tcPr>
                  <w:tcW w:w="717" w:type="pct"/>
                  <w:tcBorders>
                    <w:top w:val="single" w:color="auto" w:sz="4" w:space="0"/>
                    <w:left w:val="single" w:color="auto" w:sz="4" w:space="0"/>
                    <w:bottom w:val="single" w:color="auto" w:sz="4" w:space="0"/>
                    <w:right w:val="single" w:color="auto" w:sz="4" w:space="0"/>
                  </w:tcBorders>
                  <w:noWrap w:val="0"/>
                  <w:vAlign w:val="center"/>
                </w:tcPr>
                <w:p w14:paraId="4FE10B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10包</w:t>
                  </w:r>
                </w:p>
              </w:tc>
              <w:tc>
                <w:tcPr>
                  <w:tcW w:w="2838" w:type="pct"/>
                  <w:tcBorders>
                    <w:top w:val="single" w:color="auto" w:sz="4" w:space="0"/>
                    <w:left w:val="single" w:color="auto" w:sz="4" w:space="0"/>
                    <w:bottom w:val="single" w:color="auto" w:sz="4" w:space="0"/>
                    <w:right w:val="single" w:color="auto" w:sz="4" w:space="0"/>
                  </w:tcBorders>
                  <w:noWrap w:val="0"/>
                  <w:vAlign w:val="center"/>
                </w:tcPr>
                <w:p w14:paraId="268FC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10mL</w:t>
                  </w:r>
                </w:p>
              </w:tc>
            </w:tr>
          </w:tbl>
          <w:p w14:paraId="449744C8">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2.6</w:t>
            </w:r>
            <w:r>
              <w:rPr>
                <w:rFonts w:hint="default"/>
                <w:b/>
                <w:bCs/>
                <w:color w:val="auto"/>
                <w:highlight w:val="none"/>
              </w:rPr>
              <w:t>劳动定员</w:t>
            </w:r>
            <w:r>
              <w:rPr>
                <w:rFonts w:hint="eastAsia"/>
                <w:b/>
                <w:bCs/>
                <w:color w:val="auto"/>
                <w:highlight w:val="none"/>
              </w:rPr>
              <w:t>及工作制度</w:t>
            </w:r>
          </w:p>
          <w:p w14:paraId="582B088A">
            <w:pPr>
              <w:pStyle w:val="50"/>
              <w:keepNext w:val="0"/>
              <w:keepLines w:val="0"/>
              <w:suppressLineNumbers w:val="0"/>
              <w:autoSpaceDE w:val="0"/>
              <w:adjustRightInd w:val="0"/>
              <w:snapToGrid w:val="0"/>
              <w:spacing w:before="0" w:beforeAutospacing="0" w:after="0" w:afterAutospacing="0"/>
              <w:ind w:left="0" w:right="0"/>
              <w:jc w:val="left"/>
              <w:rPr>
                <w:rFonts w:hint="default"/>
                <w:color w:val="auto"/>
                <w:kern w:val="2"/>
                <w:highlight w:val="none"/>
                <w:lang w:val="en-US" w:eastAsia="zh-CN"/>
              </w:rPr>
            </w:pPr>
            <w:r>
              <w:rPr>
                <w:rFonts w:hint="default"/>
                <w:color w:val="auto"/>
                <w:kern w:val="2"/>
                <w:highlight w:val="none"/>
                <w:lang w:val="en-US" w:eastAsia="zh-CN"/>
              </w:rPr>
              <w:t>职工人数：项目定员</w:t>
            </w:r>
            <w:r>
              <w:rPr>
                <w:rFonts w:hint="eastAsia"/>
                <w:color w:val="auto"/>
                <w:kern w:val="2"/>
                <w:highlight w:val="none"/>
                <w:lang w:val="en-US" w:eastAsia="zh-CN"/>
              </w:rPr>
              <w:t>40</w:t>
            </w:r>
            <w:r>
              <w:rPr>
                <w:rFonts w:hint="default"/>
                <w:color w:val="auto"/>
                <w:kern w:val="2"/>
                <w:highlight w:val="none"/>
                <w:lang w:val="en-US" w:eastAsia="zh-CN"/>
              </w:rPr>
              <w:t>人；</w:t>
            </w:r>
          </w:p>
          <w:p w14:paraId="2C43A56B">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kern w:val="2"/>
                <w:highlight w:val="none"/>
                <w:lang w:val="en-US" w:eastAsia="zh-CN"/>
              </w:rPr>
              <w:t>工作制度：项目年工作300天，实行</w:t>
            </w:r>
            <w:r>
              <w:rPr>
                <w:rFonts w:hint="eastAsia"/>
                <w:color w:val="auto"/>
                <w:kern w:val="2"/>
                <w:highlight w:val="none"/>
                <w:lang w:val="en-US" w:eastAsia="zh-CN"/>
              </w:rPr>
              <w:t>单</w:t>
            </w:r>
            <w:r>
              <w:rPr>
                <w:rFonts w:hint="default"/>
                <w:color w:val="auto"/>
                <w:kern w:val="2"/>
                <w:highlight w:val="none"/>
                <w:lang w:val="en-US" w:eastAsia="zh-CN"/>
              </w:rPr>
              <w:t>班制，</w:t>
            </w:r>
            <w:r>
              <w:rPr>
                <w:rFonts w:hint="eastAsia"/>
                <w:color w:val="auto"/>
                <w:kern w:val="2"/>
                <w:highlight w:val="none"/>
                <w:lang w:val="en-US" w:eastAsia="zh-CN"/>
              </w:rPr>
              <w:t>每天</w:t>
            </w:r>
            <w:r>
              <w:rPr>
                <w:rFonts w:hint="default"/>
                <w:color w:val="auto"/>
                <w:kern w:val="2"/>
                <w:highlight w:val="none"/>
                <w:lang w:val="en-US" w:eastAsia="zh-CN"/>
              </w:rPr>
              <w:t>工作</w:t>
            </w:r>
            <w:r>
              <w:rPr>
                <w:rFonts w:hint="eastAsia"/>
                <w:color w:val="auto"/>
                <w:kern w:val="2"/>
                <w:highlight w:val="none"/>
                <w:lang w:val="en-US" w:eastAsia="zh-CN"/>
              </w:rPr>
              <w:t>8</w:t>
            </w:r>
            <w:r>
              <w:rPr>
                <w:rFonts w:hint="default"/>
                <w:color w:val="auto"/>
                <w:kern w:val="2"/>
                <w:highlight w:val="none"/>
                <w:lang w:val="en-US" w:eastAsia="zh-CN"/>
              </w:rPr>
              <w:t>小时。</w:t>
            </w:r>
          </w:p>
          <w:p w14:paraId="188691A5">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2.7总平面布置合理性分析总体布局</w:t>
            </w:r>
          </w:p>
          <w:p w14:paraId="293594F6">
            <w:pPr>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拟建</w:t>
            </w:r>
            <w:r>
              <w:rPr>
                <w:rFonts w:hint="eastAsia"/>
                <w:color w:val="auto"/>
                <w:highlight w:val="none"/>
                <w:lang w:val="en-US" w:eastAsia="zh-CN"/>
              </w:rPr>
              <w:t>实验室</w:t>
            </w:r>
            <w:r>
              <w:rPr>
                <w:rFonts w:hint="eastAsia"/>
                <w:color w:val="auto"/>
                <w:highlight w:val="none"/>
                <w:lang w:eastAsia="zh-CN"/>
              </w:rPr>
              <w:t>项目于</w:t>
            </w:r>
            <w:r>
              <w:rPr>
                <w:rFonts w:hint="eastAsia"/>
                <w:color w:val="auto"/>
                <w:highlight w:val="none"/>
                <w:lang w:val="en-US" w:eastAsia="zh-CN"/>
              </w:rPr>
              <w:t>租赁办公楼内进行布局，共计三楼，其中一楼布设危废间和采样准备室，二楼为办公区、档案室、库房等，三楼为实验区（布设离子色谱室、天平室、无机前处理室、分析室、有机前处理室、生物室、样品室、生物准备室、土壤风干室、土壤制备室、高温室、嗅辨室、比色室、色相气谱室、光谱室）。</w:t>
            </w:r>
            <w:r>
              <w:rPr>
                <w:rFonts w:hint="eastAsia"/>
                <w:color w:val="auto"/>
                <w:highlight w:val="none"/>
                <w:lang w:eastAsia="zh-CN"/>
              </w:rPr>
              <w:t>办公室将充分考虑大小结合，通风采光好，建筑面积在合理程度下最大化使用的原则；实验室将结合具体的实验设备、实验仪器以及实验操作的空间</w:t>
            </w:r>
            <w:r>
              <w:rPr>
                <w:rFonts w:hint="eastAsia"/>
                <w:color w:val="auto"/>
                <w:highlight w:val="none"/>
                <w:lang w:val="en-US" w:eastAsia="zh-CN"/>
              </w:rPr>
              <w:t>进行布局，基本符合单向流动原则</w:t>
            </w:r>
            <w:r>
              <w:rPr>
                <w:rFonts w:hint="eastAsia"/>
                <w:color w:val="auto"/>
                <w:highlight w:val="none"/>
                <w:lang w:eastAsia="zh-CN"/>
              </w:rPr>
              <w:t>，项目平面布置基本合理。具体平面布置见附图3：</w:t>
            </w:r>
            <w:r>
              <w:rPr>
                <w:rFonts w:hint="eastAsia"/>
                <w:color w:val="auto"/>
                <w:highlight w:val="none"/>
                <w:lang w:val="en-US" w:eastAsia="zh-CN"/>
              </w:rPr>
              <w:t>实验室</w:t>
            </w:r>
            <w:r>
              <w:rPr>
                <w:rFonts w:hint="eastAsia"/>
                <w:color w:val="auto"/>
                <w:highlight w:val="none"/>
                <w:lang w:eastAsia="zh-CN"/>
              </w:rPr>
              <w:t>平面布置示意图。</w:t>
            </w:r>
          </w:p>
          <w:p w14:paraId="22016719">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2.8水平衡分析</w:t>
            </w:r>
          </w:p>
          <w:p w14:paraId="2CCC2103">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本项目用水主要为生活用水</w:t>
            </w:r>
            <w:r>
              <w:rPr>
                <w:rFonts w:hint="eastAsia"/>
                <w:b/>
                <w:bCs/>
                <w:color w:val="auto"/>
                <w:highlight w:val="none"/>
                <w:lang w:eastAsia="zh-CN"/>
              </w:rPr>
              <w:t>、</w:t>
            </w:r>
            <w:r>
              <w:rPr>
                <w:rFonts w:hint="eastAsia"/>
                <w:b/>
                <w:bCs/>
                <w:color w:val="auto"/>
                <w:highlight w:val="none"/>
                <w:lang w:val="en-US" w:eastAsia="zh-CN"/>
              </w:rPr>
              <w:t>实验室清洗用水、保洁废水、废气处理喷淋用水。</w:t>
            </w:r>
          </w:p>
          <w:p w14:paraId="3198071A">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（1）实验室清洗用水</w:t>
            </w:r>
          </w:p>
          <w:p w14:paraId="7B8F0B1C">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验废水主要包括实验室溶剂配置液、实验器具清洗用水和剩余水样，本项目试剂瓶清洗前采用清水润洗1~2次，润洗水作为危废处置，实验过程如涉及有毒有害或重金属，其水样、溶剂和清洗水作为实验室废液做危废处理。</w:t>
            </w:r>
          </w:p>
          <w:p w14:paraId="508927CC">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根据企业提供的数据，实验溶剂配置消耗水量平均为100mL/每次，润洗消耗水量平均为</w:t>
            </w:r>
            <w:r>
              <w:rPr>
                <w:rFonts w:hint="eastAsia"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mL/每次，清洗实验器皿水量大约为</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00mL/每次，其中实验溶剂配置用水由纯水机提供。本项目一年最大检验批次为</w:t>
            </w:r>
            <w:r>
              <w:rPr>
                <w:rFonts w:hint="eastAsia" w:cs="Times New Roman"/>
                <w:color w:val="auto"/>
                <w:kern w:val="2"/>
                <w:sz w:val="24"/>
                <w:szCs w:val="24"/>
                <w:highlight w:val="none"/>
                <w:lang w:val="en-US" w:eastAsia="zh-CN" w:bidi="ar-SA"/>
              </w:rPr>
              <w:t>880</w:t>
            </w:r>
            <w:r>
              <w:rPr>
                <w:rFonts w:hint="eastAsia" w:ascii="Times New Roman" w:hAnsi="Times New Roman" w:eastAsia="宋体" w:cs="Times New Roman"/>
                <w:color w:val="auto"/>
                <w:kern w:val="2"/>
                <w:sz w:val="24"/>
                <w:szCs w:val="24"/>
                <w:highlight w:val="none"/>
                <w:lang w:val="en-US" w:eastAsia="zh-CN" w:bidi="ar-SA"/>
              </w:rPr>
              <w:t>批（除噪声外），地下水1</w:t>
            </w:r>
            <w:r>
              <w:rPr>
                <w:rFonts w:hint="eastAsia" w:cs="Times New Roman"/>
                <w:color w:val="auto"/>
                <w:kern w:val="2"/>
                <w:sz w:val="24"/>
                <w:szCs w:val="24"/>
                <w:highlight w:val="none"/>
                <w:lang w:val="en-US" w:eastAsia="zh-CN" w:bidi="ar-SA"/>
              </w:rPr>
              <w:t>50</w:t>
            </w:r>
            <w:r>
              <w:rPr>
                <w:rFonts w:hint="eastAsia" w:ascii="Times New Roman" w:hAnsi="Times New Roman" w:eastAsia="宋体" w:cs="Times New Roman"/>
                <w:color w:val="auto"/>
                <w:kern w:val="2"/>
                <w:sz w:val="24"/>
                <w:szCs w:val="24"/>
                <w:highlight w:val="none"/>
                <w:lang w:val="en-US" w:eastAsia="zh-CN" w:bidi="ar-SA"/>
              </w:rPr>
              <w:t>批次，地表水</w:t>
            </w:r>
            <w:r>
              <w:rPr>
                <w:rFonts w:hint="eastAsia" w:cs="Times New Roman"/>
                <w:color w:val="auto"/>
                <w:kern w:val="2"/>
                <w:sz w:val="24"/>
                <w:szCs w:val="24"/>
                <w:highlight w:val="none"/>
                <w:lang w:val="en-US" w:eastAsia="zh-CN" w:bidi="ar-SA"/>
              </w:rPr>
              <w:t>120</w:t>
            </w:r>
            <w:r>
              <w:rPr>
                <w:rFonts w:hint="eastAsia" w:ascii="Times New Roman" w:hAnsi="Times New Roman" w:eastAsia="宋体" w:cs="Times New Roman"/>
                <w:color w:val="auto"/>
                <w:kern w:val="2"/>
                <w:sz w:val="24"/>
                <w:szCs w:val="24"/>
                <w:highlight w:val="none"/>
                <w:lang w:val="en-US" w:eastAsia="zh-CN" w:bidi="ar-SA"/>
              </w:rPr>
              <w:t>批次，废水</w:t>
            </w:r>
            <w:r>
              <w:rPr>
                <w:rFonts w:hint="eastAsia" w:cs="Times New Roman"/>
                <w:color w:val="auto"/>
                <w:kern w:val="2"/>
                <w:sz w:val="24"/>
                <w:szCs w:val="24"/>
                <w:highlight w:val="none"/>
                <w:lang w:val="en-US" w:eastAsia="zh-CN" w:bidi="ar-SA"/>
              </w:rPr>
              <w:t>180</w:t>
            </w:r>
            <w:r>
              <w:rPr>
                <w:rFonts w:hint="eastAsia" w:ascii="Times New Roman" w:hAnsi="Times New Roman" w:eastAsia="宋体" w:cs="Times New Roman"/>
                <w:color w:val="auto"/>
                <w:kern w:val="2"/>
                <w:sz w:val="24"/>
                <w:szCs w:val="24"/>
                <w:highlight w:val="none"/>
                <w:lang w:val="en-US" w:eastAsia="zh-CN" w:bidi="ar-SA"/>
              </w:rPr>
              <w:t>批次，土壤样</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0批次，气样200批次。每批地下水水样最大数量为</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个样，每批地表水水样最大数量为</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个样，每批土壤样最大数量为</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个样，每批气样最大数量为</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个样，每批废水样最大数量为</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个样。每个水样最大需要测试16组数据（包含空白样），每个土壤样最大需要测试12组数据（包含空白样），每个气样最大需要测试28组数据（包含空白样），本项目一年实验次数为</w:t>
            </w:r>
            <w:r>
              <w:rPr>
                <w:rFonts w:hint="eastAsia" w:cs="Times New Roman"/>
                <w:color w:val="auto"/>
                <w:kern w:val="2"/>
                <w:sz w:val="24"/>
                <w:szCs w:val="24"/>
                <w:highlight w:val="none"/>
                <w:lang w:val="en-US" w:eastAsia="zh-CN" w:bidi="ar-SA"/>
              </w:rPr>
              <w:t>59040</w:t>
            </w:r>
            <w:r>
              <w:rPr>
                <w:rFonts w:hint="eastAsia" w:ascii="Times New Roman" w:hAnsi="Times New Roman" w:eastAsia="宋体" w:cs="Times New Roman"/>
                <w:color w:val="auto"/>
                <w:kern w:val="2"/>
                <w:sz w:val="24"/>
                <w:szCs w:val="24"/>
                <w:highlight w:val="none"/>
                <w:lang w:val="en-US" w:eastAsia="zh-CN" w:bidi="ar-SA"/>
              </w:rPr>
              <w:t>次左右。</w:t>
            </w:r>
          </w:p>
          <w:p w14:paraId="61439FE3">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则</w:t>
            </w:r>
            <w:r>
              <w:rPr>
                <w:rFonts w:hint="eastAsia" w:ascii="Times New Roman" w:hAnsi="Times New Roman" w:eastAsia="宋体" w:cs="Times New Roman"/>
                <w:color w:val="auto"/>
                <w:kern w:val="2"/>
                <w:sz w:val="24"/>
                <w:szCs w:val="24"/>
                <w:highlight w:val="none"/>
                <w:lang w:val="en-US" w:eastAsia="zh-CN" w:bidi="ar-SA"/>
              </w:rPr>
              <w:t>实验溶剂配置消耗水水量为</w:t>
            </w:r>
            <w:r>
              <w:rPr>
                <w:rFonts w:hint="eastAsia" w:cs="Times New Roman"/>
                <w:color w:val="auto"/>
                <w:kern w:val="2"/>
                <w:sz w:val="24"/>
                <w:szCs w:val="24"/>
                <w:highlight w:val="none"/>
                <w:lang w:val="en-US" w:eastAsia="zh-CN" w:bidi="ar-SA"/>
              </w:rPr>
              <w:t>5.904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润洗为1~2次，本次按2次计算，润洗水为</w:t>
            </w:r>
            <w:r>
              <w:rPr>
                <w:rFonts w:hint="eastAsia" w:cs="Times New Roman"/>
                <w:color w:val="auto"/>
                <w:kern w:val="2"/>
                <w:sz w:val="24"/>
                <w:szCs w:val="24"/>
                <w:highlight w:val="none"/>
                <w:lang w:val="en-US" w:eastAsia="zh-CN" w:bidi="ar-SA"/>
              </w:rPr>
              <w:t>1.18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（0.004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，清洗实验器皿总共清洗2次，清洗水量为</w:t>
            </w:r>
            <w:r>
              <w:rPr>
                <w:rFonts w:hint="eastAsia" w:cs="Times New Roman"/>
                <w:color w:val="auto"/>
                <w:kern w:val="2"/>
                <w:sz w:val="24"/>
                <w:szCs w:val="24"/>
                <w:highlight w:val="none"/>
                <w:lang w:val="en-US" w:eastAsia="zh-CN" w:bidi="ar-SA"/>
              </w:rPr>
              <w:t>23.616</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（0.079</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，根据企业提供的资料，润洗水</w:t>
            </w:r>
            <w:r>
              <w:rPr>
                <w:rFonts w:hint="eastAsia" w:cs="Times New Roman"/>
                <w:color w:val="auto"/>
                <w:kern w:val="2"/>
                <w:sz w:val="24"/>
                <w:szCs w:val="24"/>
                <w:highlight w:val="none"/>
                <w:lang w:val="en-US" w:eastAsia="zh-CN" w:bidi="ar-SA"/>
              </w:rPr>
              <w:t>1.18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/a作为危险废物处置，本项目每批次地下水、地表水、废水采样容积大约为20L左右，共计</w:t>
            </w:r>
            <w:r>
              <w:rPr>
                <w:rFonts w:hint="eastAsia" w:cs="Times New Roman"/>
                <w:color w:val="auto"/>
                <w:kern w:val="2"/>
                <w:sz w:val="24"/>
                <w:szCs w:val="24"/>
                <w:highlight w:val="none"/>
                <w:lang w:val="en-US" w:eastAsia="zh-CN" w:bidi="ar-SA"/>
              </w:rPr>
              <w:t>27</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（折合0.09</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。由于本项目每年对涉及重金属排放的企业检测次数较少，约占1%左右，涉及有毒有害或重金属的溶剂、清洗水、水样均做危废处置，处置量为</w:t>
            </w:r>
            <w:r>
              <w:rPr>
                <w:rFonts w:hint="eastAsia" w:cs="Times New Roman"/>
                <w:color w:val="auto"/>
                <w:kern w:val="2"/>
                <w:sz w:val="24"/>
                <w:szCs w:val="24"/>
                <w:highlight w:val="none"/>
                <w:lang w:val="en-US" w:eastAsia="zh-CN" w:bidi="ar-SA"/>
              </w:rPr>
              <w:t>0.565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［（5.904+23.616+27）×1%］</w:t>
            </w:r>
            <w:r>
              <w:rPr>
                <w:rFonts w:hint="eastAsia" w:ascii="Times New Roman" w:hAnsi="Times New Roman" w:eastAsia="宋体" w:cs="Times New Roman"/>
                <w:color w:val="auto"/>
                <w:kern w:val="2"/>
                <w:sz w:val="24"/>
                <w:szCs w:val="24"/>
                <w:highlight w:val="none"/>
                <w:lang w:val="en-US" w:eastAsia="zh-CN" w:bidi="ar-SA"/>
              </w:rPr>
              <w:t>，危废产生量为</w:t>
            </w:r>
            <w:r>
              <w:rPr>
                <w:rFonts w:hint="eastAsia" w:cs="Times New Roman"/>
                <w:color w:val="auto"/>
                <w:kern w:val="2"/>
                <w:sz w:val="24"/>
                <w:szCs w:val="24"/>
                <w:highlight w:val="none"/>
                <w:lang w:val="en-US" w:eastAsia="zh-CN" w:bidi="ar-SA"/>
              </w:rPr>
              <w:t>1.745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/a。废水产生量为</w:t>
            </w:r>
            <w:r>
              <w:rPr>
                <w:rFonts w:hint="eastAsia" w:cs="Times New Roman"/>
                <w:color w:val="auto"/>
                <w:kern w:val="2"/>
                <w:sz w:val="24"/>
                <w:szCs w:val="24"/>
                <w:highlight w:val="none"/>
                <w:lang w:val="en-US" w:eastAsia="zh-CN" w:bidi="ar-SA"/>
              </w:rPr>
              <w:t>55.955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0000FF"/>
                <w:kern w:val="2"/>
                <w:sz w:val="24"/>
                <w:szCs w:val="24"/>
                <w:highlight w:val="none"/>
                <w:lang w:val="en-US" w:eastAsia="zh-CN" w:bidi="ar-SA"/>
              </w:rPr>
              <w:t>（0.187</w:t>
            </w:r>
            <w:r>
              <w:rPr>
                <w:rFonts w:hint="eastAsia" w:ascii="Times New Roman" w:hAnsi="Times New Roman" w:eastAsia="宋体" w:cs="Times New Roman"/>
                <w:color w:val="0000FF"/>
                <w:kern w:val="2"/>
                <w:sz w:val="24"/>
                <w:szCs w:val="24"/>
                <w:highlight w:val="none"/>
                <w:lang w:val="en-US" w:eastAsia="zh-CN" w:bidi="ar-SA"/>
              </w:rPr>
              <w:t>m</w:t>
            </w:r>
            <w:r>
              <w:rPr>
                <w:rFonts w:hint="eastAsia" w:ascii="Times New Roman" w:hAnsi="Times New Roman" w:eastAsia="宋体" w:cs="Times New Roman"/>
                <w:color w:val="0000FF"/>
                <w:kern w:val="2"/>
                <w:sz w:val="24"/>
                <w:szCs w:val="24"/>
                <w:highlight w:val="none"/>
                <w:vertAlign w:val="superscript"/>
                <w:lang w:val="en-US" w:eastAsia="zh-CN" w:bidi="ar-SA"/>
              </w:rPr>
              <w:t>3</w:t>
            </w:r>
            <w:r>
              <w:rPr>
                <w:rFonts w:hint="eastAsia" w:ascii="Times New Roman" w:hAnsi="Times New Roman" w:eastAsia="宋体" w:cs="Times New Roman"/>
                <w:color w:val="0000FF"/>
                <w:kern w:val="2"/>
                <w:sz w:val="24"/>
                <w:szCs w:val="24"/>
                <w:highlight w:val="none"/>
                <w:lang w:val="en-US" w:eastAsia="zh-CN" w:bidi="ar-SA"/>
              </w:rPr>
              <w:t>/</w:t>
            </w:r>
            <w:r>
              <w:rPr>
                <w:rFonts w:hint="eastAsia" w:cs="Times New Roman"/>
                <w:color w:val="0000FF"/>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，废水通过</w:t>
            </w:r>
            <w:r>
              <w:rPr>
                <w:rFonts w:hint="eastAsia" w:cs="Times New Roman"/>
                <w:color w:val="auto"/>
                <w:kern w:val="2"/>
                <w:sz w:val="24"/>
                <w:szCs w:val="24"/>
                <w:highlight w:val="none"/>
                <w:lang w:val="en-US" w:eastAsia="zh-CN" w:bidi="ar-SA"/>
              </w:rPr>
              <w:t>实验室内</w:t>
            </w:r>
            <w:r>
              <w:rPr>
                <w:rFonts w:hint="eastAsia" w:ascii="Times New Roman" w:hAnsi="Times New Roman" w:eastAsia="宋体" w:cs="Times New Roman"/>
                <w:color w:val="auto"/>
                <w:kern w:val="2"/>
                <w:sz w:val="24"/>
                <w:szCs w:val="24"/>
                <w:highlight w:val="none"/>
                <w:lang w:val="en-US" w:eastAsia="zh-CN" w:bidi="ar-SA"/>
              </w:rPr>
              <w:t>污水管道排入</w:t>
            </w:r>
            <w:r>
              <w:rPr>
                <w:rFonts w:hint="eastAsia" w:cs="Times New Roman"/>
                <w:color w:val="auto"/>
                <w:kern w:val="2"/>
                <w:sz w:val="24"/>
                <w:szCs w:val="24"/>
                <w:highlight w:val="none"/>
                <w:lang w:val="en-US" w:eastAsia="zh-CN" w:bidi="ar-SA"/>
              </w:rPr>
              <w:t>污水处理设施</w:t>
            </w:r>
            <w:r>
              <w:rPr>
                <w:rFonts w:hint="eastAsia" w:ascii="Times New Roman" w:hAnsi="Times New Roman" w:eastAsia="宋体" w:cs="Times New Roman"/>
                <w:color w:val="auto"/>
                <w:kern w:val="2"/>
                <w:sz w:val="24"/>
                <w:szCs w:val="24"/>
                <w:highlight w:val="none"/>
                <w:lang w:val="en-US" w:eastAsia="zh-CN" w:bidi="ar-SA"/>
              </w:rPr>
              <w:t>处理，经处理后，接管至</w:t>
            </w:r>
            <w:r>
              <w:rPr>
                <w:rFonts w:hint="eastAsia" w:cs="Times New Roman"/>
                <w:color w:val="auto"/>
                <w:kern w:val="2"/>
                <w:sz w:val="24"/>
                <w:szCs w:val="24"/>
                <w:highlight w:val="none"/>
                <w:lang w:val="en-US" w:eastAsia="zh-CN" w:bidi="ar-SA"/>
              </w:rPr>
              <w:t>山南新区污水处理厂</w:t>
            </w:r>
            <w:r>
              <w:rPr>
                <w:rFonts w:hint="eastAsia" w:ascii="Times New Roman" w:hAnsi="Times New Roman" w:eastAsia="宋体" w:cs="Times New Roman"/>
                <w:color w:val="auto"/>
                <w:kern w:val="2"/>
                <w:sz w:val="24"/>
                <w:szCs w:val="24"/>
                <w:highlight w:val="none"/>
                <w:lang w:val="en-US" w:eastAsia="zh-CN" w:bidi="ar-SA"/>
              </w:rPr>
              <w:t>。</w:t>
            </w:r>
          </w:p>
          <w:p w14:paraId="4EE93313">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本项目样品标定需采用纯水标定，根据上述分析，本项目所需纯水水量为</w:t>
            </w:r>
            <w:r>
              <w:rPr>
                <w:rFonts w:hint="eastAsia" w:cs="Times New Roman"/>
                <w:color w:val="auto"/>
                <w:kern w:val="2"/>
                <w:sz w:val="24"/>
                <w:szCs w:val="24"/>
                <w:highlight w:val="none"/>
                <w:lang w:val="en-US" w:eastAsia="zh-CN" w:bidi="ar-SA"/>
              </w:rPr>
              <w:t>5.904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，本项目设有纯水机</w:t>
            </w:r>
            <w:r>
              <w:rPr>
                <w:rFonts w:hint="eastAsia" w:cs="Times New Roman"/>
                <w:color w:val="auto"/>
                <w:kern w:val="2"/>
                <w:sz w:val="24"/>
                <w:szCs w:val="24"/>
                <w:highlight w:val="none"/>
                <w:lang w:val="en-US" w:eastAsia="zh-CN" w:bidi="ar-SA"/>
              </w:rPr>
              <w:t>进行纯水制备</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得水</w:t>
            </w:r>
            <w:r>
              <w:rPr>
                <w:rFonts w:hint="eastAsia" w:ascii="Times New Roman" w:hAnsi="Times New Roman" w:eastAsia="宋体" w:cs="Times New Roman"/>
                <w:color w:val="auto"/>
                <w:kern w:val="2"/>
                <w:sz w:val="24"/>
                <w:szCs w:val="24"/>
                <w:highlight w:val="none"/>
                <w:lang w:val="en-US" w:eastAsia="zh-CN" w:bidi="ar-SA"/>
              </w:rPr>
              <w:t>率为</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0%左右，所需用水为</w:t>
            </w:r>
            <w:r>
              <w:rPr>
                <w:rFonts w:hint="eastAsia" w:cs="Times New Roman"/>
                <w:color w:val="auto"/>
                <w:kern w:val="2"/>
                <w:sz w:val="24"/>
                <w:szCs w:val="24"/>
                <w:highlight w:val="none"/>
                <w:lang w:val="en-US" w:eastAsia="zh-CN" w:bidi="ar-SA"/>
              </w:rPr>
              <w:t>8.434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（0.028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，制备</w:t>
            </w:r>
            <w:r>
              <w:rPr>
                <w:rFonts w:hint="eastAsia" w:cs="Times New Roman"/>
                <w:color w:val="auto"/>
                <w:kern w:val="2"/>
                <w:sz w:val="24"/>
                <w:szCs w:val="24"/>
                <w:highlight w:val="none"/>
                <w:lang w:val="en-US" w:eastAsia="zh-CN" w:bidi="ar-SA"/>
              </w:rPr>
              <w:t>浓水</w:t>
            </w:r>
            <w:r>
              <w:rPr>
                <w:rFonts w:hint="eastAsia"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2.53</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（0.008</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浓水直接接管园区污水管网进入山南新区污水处理厂</w:t>
            </w:r>
            <w:r>
              <w:rPr>
                <w:rFonts w:hint="eastAsia" w:ascii="Times New Roman" w:hAnsi="Times New Roman" w:eastAsia="宋体" w:cs="Times New Roman"/>
                <w:color w:val="auto"/>
                <w:kern w:val="2"/>
                <w:sz w:val="24"/>
                <w:szCs w:val="24"/>
                <w:highlight w:val="none"/>
                <w:lang w:val="en-US" w:eastAsia="zh-CN" w:bidi="ar-SA"/>
              </w:rPr>
              <w:t>。纯水</w:t>
            </w:r>
            <w:r>
              <w:rPr>
                <w:rFonts w:hint="eastAsia" w:cs="Times New Roman"/>
                <w:color w:val="auto"/>
                <w:kern w:val="2"/>
                <w:sz w:val="24"/>
                <w:szCs w:val="24"/>
                <w:highlight w:val="none"/>
                <w:lang w:val="en-US" w:eastAsia="zh-CN" w:bidi="ar-SA"/>
              </w:rPr>
              <w:t>机</w:t>
            </w:r>
            <w:r>
              <w:rPr>
                <w:rFonts w:hint="eastAsia" w:ascii="Times New Roman" w:hAnsi="Times New Roman" w:eastAsia="宋体" w:cs="Times New Roman"/>
                <w:color w:val="auto"/>
                <w:kern w:val="2"/>
                <w:sz w:val="24"/>
                <w:szCs w:val="24"/>
                <w:highlight w:val="none"/>
                <w:lang w:val="en-US" w:eastAsia="zh-CN" w:bidi="ar-SA"/>
              </w:rPr>
              <w:t>需定期正洗、反洗，清洗次数为每月1次，每次清洗水量为10m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/a，正洗反洗水排放量为120m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（0.4</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，废水</w:t>
            </w:r>
            <w:r>
              <w:rPr>
                <w:rFonts w:hint="eastAsia" w:cs="Times New Roman"/>
                <w:color w:val="auto"/>
                <w:kern w:val="2"/>
                <w:sz w:val="24"/>
                <w:szCs w:val="24"/>
                <w:highlight w:val="none"/>
                <w:lang w:val="en-US" w:eastAsia="zh-CN" w:bidi="ar-SA"/>
              </w:rPr>
              <w:t>直接接管园区污水管网进入山南新区污水处理厂</w:t>
            </w:r>
            <w:r>
              <w:rPr>
                <w:rFonts w:hint="eastAsia" w:ascii="Times New Roman" w:hAnsi="Times New Roman" w:eastAsia="宋体" w:cs="Times New Roman"/>
                <w:color w:val="auto"/>
                <w:kern w:val="2"/>
                <w:sz w:val="24"/>
                <w:szCs w:val="24"/>
                <w:highlight w:val="none"/>
                <w:lang w:val="en-US" w:eastAsia="zh-CN" w:bidi="ar-SA"/>
              </w:rPr>
              <w:t>。</w:t>
            </w:r>
          </w:p>
          <w:p w14:paraId="52C07E55">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（2）生活用水</w:t>
            </w:r>
          </w:p>
          <w:p w14:paraId="4AD73E8B">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本项目员工共有</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0人，</w:t>
            </w:r>
            <w:r>
              <w:rPr>
                <w:rFonts w:hint="default"/>
                <w:color w:val="auto"/>
                <w:highlight w:val="none"/>
              </w:rPr>
              <w:t>依据《安徽省行业用水定额》（DB34</w:t>
            </w:r>
            <w:r>
              <w:rPr>
                <w:rFonts w:hint="eastAsia"/>
                <w:color w:val="auto"/>
                <w:highlight w:val="none"/>
                <w:lang w:val="en-US" w:eastAsia="zh-CN"/>
              </w:rPr>
              <w:t>/T679</w:t>
            </w:r>
            <w:r>
              <w:rPr>
                <w:rFonts w:hint="default"/>
                <w:color w:val="auto"/>
                <w:highlight w:val="none"/>
              </w:rPr>
              <w:t>-20</w:t>
            </w:r>
            <w:r>
              <w:rPr>
                <w:rFonts w:hint="eastAsia"/>
                <w:color w:val="auto"/>
                <w:highlight w:val="none"/>
                <w:lang w:val="en-US" w:eastAsia="zh-CN"/>
              </w:rPr>
              <w:t>25</w:t>
            </w:r>
            <w:r>
              <w:rPr>
                <w:rFonts w:hint="default"/>
                <w:color w:val="auto"/>
                <w:highlight w:val="none"/>
              </w:rPr>
              <w:t>）相关用水定额核算，用水量按</w:t>
            </w:r>
            <w:r>
              <w:rPr>
                <w:rFonts w:hint="eastAsia"/>
                <w:color w:val="auto"/>
                <w:highlight w:val="none"/>
                <w:lang w:val="en-US" w:eastAsia="zh-CN"/>
              </w:rPr>
              <w:t>38m</w:t>
            </w:r>
            <w:r>
              <w:rPr>
                <w:rFonts w:hint="eastAsia"/>
                <w:color w:val="auto"/>
                <w:highlight w:val="none"/>
                <w:vertAlign w:val="superscript"/>
                <w:lang w:val="en-US" w:eastAsia="zh-CN"/>
              </w:rPr>
              <w:t>3</w:t>
            </w:r>
            <w:r>
              <w:rPr>
                <w:rFonts w:hint="default"/>
                <w:color w:val="auto"/>
                <w:highlight w:val="none"/>
              </w:rPr>
              <w:t>/（人•</w:t>
            </w:r>
            <w:r>
              <w:rPr>
                <w:rFonts w:hint="eastAsia"/>
                <w:color w:val="auto"/>
                <w:highlight w:val="none"/>
                <w:lang w:val="en-US" w:eastAsia="zh-CN"/>
              </w:rPr>
              <w:t>a</w:t>
            </w:r>
            <w:r>
              <w:rPr>
                <w:rFonts w:hint="default"/>
                <w:color w:val="auto"/>
                <w:highlight w:val="none"/>
              </w:rPr>
              <w:t>）计，则生活用水量为</w:t>
            </w:r>
            <w:r>
              <w:rPr>
                <w:rFonts w:hint="eastAsia"/>
                <w:color w:val="auto"/>
                <w:highlight w:val="none"/>
                <w:lang w:val="en-US" w:eastAsia="zh-CN"/>
              </w:rPr>
              <w:t>5.07m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val="en-US" w:eastAsia="zh-CN"/>
              </w:rPr>
              <w:t>1520m</w:t>
            </w:r>
            <w:r>
              <w:rPr>
                <w:rFonts w:hint="eastAsia"/>
                <w:color w:val="auto"/>
                <w:highlight w:val="none"/>
                <w:vertAlign w:val="superscript"/>
                <w:lang w:val="en-US" w:eastAsia="zh-CN"/>
              </w:rPr>
              <w:t>3</w:t>
            </w:r>
            <w:r>
              <w:rPr>
                <w:rFonts w:hint="default"/>
                <w:color w:val="auto"/>
                <w:highlight w:val="none"/>
              </w:rPr>
              <w:t>/a。排水系数按8</w:t>
            </w:r>
            <w:r>
              <w:rPr>
                <w:rFonts w:hint="eastAsia"/>
                <w:color w:val="auto"/>
                <w:highlight w:val="none"/>
              </w:rPr>
              <w:t>5</w:t>
            </w:r>
            <w:r>
              <w:rPr>
                <w:rFonts w:hint="default"/>
                <w:color w:val="auto"/>
                <w:highlight w:val="none"/>
              </w:rPr>
              <w:t>%计算，生活污水排放量约为</w:t>
            </w:r>
            <w:r>
              <w:rPr>
                <w:rFonts w:hint="eastAsia"/>
                <w:color w:val="auto"/>
                <w:highlight w:val="none"/>
                <w:lang w:val="en-US" w:eastAsia="zh-CN"/>
              </w:rPr>
              <w:t>4.31m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val="en-US" w:eastAsia="zh-CN"/>
              </w:rPr>
              <w:t>1292m</w:t>
            </w:r>
            <w:r>
              <w:rPr>
                <w:rFonts w:hint="eastAsia"/>
                <w:color w:val="auto"/>
                <w:highlight w:val="none"/>
                <w:vertAlign w:val="superscript"/>
                <w:lang w:val="en-US" w:eastAsia="zh-CN"/>
              </w:rPr>
              <w:t>3</w:t>
            </w:r>
            <w:r>
              <w:rPr>
                <w:rFonts w:hint="default"/>
                <w:color w:val="auto"/>
                <w:highlight w:val="none"/>
              </w:rPr>
              <w:t>/a。</w:t>
            </w:r>
            <w:r>
              <w:rPr>
                <w:rFonts w:hint="eastAsia"/>
                <w:color w:val="auto"/>
                <w:highlight w:val="none"/>
                <w:lang w:val="en-US" w:eastAsia="zh-CN"/>
              </w:rPr>
              <w:t>生活污水</w:t>
            </w:r>
            <w:r>
              <w:rPr>
                <w:rFonts w:hint="eastAsia"/>
                <w:color w:val="auto"/>
                <w:highlight w:val="none"/>
              </w:rPr>
              <w:t>经</w:t>
            </w:r>
            <w:r>
              <w:rPr>
                <w:rFonts w:hint="eastAsia"/>
                <w:color w:val="auto"/>
                <w:highlight w:val="none"/>
                <w:lang w:val="en-US" w:eastAsia="zh-CN"/>
              </w:rPr>
              <w:t>化粪池收集后经污水</w:t>
            </w:r>
            <w:r>
              <w:rPr>
                <w:rFonts w:hint="eastAsia"/>
                <w:color w:val="auto"/>
                <w:highlight w:val="none"/>
              </w:rPr>
              <w:t>管网排至</w:t>
            </w:r>
            <w:r>
              <w:rPr>
                <w:rFonts w:hint="eastAsia" w:cs="Times New Roman"/>
                <w:color w:val="auto"/>
                <w:kern w:val="2"/>
                <w:sz w:val="24"/>
                <w:szCs w:val="24"/>
                <w:highlight w:val="none"/>
                <w:lang w:val="en-US" w:eastAsia="zh-CN" w:bidi="ar-SA"/>
              </w:rPr>
              <w:t>山南新区污水处理厂</w:t>
            </w:r>
            <w:r>
              <w:rPr>
                <w:rFonts w:hint="eastAsia"/>
                <w:color w:val="auto"/>
                <w:highlight w:val="none"/>
              </w:rPr>
              <w:t>。</w:t>
            </w:r>
          </w:p>
          <w:p w14:paraId="4BE80658">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（3）保洁废水</w:t>
            </w:r>
          </w:p>
          <w:p w14:paraId="5FC6D8A1">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项目运营期间对试验区域和办公区域地面进行清洗、擦洗办公桌等消耗水量，保洁用水按每天0.5L/m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计算，本项目共有</w:t>
            </w:r>
            <w:r>
              <w:rPr>
                <w:rFonts w:hint="eastAsia" w:cs="Times New Roman"/>
                <w:color w:val="auto"/>
                <w:kern w:val="2"/>
                <w:sz w:val="24"/>
                <w:szCs w:val="24"/>
                <w:highlight w:val="none"/>
                <w:lang w:val="en-US" w:eastAsia="zh-CN" w:bidi="ar-SA"/>
              </w:rPr>
              <w:t>932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，保洁用水量约为0.</w:t>
            </w:r>
            <w:r>
              <w:rPr>
                <w:rFonts w:hint="eastAsia" w:cs="Times New Roman"/>
                <w:color w:val="auto"/>
                <w:kern w:val="2"/>
                <w:sz w:val="24"/>
                <w:szCs w:val="24"/>
                <w:highlight w:val="none"/>
                <w:lang w:val="en-US" w:eastAsia="zh-CN" w:bidi="ar-SA"/>
              </w:rPr>
              <w:t>466</w:t>
            </w:r>
            <w:r>
              <w:rPr>
                <w:rFonts w:hint="eastAsia" w:ascii="Times New Roman" w:hAnsi="Times New Roman" w:eastAsia="宋体" w:cs="Times New Roman"/>
                <w:color w:val="auto"/>
                <w:kern w:val="2"/>
                <w:sz w:val="24"/>
                <w:szCs w:val="24"/>
                <w:highlight w:val="none"/>
                <w:lang w:val="en-US" w:eastAsia="zh-CN" w:bidi="ar-SA"/>
              </w:rPr>
              <w:t>t/d（1</w:t>
            </w:r>
            <w:r>
              <w:rPr>
                <w:rFonts w:hint="eastAsia" w:cs="Times New Roman"/>
                <w:color w:val="auto"/>
                <w:kern w:val="2"/>
                <w:sz w:val="24"/>
                <w:szCs w:val="24"/>
                <w:highlight w:val="none"/>
                <w:lang w:val="en-US" w:eastAsia="zh-CN" w:bidi="ar-SA"/>
              </w:rPr>
              <w:t>39.8</w:t>
            </w:r>
            <w:r>
              <w:rPr>
                <w:rFonts w:hint="eastAsia" w:ascii="Times New Roman" w:hAnsi="Times New Roman" w:eastAsia="宋体" w:cs="Times New Roman"/>
                <w:color w:val="auto"/>
                <w:kern w:val="2"/>
                <w:sz w:val="24"/>
                <w:szCs w:val="24"/>
                <w:highlight w:val="none"/>
                <w:lang w:val="en-US" w:eastAsia="zh-CN" w:bidi="ar-SA"/>
              </w:rPr>
              <w:t>t/a）。保洁废水产生量按照用水量的80%计，则保洁废水产生量约为0.</w:t>
            </w:r>
            <w:r>
              <w:rPr>
                <w:rFonts w:hint="eastAsia" w:cs="Times New Roman"/>
                <w:color w:val="auto"/>
                <w:kern w:val="2"/>
                <w:sz w:val="24"/>
                <w:szCs w:val="24"/>
                <w:highlight w:val="none"/>
                <w:lang w:val="en-US" w:eastAsia="zh-CN" w:bidi="ar-SA"/>
              </w:rPr>
              <w:t>373</w:t>
            </w:r>
            <w:r>
              <w:rPr>
                <w:rFonts w:hint="eastAsia" w:ascii="Times New Roman" w:hAnsi="Times New Roman" w:eastAsia="宋体" w:cs="Times New Roman"/>
                <w:color w:val="auto"/>
                <w:kern w:val="2"/>
                <w:sz w:val="24"/>
                <w:szCs w:val="24"/>
                <w:highlight w:val="none"/>
                <w:lang w:val="en-US" w:eastAsia="zh-CN" w:bidi="ar-SA"/>
              </w:rPr>
              <w:t>t/d（1</w:t>
            </w:r>
            <w:r>
              <w:rPr>
                <w:rFonts w:hint="eastAsia" w:cs="Times New Roman"/>
                <w:color w:val="auto"/>
                <w:kern w:val="2"/>
                <w:sz w:val="24"/>
                <w:szCs w:val="24"/>
                <w:highlight w:val="none"/>
                <w:lang w:val="en-US" w:eastAsia="zh-CN" w:bidi="ar-SA"/>
              </w:rPr>
              <w:t>11.84</w:t>
            </w:r>
            <w:r>
              <w:rPr>
                <w:rFonts w:hint="eastAsia" w:ascii="Times New Roman" w:hAnsi="Times New Roman" w:eastAsia="宋体" w:cs="Times New Roman"/>
                <w:color w:val="auto"/>
                <w:kern w:val="2"/>
                <w:sz w:val="24"/>
                <w:szCs w:val="24"/>
                <w:highlight w:val="none"/>
                <w:lang w:val="en-US" w:eastAsia="zh-CN" w:bidi="ar-SA"/>
              </w:rPr>
              <w:t>t/a）。</w:t>
            </w:r>
            <w:r>
              <w:rPr>
                <w:rFonts w:hint="eastAsia"/>
                <w:color w:val="auto"/>
                <w:highlight w:val="none"/>
                <w:lang w:val="en-US" w:eastAsia="zh-CN"/>
              </w:rPr>
              <w:t>保洁废水</w:t>
            </w:r>
            <w:r>
              <w:rPr>
                <w:rFonts w:hint="eastAsia"/>
                <w:color w:val="auto"/>
                <w:highlight w:val="none"/>
              </w:rPr>
              <w:t>经</w:t>
            </w:r>
            <w:r>
              <w:rPr>
                <w:rFonts w:hint="eastAsia"/>
                <w:color w:val="auto"/>
                <w:highlight w:val="none"/>
                <w:lang w:val="en-US" w:eastAsia="zh-CN"/>
              </w:rPr>
              <w:t>化粪池收集后经污水</w:t>
            </w:r>
            <w:r>
              <w:rPr>
                <w:rFonts w:hint="eastAsia"/>
                <w:color w:val="auto"/>
                <w:highlight w:val="none"/>
              </w:rPr>
              <w:t>管网排至</w:t>
            </w:r>
            <w:r>
              <w:rPr>
                <w:rFonts w:hint="eastAsia" w:cs="Times New Roman"/>
                <w:color w:val="auto"/>
                <w:kern w:val="2"/>
                <w:sz w:val="24"/>
                <w:szCs w:val="24"/>
                <w:highlight w:val="none"/>
                <w:lang w:val="en-US" w:eastAsia="zh-CN" w:bidi="ar-SA"/>
              </w:rPr>
              <w:t>山南新区污水处理厂</w:t>
            </w:r>
            <w:r>
              <w:rPr>
                <w:rFonts w:hint="eastAsia"/>
                <w:color w:val="auto"/>
                <w:highlight w:val="none"/>
              </w:rPr>
              <w:t>。</w:t>
            </w:r>
          </w:p>
          <w:p w14:paraId="71A41D3F">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（4）喷淋废水</w:t>
            </w:r>
          </w:p>
          <w:p w14:paraId="478A2A8A">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本项目废气喷淋处理系统中的水循环使用，酸雾喷淋循环用水量约为0.</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t/d，喷淋水一般2个月排放一次，排水量为</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t/a（0.0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t/d），进入实验室污水处理设施处理后排放，损失的水量按照用水量的10%进行补充，需补充新水量为0.0</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t/d。</w:t>
            </w:r>
          </w:p>
          <w:p w14:paraId="1D7CE347">
            <w:pPr>
              <w:pStyle w:val="26"/>
              <w:keepNext w:val="0"/>
              <w:keepLines w:val="0"/>
              <w:suppressLineNumbers w:val="0"/>
              <w:bidi w:val="0"/>
              <w:spacing w:before="0" w:beforeAutospacing="0" w:after="0" w:afterAutospacing="0"/>
              <w:ind w:left="0" w:right="0"/>
              <w:rPr>
                <w:rFonts w:hint="default"/>
                <w:color w:val="auto"/>
                <w:highlight w:val="none"/>
              </w:rPr>
            </w:pPr>
          </w:p>
          <w:p w14:paraId="1236A387">
            <w:pPr>
              <w:pStyle w:val="4"/>
              <w:suppressLineNumbers w:val="0"/>
              <w:spacing w:before="0" w:beforeAutospacing="0" w:after="0" w:afterAutospacing="0"/>
              <w:ind w:left="0" w:right="0"/>
              <w:rPr>
                <w:rFonts w:hint="default"/>
                <w:color w:val="auto"/>
                <w:highlight w:val="none"/>
              </w:rPr>
            </w:pPr>
            <w:r>
              <w:rPr>
                <w:rFonts w:hint="default"/>
                <w:color w:val="auto"/>
                <w:sz w:val="21"/>
                <w:highlight w:val="none"/>
              </w:rPr>
              <mc:AlternateContent>
                <mc:Choice Requires="wpg">
                  <w:drawing>
                    <wp:anchor distT="0" distB="0" distL="114300" distR="114300" simplePos="0" relativeHeight="251671552" behindDoc="0" locked="0" layoutInCell="1" allowOverlap="1">
                      <wp:simplePos x="0" y="0"/>
                      <wp:positionH relativeFrom="column">
                        <wp:posOffset>-10795</wp:posOffset>
                      </wp:positionH>
                      <wp:positionV relativeFrom="paragraph">
                        <wp:posOffset>222250</wp:posOffset>
                      </wp:positionV>
                      <wp:extent cx="5285740" cy="3832860"/>
                      <wp:effectExtent l="0" t="0" r="10160" b="15240"/>
                      <wp:wrapNone/>
                      <wp:docPr id="1" name="组合 1"/>
                      <wp:cNvGraphicFramePr/>
                      <a:graphic xmlns:a="http://schemas.openxmlformats.org/drawingml/2006/main">
                        <a:graphicData uri="http://schemas.microsoft.com/office/word/2010/wordprocessingGroup">
                          <wpg:wgp>
                            <wpg:cNvGrpSpPr/>
                            <wpg:grpSpPr>
                              <a:xfrm>
                                <a:off x="0" y="0"/>
                                <a:ext cx="5285740" cy="3832860"/>
                                <a:chOff x="3217" y="824797"/>
                                <a:chExt cx="8324" cy="6036"/>
                              </a:xfrm>
                            </wpg:grpSpPr>
                            <wps:wsp>
                              <wps:cNvPr id="10" name="矩形 11"/>
                              <wps:cNvSpPr/>
                              <wps:spPr>
                                <a:xfrm>
                                  <a:off x="6336" y="830013"/>
                                  <a:ext cx="766" cy="328"/>
                                </a:xfrm>
                                <a:prstGeom prst="rect">
                                  <a:avLst/>
                                </a:prstGeom>
                                <a:solidFill>
                                  <a:srgbClr val="FFFFFF">
                                    <a:alpha val="0"/>
                                  </a:srgbClr>
                                </a:solidFill>
                                <a:ln>
                                  <a:noFill/>
                                </a:ln>
                              </wps:spPr>
                              <wps:txbx>
                                <w:txbxContent>
                                  <w:p w14:paraId="67B41C50">
                                    <w:pPr>
                                      <w:pStyle w:val="27"/>
                                      <w:bidi w:val="0"/>
                                      <w:rPr>
                                        <w:rFonts w:hint="default" w:eastAsia="宋体"/>
                                        <w:lang w:val="en-US" w:eastAsia="zh-CN"/>
                                      </w:rPr>
                                    </w:pPr>
                                    <w:r>
                                      <w:rPr>
                                        <w:rFonts w:hint="eastAsia"/>
                                      </w:rPr>
                                      <w:t>0.</w:t>
                                    </w:r>
                                    <w:r>
                                      <w:rPr>
                                        <w:rFonts w:hint="eastAsia"/>
                                        <w:lang w:val="en-US" w:eastAsia="zh-CN"/>
                                      </w:rPr>
                                      <w:t>76</w:t>
                                    </w:r>
                                  </w:p>
                                </w:txbxContent>
                              </wps:txbx>
                              <wps:bodyPr wrap="square" lIns="0" tIns="0" rIns="0" bIns="0" upright="1"/>
                            </wps:wsp>
                            <wps:wsp>
                              <wps:cNvPr id="2" name="矩形 5"/>
                              <wps:cNvSpPr/>
                              <wps:spPr>
                                <a:xfrm>
                                  <a:off x="3217" y="825573"/>
                                  <a:ext cx="1339" cy="328"/>
                                </a:xfrm>
                                <a:prstGeom prst="rect">
                                  <a:avLst/>
                                </a:prstGeom>
                                <a:solidFill>
                                  <a:srgbClr val="FFFFFF">
                                    <a:alpha val="0"/>
                                  </a:srgbClr>
                                </a:solidFill>
                                <a:ln>
                                  <a:noFill/>
                                </a:ln>
                              </wps:spPr>
                              <wps:txbx>
                                <w:txbxContent>
                                  <w:p w14:paraId="32215AC0">
                                    <w:pPr>
                                      <w:pStyle w:val="27"/>
                                      <w:bidi w:val="0"/>
                                      <w:rPr>
                                        <w:rFonts w:hint="default" w:eastAsia="宋体"/>
                                        <w:lang w:val="en-US" w:eastAsia="zh-CN"/>
                                      </w:rPr>
                                    </w:pPr>
                                    <w:r>
                                      <w:rPr>
                                        <w:rFonts w:hint="eastAsia"/>
                                      </w:rPr>
                                      <w:t>新鲜水</w:t>
                                    </w:r>
                                    <w:r>
                                      <w:rPr>
                                        <w:rFonts w:hint="eastAsia"/>
                                        <w:lang w:val="en-US" w:eastAsia="zh-CN"/>
                                      </w:rPr>
                                      <w:t>6.087</w:t>
                                    </w:r>
                                  </w:p>
                                </w:txbxContent>
                              </wps:txbx>
                              <wps:bodyPr wrap="square" lIns="0" tIns="0" rIns="0" bIns="0" upright="1"/>
                            </wps:wsp>
                            <wps:wsp>
                              <wps:cNvPr id="6" name="矩形 10"/>
                              <wps:cNvSpPr/>
                              <wps:spPr>
                                <a:xfrm>
                                  <a:off x="11163" y="824812"/>
                                  <a:ext cx="378" cy="56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8B298">
                                    <w:pPr>
                                      <w:pStyle w:val="27"/>
                                      <w:bidi w:val="0"/>
                                    </w:pPr>
                                    <w:r>
                                      <w:rPr>
                                        <w:rFonts w:hint="eastAsia"/>
                                        <w:color w:val="auto"/>
                                        <w:lang w:val="en-US" w:eastAsia="zh-CN"/>
                                      </w:rPr>
                                      <w:t>山南新区</w:t>
                                    </w:r>
                                    <w:r>
                                      <w:rPr>
                                        <w:rFonts w:hint="eastAsia"/>
                                        <w:color w:val="auto"/>
                                      </w:rPr>
                                      <w:t>污水处理厂</w:t>
                                    </w:r>
                                  </w:p>
                                </w:txbxContent>
                              </wps:txbx>
                              <wps:bodyPr wrap="square" lIns="0" tIns="45720" rIns="0" bIns="45720" anchor="ctr" anchorCtr="0" upright="1"/>
                            </wps:wsp>
                            <wps:wsp>
                              <wps:cNvPr id="11" name="矩形 15"/>
                              <wps:cNvSpPr/>
                              <wps:spPr>
                                <a:xfrm>
                                  <a:off x="7942" y="829691"/>
                                  <a:ext cx="720" cy="2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4FD97C">
                                    <w:pPr>
                                      <w:pStyle w:val="27"/>
                                      <w:bidi w:val="0"/>
                                    </w:pPr>
                                    <w:r>
                                      <w:rPr>
                                        <w:rFonts w:hint="eastAsia"/>
                                      </w:rPr>
                                      <w:t>化粪池</w:t>
                                    </w:r>
                                  </w:p>
                                </w:txbxContent>
                              </wps:txbx>
                              <wps:bodyPr wrap="square" lIns="0" tIns="0" rIns="0" bIns="0" upright="1"/>
                            </wps:wsp>
                            <wps:wsp>
                              <wps:cNvPr id="12" name="矩形 16"/>
                              <wps:cNvSpPr/>
                              <wps:spPr>
                                <a:xfrm>
                                  <a:off x="9228" y="829490"/>
                                  <a:ext cx="720" cy="328"/>
                                </a:xfrm>
                                <a:prstGeom prst="rect">
                                  <a:avLst/>
                                </a:prstGeom>
                                <a:solidFill>
                                  <a:srgbClr val="FFFFFF">
                                    <a:alpha val="0"/>
                                  </a:srgbClr>
                                </a:solidFill>
                                <a:ln>
                                  <a:noFill/>
                                </a:ln>
                              </wps:spPr>
                              <wps:txbx>
                                <w:txbxContent>
                                  <w:p w14:paraId="2A5B9819">
                                    <w:pPr>
                                      <w:pStyle w:val="27"/>
                                      <w:bidi w:val="0"/>
                                      <w:rPr>
                                        <w:rFonts w:hint="default" w:eastAsia="宋体"/>
                                        <w:lang w:val="en-US" w:eastAsia="zh-CN"/>
                                      </w:rPr>
                                    </w:pPr>
                                    <w:r>
                                      <w:rPr>
                                        <w:rFonts w:hint="eastAsia"/>
                                        <w:lang w:val="en-US" w:eastAsia="zh-CN"/>
                                      </w:rPr>
                                      <w:t>4.683</w:t>
                                    </w:r>
                                  </w:p>
                                </w:txbxContent>
                              </wps:txbx>
                              <wps:bodyPr wrap="square" lIns="0" tIns="0" rIns="0" bIns="0" upright="1"/>
                            </wps:wsp>
                            <wps:wsp>
                              <wps:cNvPr id="35" name="矩形 9"/>
                              <wps:cNvSpPr/>
                              <wps:spPr>
                                <a:xfrm>
                                  <a:off x="5299" y="824894"/>
                                  <a:ext cx="1331" cy="2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65574">
                                    <w:pPr>
                                      <w:pStyle w:val="27"/>
                                      <w:bidi w:val="0"/>
                                      <w:rPr>
                                        <w:rFonts w:hint="default" w:eastAsia="宋体"/>
                                        <w:lang w:val="en-US" w:eastAsia="zh-CN"/>
                                      </w:rPr>
                                    </w:pPr>
                                    <w:r>
                                      <w:rPr>
                                        <w:rFonts w:hint="eastAsia"/>
                                        <w:lang w:val="en-US" w:eastAsia="zh-CN"/>
                                      </w:rPr>
                                      <w:t>器皿润洗</w:t>
                                    </w:r>
                                  </w:p>
                                </w:txbxContent>
                              </wps:txbx>
                              <wps:bodyPr wrap="square" lIns="0" tIns="0" rIns="0" bIns="0" upright="1"/>
                            </wps:wsp>
                            <wps:wsp>
                              <wps:cNvPr id="36" name="矩形 16"/>
                              <wps:cNvSpPr/>
                              <wps:spPr>
                                <a:xfrm>
                                  <a:off x="7047" y="830406"/>
                                  <a:ext cx="720" cy="328"/>
                                </a:xfrm>
                                <a:prstGeom prst="rect">
                                  <a:avLst/>
                                </a:prstGeom>
                                <a:solidFill>
                                  <a:srgbClr val="FFFFFF">
                                    <a:alpha val="0"/>
                                  </a:srgbClr>
                                </a:solidFill>
                                <a:ln>
                                  <a:noFill/>
                                </a:ln>
                              </wps:spPr>
                              <wps:txbx>
                                <w:txbxContent>
                                  <w:p w14:paraId="4AF0AB97">
                                    <w:pPr>
                                      <w:pStyle w:val="27"/>
                                      <w:bidi w:val="0"/>
                                      <w:rPr>
                                        <w:rFonts w:hint="default" w:eastAsia="宋体"/>
                                        <w:lang w:val="en-US" w:eastAsia="zh-CN"/>
                                      </w:rPr>
                                    </w:pPr>
                                    <w:r>
                                      <w:rPr>
                                        <w:rFonts w:hint="eastAsia"/>
                                        <w:lang w:val="en-US" w:eastAsia="zh-CN"/>
                                      </w:rPr>
                                      <w:t>4.31</w:t>
                                    </w:r>
                                  </w:p>
                                </w:txbxContent>
                              </wps:txbx>
                              <wps:bodyPr wrap="square" lIns="0" tIns="0" rIns="0" bIns="0" upright="1"/>
                            </wps:wsp>
                            <wps:wsp>
                              <wps:cNvPr id="38" name="自选图形 12"/>
                              <wps:cNvCnPr/>
                              <wps:spPr>
                                <a:xfrm>
                                  <a:off x="6633" y="825035"/>
                                  <a:ext cx="1879" cy="2"/>
                                </a:xfrm>
                                <a:prstGeom prst="straightConnector1">
                                  <a:avLst/>
                                </a:prstGeom>
                                <a:ln w="9525" cap="flat" cmpd="sng">
                                  <a:solidFill>
                                    <a:srgbClr val="000000"/>
                                  </a:solidFill>
                                  <a:prstDash val="solid"/>
                                  <a:headEnd type="none" w="med" len="med"/>
                                  <a:tailEnd type="triangle" w="med" len="med"/>
                                </a:ln>
                              </wps:spPr>
                              <wps:bodyPr/>
                            </wps:wsp>
                            <wps:wsp>
                              <wps:cNvPr id="47" name="矩形 16"/>
                              <wps:cNvSpPr/>
                              <wps:spPr>
                                <a:xfrm>
                                  <a:off x="7383" y="824797"/>
                                  <a:ext cx="720" cy="328"/>
                                </a:xfrm>
                                <a:prstGeom prst="rect">
                                  <a:avLst/>
                                </a:prstGeom>
                                <a:solidFill>
                                  <a:srgbClr val="FFFFFF">
                                    <a:alpha val="0"/>
                                  </a:srgbClr>
                                </a:solidFill>
                                <a:ln>
                                  <a:noFill/>
                                </a:ln>
                              </wps:spPr>
                              <wps:txbx>
                                <w:txbxContent>
                                  <w:p w14:paraId="0CF6F383">
                                    <w:pPr>
                                      <w:pStyle w:val="27"/>
                                      <w:bidi w:val="0"/>
                                      <w:rPr>
                                        <w:rFonts w:hint="default" w:eastAsia="宋体"/>
                                        <w:lang w:val="en-US" w:eastAsia="zh-CN"/>
                                      </w:rPr>
                                    </w:pPr>
                                    <w:r>
                                      <w:rPr>
                                        <w:rFonts w:hint="eastAsia"/>
                                        <w:lang w:val="en-US" w:eastAsia="zh-CN"/>
                                      </w:rPr>
                                      <w:t>0.004</w:t>
                                    </w:r>
                                  </w:p>
                                </w:txbxContent>
                              </wps:txbx>
                              <wps:bodyPr wrap="square" lIns="0" tIns="0" rIns="0" bIns="0" upright="1"/>
                            </wps:wsp>
                            <wps:wsp>
                              <wps:cNvPr id="54" name="自选图形 12"/>
                              <wps:cNvCnPr/>
                              <wps:spPr>
                                <a:xfrm flipV="1">
                                  <a:off x="4601" y="825042"/>
                                  <a:ext cx="706" cy="2"/>
                                </a:xfrm>
                                <a:prstGeom prst="straightConnector1">
                                  <a:avLst/>
                                </a:prstGeom>
                                <a:ln w="9525" cap="flat" cmpd="sng">
                                  <a:solidFill>
                                    <a:srgbClr val="000000"/>
                                  </a:solidFill>
                                  <a:prstDash val="solid"/>
                                  <a:headEnd type="none" w="med" len="med"/>
                                  <a:tailEnd type="triangle" w="med" len="med"/>
                                </a:ln>
                              </wps:spPr>
                              <wps:bodyPr/>
                            </wps:wsp>
                            <wps:wsp>
                              <wps:cNvPr id="55" name="自选图形 12"/>
                              <wps:cNvCnPr/>
                              <wps:spPr>
                                <a:xfrm>
                                  <a:off x="3656" y="825884"/>
                                  <a:ext cx="951" cy="0"/>
                                </a:xfrm>
                                <a:prstGeom prst="straightConnector1">
                                  <a:avLst/>
                                </a:prstGeom>
                                <a:ln w="9525" cap="flat" cmpd="sng">
                                  <a:solidFill>
                                    <a:srgbClr val="000000"/>
                                  </a:solidFill>
                                  <a:prstDash val="solid"/>
                                  <a:headEnd type="none" w="med" len="med"/>
                                  <a:tailEnd type="triangle" w="med" len="med"/>
                                </a:ln>
                              </wps:spPr>
                              <wps:bodyPr/>
                            </wps:wsp>
                            <wps:wsp>
                              <wps:cNvPr id="56" name="自选图形 12"/>
                              <wps:cNvCnPr>
                                <a:stCxn id="58" idx="1"/>
                              </wps:cNvCnPr>
                              <wps:spPr>
                                <a:xfrm>
                                  <a:off x="4607" y="824973"/>
                                  <a:ext cx="1" cy="5710"/>
                                </a:xfrm>
                                <a:prstGeom prst="straightConnector1">
                                  <a:avLst/>
                                </a:prstGeom>
                                <a:ln w="9525" cap="flat" cmpd="sng">
                                  <a:solidFill>
                                    <a:srgbClr val="000000"/>
                                  </a:solidFill>
                                  <a:prstDash val="solid"/>
                                  <a:headEnd type="none" w="med" len="med"/>
                                  <a:tailEnd type="none" w="med" len="med"/>
                                </a:ln>
                              </wps:spPr>
                              <wps:bodyPr/>
                            </wps:wsp>
                            <wps:wsp>
                              <wps:cNvPr id="57" name="矩形 5"/>
                              <wps:cNvSpPr/>
                              <wps:spPr>
                                <a:xfrm>
                                  <a:off x="4594" y="830345"/>
                                  <a:ext cx="641" cy="328"/>
                                </a:xfrm>
                                <a:prstGeom prst="rect">
                                  <a:avLst/>
                                </a:prstGeom>
                                <a:solidFill>
                                  <a:srgbClr val="FFFFFF">
                                    <a:alpha val="0"/>
                                  </a:srgbClr>
                                </a:solidFill>
                                <a:ln>
                                  <a:noFill/>
                                </a:ln>
                              </wps:spPr>
                              <wps:txbx>
                                <w:txbxContent>
                                  <w:p w14:paraId="48189523">
                                    <w:pPr>
                                      <w:pStyle w:val="27"/>
                                      <w:bidi w:val="0"/>
                                      <w:rPr>
                                        <w:rFonts w:hint="default" w:eastAsia="宋体"/>
                                        <w:lang w:val="en-US" w:eastAsia="zh-CN"/>
                                      </w:rPr>
                                    </w:pPr>
                                    <w:r>
                                      <w:rPr>
                                        <w:rFonts w:hint="eastAsia"/>
                                        <w:lang w:val="en-US" w:eastAsia="zh-CN"/>
                                      </w:rPr>
                                      <w:t>5.07</w:t>
                                    </w:r>
                                  </w:p>
                                </w:txbxContent>
                              </wps:txbx>
                              <wps:bodyPr wrap="square" lIns="0" tIns="0" rIns="0" bIns="0" upright="1"/>
                            </wps:wsp>
                            <wps:wsp>
                              <wps:cNvPr id="58" name="矩形 5"/>
                              <wps:cNvSpPr/>
                              <wps:spPr>
                                <a:xfrm>
                                  <a:off x="4607" y="824809"/>
                                  <a:ext cx="641" cy="328"/>
                                </a:xfrm>
                                <a:prstGeom prst="rect">
                                  <a:avLst/>
                                </a:prstGeom>
                                <a:solidFill>
                                  <a:srgbClr val="FFFFFF">
                                    <a:alpha val="0"/>
                                  </a:srgbClr>
                                </a:solidFill>
                                <a:ln>
                                  <a:noFill/>
                                </a:ln>
                              </wps:spPr>
                              <wps:txbx>
                                <w:txbxContent>
                                  <w:p w14:paraId="30C378FD">
                                    <w:pPr>
                                      <w:pStyle w:val="27"/>
                                      <w:bidi w:val="0"/>
                                      <w:rPr>
                                        <w:rFonts w:hint="default" w:eastAsia="宋体"/>
                                        <w:lang w:val="en-US" w:eastAsia="zh-CN"/>
                                      </w:rPr>
                                    </w:pPr>
                                    <w:r>
                                      <w:rPr>
                                        <w:rFonts w:hint="eastAsia"/>
                                        <w:lang w:val="en-US" w:eastAsia="zh-CN"/>
                                      </w:rPr>
                                      <w:t>0.004</w:t>
                                    </w:r>
                                  </w:p>
                                </w:txbxContent>
                              </wps:txbx>
                              <wps:bodyPr wrap="square" lIns="0" tIns="0" rIns="0" bIns="0" upright="1"/>
                            </wps:wsp>
                            <wps:wsp>
                              <wps:cNvPr id="63" name="自选图形 12"/>
                              <wps:cNvCnPr/>
                              <wps:spPr>
                                <a:xfrm flipV="1">
                                  <a:off x="5755" y="826338"/>
                                  <a:ext cx="622" cy="8"/>
                                </a:xfrm>
                                <a:prstGeom prst="straightConnector1">
                                  <a:avLst/>
                                </a:prstGeom>
                                <a:ln w="9525" cap="flat" cmpd="sng">
                                  <a:solidFill>
                                    <a:srgbClr val="000000"/>
                                  </a:solidFill>
                                  <a:prstDash val="solid"/>
                                  <a:headEnd type="none" w="med" len="med"/>
                                  <a:tailEnd type="triangle" w="med" len="med"/>
                                </a:ln>
                              </wps:spPr>
                              <wps:bodyPr/>
                            </wps:wsp>
                            <wps:wsp>
                              <wps:cNvPr id="64" name="矩形 9"/>
                              <wps:cNvSpPr/>
                              <wps:spPr>
                                <a:xfrm>
                                  <a:off x="6386" y="826215"/>
                                  <a:ext cx="856" cy="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50F80">
                                    <w:pPr>
                                      <w:pStyle w:val="27"/>
                                      <w:bidi w:val="0"/>
                                      <w:rPr>
                                        <w:rFonts w:hint="default" w:eastAsia="宋体"/>
                                        <w:lang w:val="en-US" w:eastAsia="zh-CN"/>
                                      </w:rPr>
                                    </w:pPr>
                                    <w:r>
                                      <w:rPr>
                                        <w:rFonts w:hint="eastAsia"/>
                                        <w:lang w:val="en-US" w:eastAsia="zh-CN"/>
                                      </w:rPr>
                                      <w:t>水样</w:t>
                                    </w:r>
                                  </w:p>
                                </w:txbxContent>
                              </wps:txbx>
                              <wps:bodyPr wrap="square" lIns="0" tIns="0" rIns="0" bIns="0" upright="1"/>
                            </wps:wsp>
                            <wps:wsp>
                              <wps:cNvPr id="65" name="矩形 5"/>
                              <wps:cNvSpPr/>
                              <wps:spPr>
                                <a:xfrm>
                                  <a:off x="5084" y="826189"/>
                                  <a:ext cx="641" cy="328"/>
                                </a:xfrm>
                                <a:prstGeom prst="rect">
                                  <a:avLst/>
                                </a:prstGeom>
                                <a:solidFill>
                                  <a:srgbClr val="FFFFFF">
                                    <a:alpha val="0"/>
                                  </a:srgbClr>
                                </a:solidFill>
                                <a:ln>
                                  <a:noFill/>
                                </a:ln>
                              </wps:spPr>
                              <wps:txbx>
                                <w:txbxContent>
                                  <w:p w14:paraId="281F13CC">
                                    <w:pPr>
                                      <w:pStyle w:val="27"/>
                                      <w:bidi w:val="0"/>
                                      <w:rPr>
                                        <w:rFonts w:hint="default" w:eastAsia="宋体"/>
                                        <w:lang w:val="en-US" w:eastAsia="zh-CN"/>
                                      </w:rPr>
                                    </w:pPr>
                                    <w:r>
                                      <w:rPr>
                                        <w:rFonts w:hint="eastAsia"/>
                                        <w:lang w:val="en-US" w:eastAsia="zh-CN"/>
                                      </w:rPr>
                                      <w:t>采样</w:t>
                                    </w:r>
                                  </w:p>
                                </w:txbxContent>
                              </wps:txbx>
                              <wps:bodyPr wrap="square" lIns="0" tIns="0" rIns="0" bIns="0" upright="1"/>
                            </wps:wsp>
                            <wps:wsp>
                              <wps:cNvPr id="66" name="自选图形 8"/>
                              <wps:cNvCnPr/>
                              <wps:spPr>
                                <a:xfrm flipV="1">
                                  <a:off x="6151" y="827591"/>
                                  <a:ext cx="502" cy="362"/>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15" name="自选图形 12"/>
                              <wps:cNvCnPr/>
                              <wps:spPr>
                                <a:xfrm flipV="1">
                                  <a:off x="4611" y="825654"/>
                                  <a:ext cx="689" cy="5"/>
                                </a:xfrm>
                                <a:prstGeom prst="straightConnector1">
                                  <a:avLst/>
                                </a:prstGeom>
                                <a:ln w="9525" cap="flat" cmpd="sng">
                                  <a:solidFill>
                                    <a:srgbClr val="000000"/>
                                  </a:solidFill>
                                  <a:prstDash val="solid"/>
                                  <a:headEnd type="none" w="med" len="med"/>
                                  <a:tailEnd type="triangle" w="med" len="med"/>
                                </a:ln>
                              </wps:spPr>
                              <wps:bodyPr/>
                            </wps:wsp>
                            <wps:wsp>
                              <wps:cNvPr id="16" name="矩形 9"/>
                              <wps:cNvSpPr/>
                              <wps:spPr>
                                <a:xfrm>
                                  <a:off x="5319" y="825513"/>
                                  <a:ext cx="1331" cy="2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6D566C">
                                    <w:pPr>
                                      <w:pStyle w:val="27"/>
                                      <w:bidi w:val="0"/>
                                      <w:rPr>
                                        <w:rFonts w:hint="default" w:eastAsia="宋体"/>
                                        <w:lang w:val="en-US" w:eastAsia="zh-CN"/>
                                      </w:rPr>
                                    </w:pPr>
                                    <w:r>
                                      <w:rPr>
                                        <w:rFonts w:hint="eastAsia"/>
                                        <w:lang w:val="en-US" w:eastAsia="zh-CN"/>
                                      </w:rPr>
                                      <w:t>器皿清洗</w:t>
                                    </w:r>
                                  </w:p>
                                </w:txbxContent>
                              </wps:txbx>
                              <wps:bodyPr wrap="square" lIns="0" tIns="0" rIns="0" bIns="0" upright="1"/>
                            </wps:wsp>
                            <wps:wsp>
                              <wps:cNvPr id="17" name="自选图形 12"/>
                              <wps:cNvCnPr/>
                              <wps:spPr>
                                <a:xfrm flipV="1">
                                  <a:off x="6644" y="825650"/>
                                  <a:ext cx="2275" cy="13"/>
                                </a:xfrm>
                                <a:prstGeom prst="straightConnector1">
                                  <a:avLst/>
                                </a:prstGeom>
                                <a:ln w="9525" cap="flat" cmpd="sng">
                                  <a:solidFill>
                                    <a:srgbClr val="000000"/>
                                  </a:solidFill>
                                  <a:prstDash val="solid"/>
                                  <a:headEnd type="none" w="med" len="med"/>
                                  <a:tailEnd type="triangle" w="med" len="med"/>
                                </a:ln>
                              </wps:spPr>
                              <wps:bodyPr/>
                            </wps:wsp>
                            <wps:wsp>
                              <wps:cNvPr id="24" name="自选图形 12"/>
                              <wps:cNvCnPr/>
                              <wps:spPr>
                                <a:xfrm flipV="1">
                                  <a:off x="4616" y="827013"/>
                                  <a:ext cx="969" cy="2"/>
                                </a:xfrm>
                                <a:prstGeom prst="straightConnector1">
                                  <a:avLst/>
                                </a:prstGeom>
                                <a:ln w="9525" cap="flat" cmpd="sng">
                                  <a:solidFill>
                                    <a:srgbClr val="000000"/>
                                  </a:solidFill>
                                  <a:prstDash val="solid"/>
                                  <a:headEnd type="none" w="med" len="med"/>
                                  <a:tailEnd type="triangle" w="med" len="med"/>
                                </a:ln>
                              </wps:spPr>
                              <wps:bodyPr/>
                            </wps:wsp>
                            <wps:wsp>
                              <wps:cNvPr id="25" name="矩形 9"/>
                              <wps:cNvSpPr/>
                              <wps:spPr>
                                <a:xfrm>
                                  <a:off x="5599" y="826884"/>
                                  <a:ext cx="856" cy="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56576E">
                                    <w:pPr>
                                      <w:pStyle w:val="27"/>
                                      <w:bidi w:val="0"/>
                                      <w:rPr>
                                        <w:rFonts w:hint="default" w:eastAsia="宋体"/>
                                        <w:lang w:val="en-US" w:eastAsia="zh-CN"/>
                                      </w:rPr>
                                    </w:pPr>
                                    <w:r>
                                      <w:rPr>
                                        <w:rFonts w:hint="eastAsia"/>
                                        <w:lang w:val="en-US" w:eastAsia="zh-CN"/>
                                      </w:rPr>
                                      <w:t>纯水制备</w:t>
                                    </w:r>
                                  </w:p>
                                </w:txbxContent>
                              </wps:txbx>
                              <wps:bodyPr wrap="square" lIns="0" tIns="0" rIns="0" bIns="0" upright="1"/>
                            </wps:wsp>
                            <wps:wsp>
                              <wps:cNvPr id="27" name="自选图形 12"/>
                              <wps:cNvCnPr/>
                              <wps:spPr>
                                <a:xfrm flipV="1">
                                  <a:off x="6451" y="827003"/>
                                  <a:ext cx="775" cy="6"/>
                                </a:xfrm>
                                <a:prstGeom prst="straightConnector1">
                                  <a:avLst/>
                                </a:prstGeom>
                                <a:ln w="9525" cap="flat" cmpd="sng">
                                  <a:solidFill>
                                    <a:srgbClr val="000000"/>
                                  </a:solidFill>
                                  <a:prstDash val="solid"/>
                                  <a:headEnd type="none" w="med" len="med"/>
                                  <a:tailEnd type="triangle" w="med" len="med"/>
                                </a:ln>
                              </wps:spPr>
                              <wps:bodyPr/>
                            </wps:wsp>
                            <wps:wsp>
                              <wps:cNvPr id="29" name="自选图形 12"/>
                              <wps:cNvCnPr/>
                              <wps:spPr>
                                <a:xfrm flipH="1">
                                  <a:off x="5986" y="827144"/>
                                  <a:ext cx="5" cy="285"/>
                                </a:xfrm>
                                <a:prstGeom prst="straightConnector1">
                                  <a:avLst/>
                                </a:prstGeom>
                                <a:ln w="9525" cap="flat" cmpd="sng" algn="ctr">
                                  <a:solidFill>
                                    <a:schemeClr val="tx1"/>
                                  </a:solidFill>
                                  <a:prstDash val="solid"/>
                                  <a:headEnd type="none" w="med" len="med"/>
                                  <a:tailEnd type="none" w="med" len="med"/>
                                </a:ln>
                              </wps:spPr>
                              <wps:style>
                                <a:lnRef idx="0">
                                  <a:schemeClr val="accent1"/>
                                </a:lnRef>
                                <a:fillRef idx="0">
                                  <a:srgbClr val="FFFFFF"/>
                                </a:fillRef>
                                <a:effectRef idx="0">
                                  <a:srgbClr val="FFFFFF"/>
                                </a:effectRef>
                                <a:fontRef idx="minor">
                                  <a:schemeClr val="tx1"/>
                                </a:fontRef>
                              </wps:style>
                              <wps:bodyPr/>
                            </wps:wsp>
                            <wps:wsp>
                              <wps:cNvPr id="34" name="自选图形 12"/>
                              <wps:cNvCnPr/>
                              <wps:spPr>
                                <a:xfrm flipV="1">
                                  <a:off x="4601" y="829833"/>
                                  <a:ext cx="969" cy="2"/>
                                </a:xfrm>
                                <a:prstGeom prst="straightConnector1">
                                  <a:avLst/>
                                </a:prstGeom>
                                <a:ln w="9525" cap="flat" cmpd="sng">
                                  <a:solidFill>
                                    <a:srgbClr val="000000"/>
                                  </a:solidFill>
                                  <a:prstDash val="solid"/>
                                  <a:headEnd type="none" w="med" len="med"/>
                                  <a:tailEnd type="triangle" w="med" len="med"/>
                                </a:ln>
                              </wps:spPr>
                              <wps:bodyPr/>
                            </wps:wsp>
                            <wps:wsp>
                              <wps:cNvPr id="37" name="矩形 9"/>
                              <wps:cNvSpPr/>
                              <wps:spPr>
                                <a:xfrm>
                                  <a:off x="5568" y="829679"/>
                                  <a:ext cx="1331" cy="2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022BC">
                                    <w:pPr>
                                      <w:pStyle w:val="27"/>
                                      <w:bidi w:val="0"/>
                                      <w:rPr>
                                        <w:rFonts w:hint="default" w:eastAsia="宋体"/>
                                        <w:lang w:val="en-US" w:eastAsia="zh-CN"/>
                                      </w:rPr>
                                    </w:pPr>
                                    <w:r>
                                      <w:rPr>
                                        <w:rFonts w:hint="eastAsia"/>
                                        <w:lang w:val="en-US" w:eastAsia="zh-CN"/>
                                      </w:rPr>
                                      <w:t>保洁用水</w:t>
                                    </w:r>
                                  </w:p>
                                </w:txbxContent>
                              </wps:txbx>
                              <wps:bodyPr wrap="square" lIns="0" tIns="0" rIns="0" bIns="0" upright="1"/>
                            </wps:wsp>
                            <wps:wsp>
                              <wps:cNvPr id="49" name="矩形 9"/>
                              <wps:cNvSpPr/>
                              <wps:spPr>
                                <a:xfrm>
                                  <a:off x="5681" y="827913"/>
                                  <a:ext cx="1331" cy="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63DA90">
                                    <w:pPr>
                                      <w:pStyle w:val="27"/>
                                      <w:bidi w:val="0"/>
                                      <w:rPr>
                                        <w:rFonts w:hint="default" w:eastAsia="宋体"/>
                                        <w:lang w:val="en-US" w:eastAsia="zh-CN"/>
                                      </w:rPr>
                                    </w:pPr>
                                    <w:r>
                                      <w:rPr>
                                        <w:rFonts w:hint="eastAsia"/>
                                        <w:lang w:val="en-US" w:eastAsia="zh-CN"/>
                                      </w:rPr>
                                      <w:t>喷淋用水</w:t>
                                    </w:r>
                                  </w:p>
                                </w:txbxContent>
                              </wps:txbx>
                              <wps:bodyPr wrap="square" lIns="0" tIns="0" rIns="0" bIns="0" upright="1"/>
                            </wps:wsp>
                            <wps:wsp>
                              <wps:cNvPr id="50" name="自选图形 12"/>
                              <wps:cNvCnPr/>
                              <wps:spPr>
                                <a:xfrm>
                                  <a:off x="7237" y="826341"/>
                                  <a:ext cx="1676" cy="0"/>
                                </a:xfrm>
                                <a:prstGeom prst="straightConnector1">
                                  <a:avLst/>
                                </a:prstGeom>
                                <a:ln w="9525" cap="flat" cmpd="sng">
                                  <a:solidFill>
                                    <a:srgbClr val="000000"/>
                                  </a:solidFill>
                                  <a:prstDash val="solid"/>
                                  <a:headEnd type="none" w="med" len="med"/>
                                  <a:tailEnd type="triangle" w="med" len="med"/>
                                </a:ln>
                              </wps:spPr>
                              <wps:bodyPr/>
                            </wps:wsp>
                            <wps:wsp>
                              <wps:cNvPr id="51" name="自选图形 12"/>
                              <wps:cNvCnPr/>
                              <wps:spPr>
                                <a:xfrm>
                                  <a:off x="8289" y="827009"/>
                                  <a:ext cx="633" cy="12"/>
                                </a:xfrm>
                                <a:prstGeom prst="straightConnector1">
                                  <a:avLst/>
                                </a:prstGeom>
                                <a:ln w="9525" cap="flat" cmpd="sng">
                                  <a:solidFill>
                                    <a:srgbClr val="000000"/>
                                  </a:solidFill>
                                  <a:prstDash val="solid"/>
                                  <a:headEnd type="none" w="med" len="med"/>
                                  <a:tailEnd type="triangle" w="med" len="med"/>
                                </a:ln>
                              </wps:spPr>
                              <wps:bodyPr/>
                            </wps:wsp>
                            <wps:wsp>
                              <wps:cNvPr id="53" name="自选图形 12"/>
                              <wps:cNvCnPr/>
                              <wps:spPr>
                                <a:xfrm>
                                  <a:off x="7022" y="828896"/>
                                  <a:ext cx="3399" cy="9"/>
                                </a:xfrm>
                                <a:prstGeom prst="straightConnector1">
                                  <a:avLst/>
                                </a:prstGeom>
                                <a:ln w="9525" cap="flat" cmpd="sng">
                                  <a:solidFill>
                                    <a:srgbClr val="000000"/>
                                  </a:solidFill>
                                  <a:prstDash val="solid"/>
                                  <a:headEnd type="none" w="med" len="med"/>
                                  <a:tailEnd type="triangle" w="med" len="med"/>
                                </a:ln>
                              </wps:spPr>
                              <wps:bodyPr/>
                            </wps:wsp>
                            <wps:wsp>
                              <wps:cNvPr id="59" name="自选图形 12"/>
                              <wps:cNvCnPr/>
                              <wps:spPr>
                                <a:xfrm>
                                  <a:off x="6899" y="829822"/>
                                  <a:ext cx="1038" cy="2"/>
                                </a:xfrm>
                                <a:prstGeom prst="straightConnector1">
                                  <a:avLst/>
                                </a:prstGeom>
                                <a:ln w="9525" cap="flat" cmpd="sng">
                                  <a:solidFill>
                                    <a:srgbClr val="000000"/>
                                  </a:solidFill>
                                  <a:prstDash val="solid"/>
                                  <a:headEnd type="none" w="med" len="med"/>
                                  <a:tailEnd type="triangle" w="med" len="med"/>
                                </a:ln>
                              </wps:spPr>
                              <wps:bodyPr/>
                            </wps:wsp>
                            <wps:wsp>
                              <wps:cNvPr id="67" name="矩形 9"/>
                              <wps:cNvSpPr/>
                              <wps:spPr>
                                <a:xfrm>
                                  <a:off x="5605" y="828777"/>
                                  <a:ext cx="1427" cy="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219E6F">
                                    <w:pPr>
                                      <w:pStyle w:val="27"/>
                                      <w:bidi w:val="0"/>
                                      <w:rPr>
                                        <w:rFonts w:hint="default" w:eastAsia="宋体"/>
                                        <w:lang w:val="en-US" w:eastAsia="zh-CN"/>
                                      </w:rPr>
                                    </w:pPr>
                                    <w:r>
                                      <w:rPr>
                                        <w:rFonts w:hint="eastAsia"/>
                                        <w:lang w:val="en-US" w:eastAsia="zh-CN"/>
                                      </w:rPr>
                                      <w:t>纯水机反冲洗</w:t>
                                    </w:r>
                                  </w:p>
                                </w:txbxContent>
                              </wps:txbx>
                              <wps:bodyPr wrap="square" lIns="0" tIns="0" rIns="0" bIns="0" upright="1"/>
                            </wps:wsp>
                            <wps:wsp>
                              <wps:cNvPr id="68" name="自选图形 12"/>
                              <wps:cNvCnPr/>
                              <wps:spPr>
                                <a:xfrm>
                                  <a:off x="4599" y="828927"/>
                                  <a:ext cx="1009" cy="6"/>
                                </a:xfrm>
                                <a:prstGeom prst="straightConnector1">
                                  <a:avLst/>
                                </a:prstGeom>
                                <a:ln w="9525" cap="flat" cmpd="sng">
                                  <a:solidFill>
                                    <a:srgbClr val="000000"/>
                                  </a:solidFill>
                                  <a:prstDash val="solid"/>
                                  <a:headEnd type="none" w="med" len="med"/>
                                  <a:tailEnd type="triangle" w="med" len="med"/>
                                </a:ln>
                              </wps:spPr>
                              <wps:bodyPr/>
                            </wps:wsp>
                            <wps:wsp>
                              <wps:cNvPr id="71" name="自选图形 12"/>
                              <wps:cNvCnPr/>
                              <wps:spPr>
                                <a:xfrm flipV="1">
                                  <a:off x="7014" y="828061"/>
                                  <a:ext cx="1079" cy="1"/>
                                </a:xfrm>
                                <a:prstGeom prst="straightConnector1">
                                  <a:avLst/>
                                </a:prstGeom>
                                <a:ln w="9525" cap="flat" cmpd="sng" algn="ctr">
                                  <a:solidFill>
                                    <a:schemeClr val="accent1"/>
                                  </a:solidFill>
                                  <a:prstDash val="dash"/>
                                  <a:headEnd type="none" w="med" len="med"/>
                                  <a:tailEnd type="none" w="med" len="med"/>
                                </a:ln>
                              </wps:spPr>
                              <wps:style>
                                <a:lnRef idx="0">
                                  <a:schemeClr val="accent1"/>
                                </a:lnRef>
                                <a:fillRef idx="0">
                                  <a:srgbClr val="FFFFFF"/>
                                </a:fillRef>
                                <a:effectRef idx="0">
                                  <a:srgbClr val="FFFFFF"/>
                                </a:effectRef>
                                <a:fontRef idx="minor">
                                  <a:schemeClr val="tx1"/>
                                </a:fontRef>
                              </wps:style>
                              <wps:bodyPr/>
                            </wps:wsp>
                            <wps:wsp>
                              <wps:cNvPr id="72" name="矩形 5"/>
                              <wps:cNvSpPr/>
                              <wps:spPr>
                                <a:xfrm>
                                  <a:off x="5736" y="826100"/>
                                  <a:ext cx="641" cy="328"/>
                                </a:xfrm>
                                <a:prstGeom prst="rect">
                                  <a:avLst/>
                                </a:prstGeom>
                                <a:solidFill>
                                  <a:srgbClr val="FFFFFF">
                                    <a:alpha val="0"/>
                                  </a:srgbClr>
                                </a:solidFill>
                                <a:ln>
                                  <a:noFill/>
                                </a:ln>
                              </wps:spPr>
                              <wps:txbx>
                                <w:txbxContent>
                                  <w:p w14:paraId="754C9E86">
                                    <w:pPr>
                                      <w:pStyle w:val="27"/>
                                      <w:bidi w:val="0"/>
                                      <w:rPr>
                                        <w:rFonts w:hint="default" w:eastAsia="宋体"/>
                                        <w:lang w:val="en-US" w:eastAsia="zh-CN"/>
                                      </w:rPr>
                                    </w:pPr>
                                    <w:r>
                                      <w:rPr>
                                        <w:rFonts w:hint="eastAsia"/>
                                        <w:lang w:val="en-US" w:eastAsia="zh-CN"/>
                                      </w:rPr>
                                      <w:t>0.09</w:t>
                                    </w:r>
                                  </w:p>
                                </w:txbxContent>
                              </wps:txbx>
                              <wps:bodyPr wrap="square" lIns="0" tIns="0" rIns="0" bIns="0" upright="1"/>
                            </wps:wsp>
                            <wps:wsp>
                              <wps:cNvPr id="73" name="矩形 5"/>
                              <wps:cNvSpPr/>
                              <wps:spPr>
                                <a:xfrm>
                                  <a:off x="8434" y="824858"/>
                                  <a:ext cx="1602" cy="328"/>
                                </a:xfrm>
                                <a:prstGeom prst="rect">
                                  <a:avLst/>
                                </a:prstGeom>
                                <a:solidFill>
                                  <a:srgbClr val="FFFFFF">
                                    <a:alpha val="0"/>
                                  </a:srgbClr>
                                </a:solidFill>
                                <a:ln>
                                  <a:noFill/>
                                </a:ln>
                              </wps:spPr>
                              <wps:txbx>
                                <w:txbxContent>
                                  <w:p w14:paraId="05FB2FD5">
                                    <w:pPr>
                                      <w:pStyle w:val="27"/>
                                      <w:bidi w:val="0"/>
                                      <w:rPr>
                                        <w:rFonts w:hint="default" w:eastAsia="宋体"/>
                                        <w:lang w:val="en-US" w:eastAsia="zh-CN"/>
                                      </w:rPr>
                                    </w:pPr>
                                    <w:r>
                                      <w:rPr>
                                        <w:rFonts w:hint="eastAsia"/>
                                        <w:lang w:val="en-US" w:eastAsia="zh-CN"/>
                                      </w:rPr>
                                      <w:t>作为危废处置</w:t>
                                    </w:r>
                                  </w:p>
                                </w:txbxContent>
                              </wps:txbx>
                              <wps:bodyPr wrap="square" lIns="0" tIns="0" rIns="0" bIns="0" upright="1"/>
                            </wps:wsp>
                            <wps:wsp>
                              <wps:cNvPr id="75" name="矩形 9"/>
                              <wps:cNvSpPr/>
                              <wps:spPr>
                                <a:xfrm>
                                  <a:off x="7241" y="826871"/>
                                  <a:ext cx="1046" cy="2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1FCD8F">
                                    <w:pPr>
                                      <w:pStyle w:val="27"/>
                                      <w:bidi w:val="0"/>
                                      <w:rPr>
                                        <w:rFonts w:hint="default" w:eastAsia="宋体"/>
                                        <w:lang w:val="en-US" w:eastAsia="zh-CN"/>
                                      </w:rPr>
                                    </w:pPr>
                                    <w:r>
                                      <w:rPr>
                                        <w:rFonts w:hint="eastAsia"/>
                                        <w:lang w:val="en-US" w:eastAsia="zh-CN"/>
                                      </w:rPr>
                                      <w:t>样品标定</w:t>
                                    </w:r>
                                  </w:p>
                                </w:txbxContent>
                              </wps:txbx>
                              <wps:bodyPr wrap="square" lIns="0" tIns="0" rIns="0" bIns="0" upright="1"/>
                            </wps:wsp>
                            <wps:wsp>
                              <wps:cNvPr id="76" name="自选图形 12"/>
                              <wps:cNvCnPr/>
                              <wps:spPr>
                                <a:xfrm flipV="1">
                                  <a:off x="4621" y="828053"/>
                                  <a:ext cx="1057" cy="1"/>
                                </a:xfrm>
                                <a:prstGeom prst="straightConnector1">
                                  <a:avLst/>
                                </a:prstGeom>
                                <a:ln w="9525" cap="flat" cmpd="sng">
                                  <a:solidFill>
                                    <a:srgbClr val="000000"/>
                                  </a:solidFill>
                                  <a:prstDash val="solid"/>
                                  <a:headEnd type="none" w="med" len="med"/>
                                  <a:tailEnd type="triangle" w="med" len="med"/>
                                </a:ln>
                              </wps:spPr>
                              <wps:bodyPr/>
                            </wps:wsp>
                            <wps:wsp>
                              <wps:cNvPr id="78" name="自选图形 8"/>
                              <wps:cNvCnPr/>
                              <wps:spPr>
                                <a:xfrm flipV="1">
                                  <a:off x="6098" y="829315"/>
                                  <a:ext cx="502" cy="362"/>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79" name="矩形 5"/>
                              <wps:cNvSpPr/>
                              <wps:spPr>
                                <a:xfrm>
                                  <a:off x="4838" y="827769"/>
                                  <a:ext cx="641" cy="328"/>
                                </a:xfrm>
                                <a:prstGeom prst="rect">
                                  <a:avLst/>
                                </a:prstGeom>
                                <a:solidFill>
                                  <a:srgbClr val="FFFFFF">
                                    <a:alpha val="0"/>
                                  </a:srgbClr>
                                </a:solidFill>
                                <a:ln>
                                  <a:noFill/>
                                </a:ln>
                              </wps:spPr>
                              <wps:txbx>
                                <w:txbxContent>
                                  <w:p w14:paraId="093628B7">
                                    <w:pPr>
                                      <w:pStyle w:val="27"/>
                                      <w:bidi w:val="0"/>
                                      <w:rPr>
                                        <w:rFonts w:hint="default" w:eastAsia="宋体"/>
                                        <w:lang w:val="en-US" w:eastAsia="zh-CN"/>
                                      </w:rPr>
                                    </w:pPr>
                                    <w:r>
                                      <w:rPr>
                                        <w:rFonts w:hint="eastAsia"/>
                                        <w:lang w:val="en-US" w:eastAsia="zh-CN"/>
                                      </w:rPr>
                                      <w:t>0.04</w:t>
                                    </w:r>
                                  </w:p>
                                </w:txbxContent>
                              </wps:txbx>
                              <wps:bodyPr wrap="square" lIns="0" tIns="0" rIns="0" bIns="0" upright="1"/>
                            </wps:wsp>
                            <wps:wsp>
                              <wps:cNvPr id="106" name="矩形 5"/>
                              <wps:cNvSpPr/>
                              <wps:spPr>
                                <a:xfrm>
                                  <a:off x="6656" y="827482"/>
                                  <a:ext cx="641" cy="328"/>
                                </a:xfrm>
                                <a:prstGeom prst="rect">
                                  <a:avLst/>
                                </a:prstGeom>
                                <a:solidFill>
                                  <a:srgbClr val="FFFFFF">
                                    <a:alpha val="0"/>
                                  </a:srgbClr>
                                </a:solidFill>
                                <a:ln>
                                  <a:noFill/>
                                </a:ln>
                              </wps:spPr>
                              <wps:txbx>
                                <w:txbxContent>
                                  <w:p w14:paraId="74D182AE">
                                    <w:pPr>
                                      <w:pStyle w:val="27"/>
                                      <w:bidi w:val="0"/>
                                      <w:rPr>
                                        <w:rFonts w:hint="default" w:eastAsia="宋体"/>
                                        <w:lang w:val="en-US" w:eastAsia="zh-CN"/>
                                      </w:rPr>
                                    </w:pPr>
                                    <w:r>
                                      <w:rPr>
                                        <w:rFonts w:hint="eastAsia"/>
                                        <w:lang w:val="en-US" w:eastAsia="zh-CN"/>
                                      </w:rPr>
                                      <w:t>0.03</w:t>
                                    </w:r>
                                  </w:p>
                                </w:txbxContent>
                              </wps:txbx>
                              <wps:bodyPr wrap="square" lIns="0" tIns="0" rIns="0" bIns="0" upright="1"/>
                            </wps:wsp>
                            <wps:wsp>
                              <wps:cNvPr id="107" name="自选图形 12"/>
                              <wps:cNvCnPr/>
                              <wps:spPr>
                                <a:xfrm flipV="1">
                                  <a:off x="6336" y="828406"/>
                                  <a:ext cx="1773" cy="8"/>
                                </a:xfrm>
                                <a:prstGeom prst="straightConnector1">
                                  <a:avLst/>
                                </a:prstGeom>
                                <a:ln w="9525" cap="flat" cmpd="sng" algn="ctr">
                                  <a:solidFill>
                                    <a:schemeClr val="accent1"/>
                                  </a:solidFill>
                                  <a:prstDash val="dash"/>
                                  <a:headEnd type="none" w="med" len="med"/>
                                  <a:tailEnd type="none" w="med" len="med"/>
                                </a:ln>
                              </wps:spPr>
                              <wps:style>
                                <a:lnRef idx="0">
                                  <a:schemeClr val="accent1"/>
                                </a:lnRef>
                                <a:fillRef idx="0">
                                  <a:srgbClr val="FFFFFF"/>
                                </a:fillRef>
                                <a:effectRef idx="0">
                                  <a:srgbClr val="FFFFFF"/>
                                </a:effectRef>
                                <a:fontRef idx="minor">
                                  <a:schemeClr val="tx1"/>
                                </a:fontRef>
                              </wps:style>
                              <wps:bodyPr/>
                            </wps:wsp>
                            <wps:wsp>
                              <wps:cNvPr id="108" name="自选图形 12"/>
                              <wps:cNvCnPr/>
                              <wps:spPr>
                                <a:xfrm>
                                  <a:off x="5992" y="827427"/>
                                  <a:ext cx="4429" cy="23"/>
                                </a:xfrm>
                                <a:prstGeom prst="straightConnector1">
                                  <a:avLst/>
                                </a:prstGeom>
                                <a:ln w="9525" cap="flat" cmpd="sng">
                                  <a:solidFill>
                                    <a:srgbClr val="000000"/>
                                  </a:solidFill>
                                  <a:prstDash val="solid"/>
                                  <a:headEnd type="none" w="med" len="med"/>
                                  <a:tailEnd type="triangle" w="med" len="med"/>
                                </a:ln>
                              </wps:spPr>
                              <wps:bodyPr/>
                            </wps:wsp>
                            <wps:wsp>
                              <wps:cNvPr id="109" name="自选图形 12"/>
                              <wps:cNvCnPr/>
                              <wps:spPr>
                                <a:xfrm>
                                  <a:off x="8093" y="828057"/>
                                  <a:ext cx="8" cy="345"/>
                                </a:xfrm>
                                <a:prstGeom prst="straightConnector1">
                                  <a:avLst/>
                                </a:prstGeom>
                                <a:ln w="9525" cap="flat" cmpd="sng" algn="ctr">
                                  <a:solidFill>
                                    <a:schemeClr val="accent1"/>
                                  </a:solidFill>
                                  <a:prstDash val="dash"/>
                                  <a:headEnd type="none" w="med" len="med"/>
                                  <a:tailEnd type="none" w="med" len="med"/>
                                </a:ln>
                              </wps:spPr>
                              <wps:style>
                                <a:lnRef idx="0">
                                  <a:schemeClr val="accent1"/>
                                </a:lnRef>
                                <a:fillRef idx="0">
                                  <a:srgbClr val="FFFFFF"/>
                                </a:fillRef>
                                <a:effectRef idx="0">
                                  <a:srgbClr val="FFFFFF"/>
                                </a:effectRef>
                                <a:fontRef idx="minor">
                                  <a:schemeClr val="tx1"/>
                                </a:fontRef>
                              </wps:style>
                              <wps:bodyPr/>
                            </wps:wsp>
                            <wps:wsp>
                              <wps:cNvPr id="110" name="自选图形 12"/>
                              <wps:cNvCnPr/>
                              <wps:spPr>
                                <a:xfrm flipH="1">
                                  <a:off x="6332" y="828205"/>
                                  <a:ext cx="4" cy="205"/>
                                </a:xfrm>
                                <a:prstGeom prst="straightConnector1">
                                  <a:avLst/>
                                </a:prstGeom>
                                <a:ln w="9525" cap="flat" cmpd="sng" algn="ctr">
                                  <a:solidFill>
                                    <a:schemeClr val="accent1"/>
                                  </a:solidFill>
                                  <a:prstDash val="dash"/>
                                  <a:headEnd type="triangle" w="med" len="med"/>
                                  <a:tailEnd type="none" w="med" len="med"/>
                                </a:ln>
                              </wps:spPr>
                              <wps:style>
                                <a:lnRef idx="0">
                                  <a:schemeClr val="accent1"/>
                                </a:lnRef>
                                <a:fillRef idx="0">
                                  <a:srgbClr val="FFFFFF"/>
                                </a:fillRef>
                                <a:effectRef idx="0">
                                  <a:srgbClr val="FFFFFF"/>
                                </a:effectRef>
                                <a:fontRef idx="minor">
                                  <a:schemeClr val="tx1"/>
                                </a:fontRef>
                              </wps:style>
                              <wps:bodyPr/>
                            </wps:wsp>
                            <wps:wsp>
                              <wps:cNvPr id="111" name="矩形 5"/>
                              <wps:cNvSpPr/>
                              <wps:spPr>
                                <a:xfrm>
                                  <a:off x="6993" y="828194"/>
                                  <a:ext cx="641" cy="328"/>
                                </a:xfrm>
                                <a:prstGeom prst="rect">
                                  <a:avLst/>
                                </a:prstGeom>
                                <a:solidFill>
                                  <a:srgbClr val="FFFFFF">
                                    <a:alpha val="0"/>
                                  </a:srgbClr>
                                </a:solidFill>
                                <a:ln>
                                  <a:noFill/>
                                </a:ln>
                              </wps:spPr>
                              <wps:txbx>
                                <w:txbxContent>
                                  <w:p w14:paraId="71143539">
                                    <w:pPr>
                                      <w:pStyle w:val="27"/>
                                      <w:bidi w:val="0"/>
                                      <w:rPr>
                                        <w:rFonts w:hint="default" w:eastAsia="宋体"/>
                                        <w:lang w:val="en-US" w:eastAsia="zh-CN"/>
                                      </w:rPr>
                                    </w:pPr>
                                    <w:r>
                                      <w:rPr>
                                        <w:rFonts w:hint="eastAsia"/>
                                        <w:lang w:val="en-US" w:eastAsia="zh-CN"/>
                                      </w:rPr>
                                      <w:t>0.4</w:t>
                                    </w:r>
                                  </w:p>
                                </w:txbxContent>
                              </wps:txbx>
                              <wps:bodyPr wrap="square" lIns="0" tIns="0" rIns="0" bIns="0" upright="1"/>
                            </wps:wsp>
                            <wps:wsp>
                              <wps:cNvPr id="112" name="自选图形 12"/>
                              <wps:cNvCnPr/>
                              <wps:spPr>
                                <a:xfrm>
                                  <a:off x="7012" y="828007"/>
                                  <a:ext cx="2371" cy="14"/>
                                </a:xfrm>
                                <a:prstGeom prst="straightConnector1">
                                  <a:avLst/>
                                </a:prstGeom>
                                <a:ln w="9525" cap="flat" cmpd="sng">
                                  <a:solidFill>
                                    <a:schemeClr val="tx1"/>
                                  </a:solidFill>
                                  <a:prstDash val="solid"/>
                                  <a:headEnd type="none" w="med" len="med"/>
                                  <a:tailEnd type="none" w="med" len="med"/>
                                </a:ln>
                              </wps:spPr>
                              <wps:bodyPr/>
                            </wps:wsp>
                            <wps:wsp>
                              <wps:cNvPr id="113" name="矩形 5"/>
                              <wps:cNvSpPr/>
                              <wps:spPr>
                                <a:xfrm>
                                  <a:off x="8318" y="827739"/>
                                  <a:ext cx="641" cy="328"/>
                                </a:xfrm>
                                <a:prstGeom prst="rect">
                                  <a:avLst/>
                                </a:prstGeom>
                                <a:solidFill>
                                  <a:srgbClr val="FFFFFF">
                                    <a:alpha val="0"/>
                                  </a:srgbClr>
                                </a:solidFill>
                                <a:ln>
                                  <a:noFill/>
                                </a:ln>
                              </wps:spPr>
                              <wps:txbx>
                                <w:txbxContent>
                                  <w:p w14:paraId="1B7D6798">
                                    <w:pPr>
                                      <w:pStyle w:val="27"/>
                                      <w:bidi w:val="0"/>
                                      <w:rPr>
                                        <w:rFonts w:hint="default" w:eastAsia="宋体"/>
                                        <w:lang w:val="en-US" w:eastAsia="zh-CN"/>
                                      </w:rPr>
                                    </w:pPr>
                                    <w:r>
                                      <w:rPr>
                                        <w:rFonts w:hint="eastAsia"/>
                                        <w:lang w:val="en-US" w:eastAsia="zh-CN"/>
                                      </w:rPr>
                                      <w:t>0.01</w:t>
                                    </w:r>
                                  </w:p>
                                </w:txbxContent>
                              </wps:txbx>
                              <wps:bodyPr wrap="square" lIns="0" tIns="0" rIns="0" bIns="0" upright="1"/>
                            </wps:wsp>
                            <wps:wsp>
                              <wps:cNvPr id="115" name="矩形 5"/>
                              <wps:cNvSpPr/>
                              <wps:spPr>
                                <a:xfrm>
                                  <a:off x="4778" y="829555"/>
                                  <a:ext cx="641" cy="328"/>
                                </a:xfrm>
                                <a:prstGeom prst="rect">
                                  <a:avLst/>
                                </a:prstGeom>
                                <a:solidFill>
                                  <a:srgbClr val="FFFFFF">
                                    <a:alpha val="0"/>
                                  </a:srgbClr>
                                </a:solidFill>
                                <a:ln>
                                  <a:noFill/>
                                </a:ln>
                              </wps:spPr>
                              <wps:txbx>
                                <w:txbxContent>
                                  <w:p w14:paraId="41F85BB9">
                                    <w:pPr>
                                      <w:pStyle w:val="27"/>
                                      <w:bidi w:val="0"/>
                                      <w:rPr>
                                        <w:rFonts w:hint="default" w:eastAsia="宋体"/>
                                        <w:lang w:val="en-US" w:eastAsia="zh-CN"/>
                                      </w:rPr>
                                    </w:pPr>
                                    <w:r>
                                      <w:rPr>
                                        <w:rFonts w:hint="eastAsia"/>
                                        <w:lang w:val="en-US" w:eastAsia="zh-CN"/>
                                      </w:rPr>
                                      <w:t>0.466</w:t>
                                    </w:r>
                                  </w:p>
                                </w:txbxContent>
                              </wps:txbx>
                              <wps:bodyPr wrap="square" lIns="0" tIns="0" rIns="0" bIns="0" upright="1"/>
                            </wps:wsp>
                            <wps:wsp>
                              <wps:cNvPr id="127" name="矩形 5"/>
                              <wps:cNvSpPr/>
                              <wps:spPr>
                                <a:xfrm>
                                  <a:off x="8236" y="826748"/>
                                  <a:ext cx="641" cy="328"/>
                                </a:xfrm>
                                <a:prstGeom prst="rect">
                                  <a:avLst/>
                                </a:prstGeom>
                                <a:solidFill>
                                  <a:srgbClr val="FFFFFF">
                                    <a:alpha val="0"/>
                                  </a:srgbClr>
                                </a:solidFill>
                                <a:ln>
                                  <a:noFill/>
                                </a:ln>
                              </wps:spPr>
                              <wps:txbx>
                                <w:txbxContent>
                                  <w:p w14:paraId="128F3252">
                                    <w:pPr>
                                      <w:pStyle w:val="27"/>
                                      <w:bidi w:val="0"/>
                                      <w:rPr>
                                        <w:rFonts w:hint="default" w:eastAsia="宋体"/>
                                        <w:lang w:val="en-US" w:eastAsia="zh-CN"/>
                                      </w:rPr>
                                    </w:pPr>
                                    <w:r>
                                      <w:rPr>
                                        <w:rFonts w:hint="eastAsia"/>
                                        <w:lang w:val="en-US" w:eastAsia="zh-CN"/>
                                      </w:rPr>
                                      <w:t>0.02</w:t>
                                    </w:r>
                                  </w:p>
                                </w:txbxContent>
                              </wps:txbx>
                              <wps:bodyPr wrap="square" lIns="0" tIns="0" rIns="0" bIns="0" upright="1"/>
                            </wps:wsp>
                            <wps:wsp>
                              <wps:cNvPr id="116" name="矩形 5"/>
                              <wps:cNvSpPr/>
                              <wps:spPr>
                                <a:xfrm>
                                  <a:off x="7112" y="829578"/>
                                  <a:ext cx="641" cy="328"/>
                                </a:xfrm>
                                <a:prstGeom prst="rect">
                                  <a:avLst/>
                                </a:prstGeom>
                                <a:solidFill>
                                  <a:srgbClr val="FFFFFF">
                                    <a:alpha val="0"/>
                                  </a:srgbClr>
                                </a:solidFill>
                                <a:ln>
                                  <a:noFill/>
                                </a:ln>
                              </wps:spPr>
                              <wps:txbx>
                                <w:txbxContent>
                                  <w:p w14:paraId="3EABC931">
                                    <w:pPr>
                                      <w:pStyle w:val="27"/>
                                      <w:bidi w:val="0"/>
                                      <w:rPr>
                                        <w:rFonts w:hint="default" w:eastAsia="宋体"/>
                                        <w:lang w:val="en-US" w:eastAsia="zh-CN"/>
                                      </w:rPr>
                                    </w:pPr>
                                    <w:r>
                                      <w:rPr>
                                        <w:rFonts w:hint="eastAsia"/>
                                        <w:lang w:val="en-US" w:eastAsia="zh-CN"/>
                                      </w:rPr>
                                      <w:t>0.373</w:t>
                                    </w:r>
                                  </w:p>
                                </w:txbxContent>
                              </wps:txbx>
                              <wps:bodyPr wrap="square" lIns="0" tIns="0" rIns="0" bIns="0" upright="1"/>
                            </wps:wsp>
                            <wps:wsp>
                              <wps:cNvPr id="117" name="矩形 5"/>
                              <wps:cNvSpPr/>
                              <wps:spPr>
                                <a:xfrm>
                                  <a:off x="6611" y="829179"/>
                                  <a:ext cx="641" cy="328"/>
                                </a:xfrm>
                                <a:prstGeom prst="rect">
                                  <a:avLst/>
                                </a:prstGeom>
                                <a:solidFill>
                                  <a:srgbClr val="FFFFFF">
                                    <a:alpha val="0"/>
                                  </a:srgbClr>
                                </a:solidFill>
                                <a:ln>
                                  <a:noFill/>
                                </a:ln>
                              </wps:spPr>
                              <wps:txbx>
                                <w:txbxContent>
                                  <w:p w14:paraId="04A4CA47">
                                    <w:pPr>
                                      <w:pStyle w:val="27"/>
                                      <w:bidi w:val="0"/>
                                      <w:rPr>
                                        <w:rFonts w:hint="default" w:eastAsia="宋体"/>
                                        <w:lang w:val="en-US" w:eastAsia="zh-CN"/>
                                      </w:rPr>
                                    </w:pPr>
                                    <w:r>
                                      <w:rPr>
                                        <w:rFonts w:hint="eastAsia"/>
                                        <w:lang w:val="en-US" w:eastAsia="zh-CN"/>
                                      </w:rPr>
                                      <w:t>0.093</w:t>
                                    </w:r>
                                  </w:p>
                                </w:txbxContent>
                              </wps:txbx>
                              <wps:bodyPr wrap="square" lIns="0" tIns="0" rIns="0" bIns="0" upright="1"/>
                            </wps:wsp>
                            <wps:wsp>
                              <wps:cNvPr id="120" name="矩形 5"/>
                              <wps:cNvSpPr/>
                              <wps:spPr>
                                <a:xfrm>
                                  <a:off x="7272" y="828681"/>
                                  <a:ext cx="641" cy="328"/>
                                </a:xfrm>
                                <a:prstGeom prst="rect">
                                  <a:avLst/>
                                </a:prstGeom>
                                <a:solidFill>
                                  <a:srgbClr val="FFFFFF">
                                    <a:alpha val="0"/>
                                  </a:srgbClr>
                                </a:solidFill>
                                <a:ln>
                                  <a:noFill/>
                                </a:ln>
                              </wps:spPr>
                              <wps:txbx>
                                <w:txbxContent>
                                  <w:p w14:paraId="608F8806">
                                    <w:pPr>
                                      <w:pStyle w:val="27"/>
                                      <w:bidi w:val="0"/>
                                      <w:rPr>
                                        <w:rFonts w:hint="default" w:eastAsia="宋体"/>
                                        <w:lang w:val="en-US" w:eastAsia="zh-CN"/>
                                      </w:rPr>
                                    </w:pPr>
                                    <w:r>
                                      <w:rPr>
                                        <w:rFonts w:hint="eastAsia"/>
                                        <w:lang w:val="en-US" w:eastAsia="zh-CN"/>
                                      </w:rPr>
                                      <w:t>0.4</w:t>
                                    </w:r>
                                  </w:p>
                                </w:txbxContent>
                              </wps:txbx>
                              <wps:bodyPr wrap="square" lIns="0" tIns="0" rIns="0" bIns="0" upright="1"/>
                            </wps:wsp>
                            <wps:wsp>
                              <wps:cNvPr id="122" name="矩形 5"/>
                              <wps:cNvSpPr/>
                              <wps:spPr>
                                <a:xfrm>
                                  <a:off x="6497" y="826780"/>
                                  <a:ext cx="641" cy="328"/>
                                </a:xfrm>
                                <a:prstGeom prst="rect">
                                  <a:avLst/>
                                </a:prstGeom>
                                <a:solidFill>
                                  <a:srgbClr val="FFFFFF">
                                    <a:alpha val="0"/>
                                  </a:srgbClr>
                                </a:solidFill>
                                <a:ln>
                                  <a:noFill/>
                                </a:ln>
                              </wps:spPr>
                              <wps:txbx>
                                <w:txbxContent>
                                  <w:p w14:paraId="21845BA3">
                                    <w:pPr>
                                      <w:pStyle w:val="27"/>
                                      <w:bidi w:val="0"/>
                                      <w:rPr>
                                        <w:rFonts w:hint="default" w:eastAsia="宋体"/>
                                        <w:lang w:val="en-US" w:eastAsia="zh-CN"/>
                                      </w:rPr>
                                    </w:pPr>
                                    <w:r>
                                      <w:rPr>
                                        <w:rFonts w:hint="eastAsia"/>
                                        <w:lang w:val="en-US" w:eastAsia="zh-CN"/>
                                      </w:rPr>
                                      <w:t>0.02</w:t>
                                    </w:r>
                                  </w:p>
                                </w:txbxContent>
                              </wps:txbx>
                              <wps:bodyPr wrap="square" lIns="0" tIns="0" rIns="0" bIns="0" upright="1"/>
                            </wps:wsp>
                            <wps:wsp>
                              <wps:cNvPr id="125" name="矩形 5"/>
                              <wps:cNvSpPr/>
                              <wps:spPr>
                                <a:xfrm>
                                  <a:off x="7420" y="825424"/>
                                  <a:ext cx="641" cy="328"/>
                                </a:xfrm>
                                <a:prstGeom prst="rect">
                                  <a:avLst/>
                                </a:prstGeom>
                                <a:solidFill>
                                  <a:srgbClr val="FFFFFF">
                                    <a:alpha val="0"/>
                                  </a:srgbClr>
                                </a:solidFill>
                                <a:ln>
                                  <a:noFill/>
                                </a:ln>
                              </wps:spPr>
                              <wps:txbx>
                                <w:txbxContent>
                                  <w:p w14:paraId="2AFA3CE0">
                                    <w:pPr>
                                      <w:pStyle w:val="27"/>
                                      <w:bidi w:val="0"/>
                                      <w:rPr>
                                        <w:rFonts w:hint="default" w:eastAsia="宋体"/>
                                        <w:lang w:val="en-US" w:eastAsia="zh-CN"/>
                                      </w:rPr>
                                    </w:pPr>
                                    <w:r>
                                      <w:rPr>
                                        <w:rFonts w:hint="eastAsia"/>
                                        <w:lang w:val="en-US" w:eastAsia="zh-CN"/>
                                      </w:rPr>
                                      <w:t>0.079</w:t>
                                    </w:r>
                                  </w:p>
                                </w:txbxContent>
                              </wps:txbx>
                              <wps:bodyPr wrap="square" lIns="0" tIns="0" rIns="0" bIns="0" upright="1"/>
                            </wps:wsp>
                            <wps:wsp>
                              <wps:cNvPr id="118" name="矩形 5"/>
                              <wps:cNvSpPr/>
                              <wps:spPr>
                                <a:xfrm>
                                  <a:off x="7600" y="827216"/>
                                  <a:ext cx="641" cy="328"/>
                                </a:xfrm>
                                <a:prstGeom prst="rect">
                                  <a:avLst/>
                                </a:prstGeom>
                                <a:solidFill>
                                  <a:srgbClr val="FFFFFF">
                                    <a:alpha val="0"/>
                                  </a:srgbClr>
                                </a:solidFill>
                                <a:ln>
                                  <a:noFill/>
                                </a:ln>
                              </wps:spPr>
                              <wps:txbx>
                                <w:txbxContent>
                                  <w:p w14:paraId="34AB1856">
                                    <w:pPr>
                                      <w:pStyle w:val="27"/>
                                      <w:bidi w:val="0"/>
                                      <w:rPr>
                                        <w:rFonts w:hint="default" w:eastAsia="宋体"/>
                                        <w:lang w:val="en-US" w:eastAsia="zh-CN"/>
                                      </w:rPr>
                                    </w:pPr>
                                    <w:r>
                                      <w:rPr>
                                        <w:rFonts w:hint="eastAsia"/>
                                        <w:lang w:val="en-US" w:eastAsia="zh-CN"/>
                                      </w:rPr>
                                      <w:t>0.008</w:t>
                                    </w:r>
                                  </w:p>
                                </w:txbxContent>
                              </wps:txbx>
                              <wps:bodyPr wrap="square" lIns="0" tIns="0" rIns="0" bIns="0" upright="1"/>
                            </wps:wsp>
                            <wps:wsp>
                              <wps:cNvPr id="130" name="自选图形 12"/>
                              <wps:cNvCnPr/>
                              <wps:spPr>
                                <a:xfrm flipH="1" flipV="1">
                                  <a:off x="9573" y="825143"/>
                                  <a:ext cx="4" cy="912"/>
                                </a:xfrm>
                                <a:prstGeom prst="straightConnector1">
                                  <a:avLst/>
                                </a:prstGeom>
                                <a:ln w="9525" cap="flat" cmpd="sng">
                                  <a:solidFill>
                                    <a:srgbClr val="000000"/>
                                  </a:solidFill>
                                  <a:prstDash val="solid"/>
                                  <a:headEnd type="none" w="med" len="med"/>
                                  <a:tailEnd type="triangle" w="med" len="med"/>
                                </a:ln>
                              </wps:spPr>
                              <wps:bodyPr/>
                            </wps:wsp>
                            <wps:wsp>
                              <wps:cNvPr id="119" name="矩形 5"/>
                              <wps:cNvSpPr/>
                              <wps:spPr>
                                <a:xfrm>
                                  <a:off x="4871" y="828657"/>
                                  <a:ext cx="641" cy="328"/>
                                </a:xfrm>
                                <a:prstGeom prst="rect">
                                  <a:avLst/>
                                </a:prstGeom>
                                <a:solidFill>
                                  <a:srgbClr val="FFFFFF">
                                    <a:alpha val="0"/>
                                  </a:srgbClr>
                                </a:solidFill>
                                <a:ln>
                                  <a:noFill/>
                                </a:ln>
                              </wps:spPr>
                              <wps:txbx>
                                <w:txbxContent>
                                  <w:p w14:paraId="0A94C4B2">
                                    <w:pPr>
                                      <w:pStyle w:val="27"/>
                                      <w:bidi w:val="0"/>
                                      <w:rPr>
                                        <w:rFonts w:hint="default" w:eastAsia="宋体"/>
                                        <w:lang w:val="en-US" w:eastAsia="zh-CN"/>
                                      </w:rPr>
                                    </w:pPr>
                                    <w:r>
                                      <w:rPr>
                                        <w:rFonts w:hint="eastAsia"/>
                                        <w:lang w:val="en-US" w:eastAsia="zh-CN"/>
                                      </w:rPr>
                                      <w:t>0.4</w:t>
                                    </w:r>
                                  </w:p>
                                </w:txbxContent>
                              </wps:txbx>
                              <wps:bodyPr wrap="square" lIns="0" tIns="0" rIns="0" bIns="0" upright="1"/>
                            </wps:wsp>
                            <wps:wsp>
                              <wps:cNvPr id="121" name="矩形 5"/>
                              <wps:cNvSpPr/>
                              <wps:spPr>
                                <a:xfrm>
                                  <a:off x="4742" y="826811"/>
                                  <a:ext cx="641" cy="328"/>
                                </a:xfrm>
                                <a:prstGeom prst="rect">
                                  <a:avLst/>
                                </a:prstGeom>
                                <a:solidFill>
                                  <a:srgbClr val="FFFFFF">
                                    <a:alpha val="0"/>
                                  </a:srgbClr>
                                </a:solidFill>
                                <a:ln>
                                  <a:noFill/>
                                </a:ln>
                              </wps:spPr>
                              <wps:txbx>
                                <w:txbxContent>
                                  <w:p w14:paraId="2807869B">
                                    <w:pPr>
                                      <w:pStyle w:val="27"/>
                                      <w:bidi w:val="0"/>
                                      <w:rPr>
                                        <w:rFonts w:hint="default" w:eastAsia="宋体"/>
                                        <w:lang w:val="en-US" w:eastAsia="zh-CN"/>
                                      </w:rPr>
                                    </w:pPr>
                                    <w:r>
                                      <w:rPr>
                                        <w:rFonts w:hint="eastAsia"/>
                                        <w:lang w:val="en-US" w:eastAsia="zh-CN"/>
                                      </w:rPr>
                                      <w:t>0.028</w:t>
                                    </w:r>
                                  </w:p>
                                </w:txbxContent>
                              </wps:txbx>
                              <wps:bodyPr wrap="square" lIns="0" tIns="0" rIns="0" bIns="0" upright="1"/>
                            </wps:wsp>
                            <wps:wsp>
                              <wps:cNvPr id="123" name="矩形 9"/>
                              <wps:cNvSpPr/>
                              <wps:spPr>
                                <a:xfrm>
                                  <a:off x="9687" y="825735"/>
                                  <a:ext cx="311" cy="16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E854D">
                                    <w:pPr>
                                      <w:pStyle w:val="27"/>
                                      <w:bidi w:val="0"/>
                                      <w:rPr>
                                        <w:rFonts w:hint="default" w:eastAsia="宋体"/>
                                        <w:lang w:val="en-US" w:eastAsia="zh-CN"/>
                                      </w:rPr>
                                    </w:pPr>
                                    <w:r>
                                      <w:rPr>
                                        <w:rFonts w:hint="eastAsia"/>
                                        <w:lang w:val="en-US" w:eastAsia="zh-CN"/>
                                      </w:rPr>
                                      <w:t>污水处理设施</w:t>
                                    </w:r>
                                  </w:p>
                                </w:txbxContent>
                              </wps:txbx>
                              <wps:bodyPr wrap="square" lIns="0" tIns="0" rIns="0" bIns="0" upright="1"/>
                            </wps:wsp>
                            <wps:wsp>
                              <wps:cNvPr id="124" name="矩形 5"/>
                              <wps:cNvSpPr/>
                              <wps:spPr>
                                <a:xfrm>
                                  <a:off x="4607" y="825408"/>
                                  <a:ext cx="641" cy="328"/>
                                </a:xfrm>
                                <a:prstGeom prst="rect">
                                  <a:avLst/>
                                </a:prstGeom>
                                <a:solidFill>
                                  <a:srgbClr val="FFFFFF">
                                    <a:alpha val="0"/>
                                  </a:srgbClr>
                                </a:solidFill>
                                <a:ln>
                                  <a:noFill/>
                                </a:ln>
                              </wps:spPr>
                              <wps:txbx>
                                <w:txbxContent>
                                  <w:p w14:paraId="1DB96046">
                                    <w:pPr>
                                      <w:pStyle w:val="27"/>
                                      <w:bidi w:val="0"/>
                                      <w:rPr>
                                        <w:rFonts w:hint="default" w:eastAsia="宋体"/>
                                        <w:lang w:val="en-US" w:eastAsia="zh-CN"/>
                                      </w:rPr>
                                    </w:pPr>
                                    <w:r>
                                      <w:rPr>
                                        <w:rFonts w:hint="eastAsia"/>
                                        <w:lang w:val="en-US" w:eastAsia="zh-CN"/>
                                      </w:rPr>
                                      <w:t>0.079</w:t>
                                    </w:r>
                                  </w:p>
                                </w:txbxContent>
                              </wps:txbx>
                              <wps:bodyPr wrap="square" lIns="0" tIns="0" rIns="0" bIns="0" upright="1"/>
                            </wps:wsp>
                            <wps:wsp>
                              <wps:cNvPr id="126" name="矩形 5"/>
                              <wps:cNvSpPr/>
                              <wps:spPr>
                                <a:xfrm>
                                  <a:off x="7331" y="826116"/>
                                  <a:ext cx="641" cy="328"/>
                                </a:xfrm>
                                <a:prstGeom prst="rect">
                                  <a:avLst/>
                                </a:prstGeom>
                                <a:solidFill>
                                  <a:srgbClr val="FFFFFF">
                                    <a:alpha val="0"/>
                                  </a:srgbClr>
                                </a:solidFill>
                                <a:ln>
                                  <a:noFill/>
                                </a:ln>
                              </wps:spPr>
                              <wps:txbx>
                                <w:txbxContent>
                                  <w:p w14:paraId="6A0C2582">
                                    <w:pPr>
                                      <w:pStyle w:val="27"/>
                                      <w:bidi w:val="0"/>
                                      <w:rPr>
                                        <w:rFonts w:hint="default" w:eastAsia="宋体"/>
                                        <w:lang w:val="en-US" w:eastAsia="zh-CN"/>
                                      </w:rPr>
                                    </w:pPr>
                                    <w:r>
                                      <w:rPr>
                                        <w:rFonts w:hint="eastAsia"/>
                                        <w:lang w:val="en-US" w:eastAsia="zh-CN"/>
                                      </w:rPr>
                                      <w:t>0.09</w:t>
                                    </w:r>
                                  </w:p>
                                </w:txbxContent>
                              </wps:txbx>
                              <wps:bodyPr wrap="square" lIns="0" tIns="0" rIns="0" bIns="0" upright="1"/>
                            </wps:wsp>
                            <wps:wsp>
                              <wps:cNvPr id="128" name="直接连接符 128"/>
                              <wps:cNvCnPr/>
                              <wps:spPr>
                                <a:xfrm>
                                  <a:off x="8916" y="825647"/>
                                  <a:ext cx="6" cy="13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9" name="自选图形 12"/>
                              <wps:cNvCnPr/>
                              <wps:spPr>
                                <a:xfrm flipV="1">
                                  <a:off x="8913" y="826618"/>
                                  <a:ext cx="774" cy="4"/>
                                </a:xfrm>
                                <a:prstGeom prst="straightConnector1">
                                  <a:avLst/>
                                </a:prstGeom>
                                <a:ln w="9525" cap="flat" cmpd="sng">
                                  <a:solidFill>
                                    <a:srgbClr val="000000"/>
                                  </a:solidFill>
                                  <a:prstDash val="solid"/>
                                  <a:headEnd type="none" w="med" len="med"/>
                                  <a:tailEnd type="triangle" w="med" len="med"/>
                                </a:ln>
                              </wps:spPr>
                              <wps:bodyPr/>
                            </wps:wsp>
                            <wps:wsp>
                              <wps:cNvPr id="132" name="自选图形 12"/>
                              <wps:cNvCnPr/>
                              <wps:spPr>
                                <a:xfrm flipV="1">
                                  <a:off x="9999" y="826617"/>
                                  <a:ext cx="462" cy="2"/>
                                </a:xfrm>
                                <a:prstGeom prst="straightConnector1">
                                  <a:avLst/>
                                </a:prstGeom>
                                <a:ln w="9525" cap="flat" cmpd="sng">
                                  <a:solidFill>
                                    <a:srgbClr val="000000"/>
                                  </a:solidFill>
                                  <a:prstDash val="solid"/>
                                  <a:headEnd type="none" w="med" len="med"/>
                                  <a:tailEnd type="triangle" w="med" len="med"/>
                                </a:ln>
                              </wps:spPr>
                              <wps:bodyPr/>
                            </wps:wsp>
                            <wps:wsp>
                              <wps:cNvPr id="131" name="矩形 5"/>
                              <wps:cNvSpPr/>
                              <wps:spPr>
                                <a:xfrm>
                                  <a:off x="8998" y="826403"/>
                                  <a:ext cx="641" cy="217"/>
                                </a:xfrm>
                                <a:prstGeom prst="rect">
                                  <a:avLst/>
                                </a:prstGeom>
                                <a:solidFill>
                                  <a:srgbClr val="FFFFFF">
                                    <a:alpha val="0"/>
                                  </a:srgbClr>
                                </a:solidFill>
                                <a:ln>
                                  <a:noFill/>
                                </a:ln>
                              </wps:spPr>
                              <wps:txbx>
                                <w:txbxContent>
                                  <w:p w14:paraId="3DA3BC78">
                                    <w:pPr>
                                      <w:pStyle w:val="27"/>
                                      <w:bidi w:val="0"/>
                                      <w:rPr>
                                        <w:rFonts w:hint="default" w:eastAsia="宋体"/>
                                        <w:lang w:val="en-US" w:eastAsia="zh-CN"/>
                                      </w:rPr>
                                    </w:pPr>
                                    <w:r>
                                      <w:rPr>
                                        <w:rFonts w:hint="eastAsia"/>
                                        <w:lang w:val="en-US" w:eastAsia="zh-CN"/>
                                      </w:rPr>
                                      <w:t>0.187</w:t>
                                    </w:r>
                                  </w:p>
                                </w:txbxContent>
                              </wps:txbx>
                              <wps:bodyPr wrap="square" lIns="0" tIns="0" rIns="0" bIns="0" upright="1"/>
                            </wps:wsp>
                            <wps:wsp>
                              <wps:cNvPr id="133" name="直接连接符 133"/>
                              <wps:cNvCnPr/>
                              <wps:spPr>
                                <a:xfrm>
                                  <a:off x="8921" y="826042"/>
                                  <a:ext cx="663" cy="4"/>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34" name="矩形 5"/>
                              <wps:cNvSpPr/>
                              <wps:spPr>
                                <a:xfrm>
                                  <a:off x="8941" y="825850"/>
                                  <a:ext cx="641" cy="217"/>
                                </a:xfrm>
                                <a:prstGeom prst="rect">
                                  <a:avLst/>
                                </a:prstGeom>
                                <a:solidFill>
                                  <a:srgbClr val="FFFFFF">
                                    <a:alpha val="0"/>
                                  </a:srgbClr>
                                </a:solidFill>
                                <a:ln>
                                  <a:noFill/>
                                </a:ln>
                              </wps:spPr>
                              <wps:txbx>
                                <w:txbxContent>
                                  <w:p w14:paraId="60BAC2E5">
                                    <w:pPr>
                                      <w:pStyle w:val="27"/>
                                      <w:bidi w:val="0"/>
                                      <w:rPr>
                                        <w:rFonts w:hint="default" w:eastAsia="宋体"/>
                                        <w:lang w:val="en-US" w:eastAsia="zh-CN"/>
                                      </w:rPr>
                                    </w:pPr>
                                    <w:r>
                                      <w:rPr>
                                        <w:rFonts w:hint="eastAsia"/>
                                        <w:lang w:val="en-US" w:eastAsia="zh-CN"/>
                                      </w:rPr>
                                      <w:t>0.002</w:t>
                                    </w:r>
                                  </w:p>
                                </w:txbxContent>
                              </wps:txbx>
                              <wps:bodyPr wrap="square" lIns="0" tIns="0" rIns="0" bIns="0" upright="1"/>
                            </wps:wsp>
                            <wps:wsp>
                              <wps:cNvPr id="135" name="矩形 5"/>
                              <wps:cNvSpPr/>
                              <wps:spPr>
                                <a:xfrm>
                                  <a:off x="10399" y="827978"/>
                                  <a:ext cx="641" cy="217"/>
                                </a:xfrm>
                                <a:prstGeom prst="rect">
                                  <a:avLst/>
                                </a:prstGeom>
                                <a:solidFill>
                                  <a:srgbClr val="FFFFFF">
                                    <a:alpha val="0"/>
                                  </a:srgbClr>
                                </a:solidFill>
                                <a:ln>
                                  <a:noFill/>
                                </a:ln>
                              </wps:spPr>
                              <wps:txbx>
                                <w:txbxContent>
                                  <w:p w14:paraId="25F42E2C">
                                    <w:pPr>
                                      <w:pStyle w:val="27"/>
                                      <w:bidi w:val="0"/>
                                      <w:rPr>
                                        <w:rFonts w:hint="default" w:eastAsia="宋体"/>
                                        <w:lang w:val="en-US" w:eastAsia="zh-CN"/>
                                      </w:rPr>
                                    </w:pPr>
                                    <w:r>
                                      <w:rPr>
                                        <w:rFonts w:hint="eastAsia"/>
                                        <w:lang w:val="en-US" w:eastAsia="zh-CN"/>
                                      </w:rPr>
                                      <w:t>5.29</w:t>
                                    </w:r>
                                  </w:p>
                                </w:txbxContent>
                              </wps:txbx>
                              <wps:bodyPr wrap="square" lIns="0" tIns="0" rIns="0" bIns="0" upright="1"/>
                            </wps:wsp>
                            <wps:wsp>
                              <wps:cNvPr id="394" name="自选图形 12"/>
                              <wps:cNvCnPr/>
                              <wps:spPr>
                                <a:xfrm>
                                  <a:off x="9378" y="827146"/>
                                  <a:ext cx="0" cy="861"/>
                                </a:xfrm>
                                <a:prstGeom prst="straightConnector1">
                                  <a:avLst/>
                                </a:prstGeom>
                                <a:ln w="9525" cap="flat" cmpd="sng">
                                  <a:solidFill>
                                    <a:schemeClr val="tx1"/>
                                  </a:solidFill>
                                  <a:prstDash val="solid"/>
                                  <a:headEnd type="none" w="med" len="med"/>
                                  <a:tailEnd type="none" w="med" len="med"/>
                                </a:ln>
                              </wps:spPr>
                              <wps:bodyPr/>
                            </wps:wsp>
                            <wps:wsp>
                              <wps:cNvPr id="395" name="自选图形 12"/>
                              <wps:cNvCnPr/>
                              <wps:spPr>
                                <a:xfrm>
                                  <a:off x="9389" y="827159"/>
                                  <a:ext cx="288" cy="0"/>
                                </a:xfrm>
                                <a:prstGeom prst="straightConnector1">
                                  <a:avLst/>
                                </a:prstGeom>
                                <a:ln w="9525" cap="flat" cmpd="sng">
                                  <a:solidFill>
                                    <a:srgbClr val="000000"/>
                                  </a:solidFill>
                                  <a:prstDash val="solid"/>
                                  <a:headEnd type="none" w="med" len="med"/>
                                  <a:tailEnd type="triangle" w="med" len="med"/>
                                </a:ln>
                              </wps:spPr>
                              <wps:bodyPr/>
                            </wps:wsp>
                            <wps:wsp>
                              <wps:cNvPr id="13" name="自选图形 12"/>
                              <wps:cNvCnPr/>
                              <wps:spPr>
                                <a:xfrm flipV="1">
                                  <a:off x="4602" y="830682"/>
                                  <a:ext cx="787" cy="2"/>
                                </a:xfrm>
                                <a:prstGeom prst="straightConnector1">
                                  <a:avLst/>
                                </a:prstGeom>
                                <a:ln w="9525" cap="flat" cmpd="sng">
                                  <a:solidFill>
                                    <a:srgbClr val="000000"/>
                                  </a:solidFill>
                                  <a:prstDash val="solid"/>
                                  <a:headEnd type="none" w="med" len="med"/>
                                  <a:tailEnd type="triangle" w="med" len="med"/>
                                </a:ln>
                              </wps:spPr>
                              <wps:bodyPr/>
                            </wps:wsp>
                            <wps:wsp>
                              <wps:cNvPr id="18" name="矩形 9"/>
                              <wps:cNvSpPr/>
                              <wps:spPr>
                                <a:xfrm>
                                  <a:off x="5389" y="830530"/>
                                  <a:ext cx="1331" cy="3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04D9A">
                                    <w:pPr>
                                      <w:pStyle w:val="27"/>
                                      <w:keepNext w:val="0"/>
                                      <w:keepLines w:val="0"/>
                                      <w:pageBreakBefore w:val="0"/>
                                      <w:widowControl w:val="0"/>
                                      <w:kinsoku/>
                                      <w:wordWrap/>
                                      <w:overflowPunct/>
                                      <w:topLinePunct w:val="0"/>
                                      <w:bidi w:val="0"/>
                                      <w:adjustRightInd w:val="0"/>
                                      <w:snapToGrid w:val="0"/>
                                      <w:spacing w:line="240" w:lineRule="atLeast"/>
                                      <w:textAlignment w:val="auto"/>
                                    </w:pPr>
                                    <w:r>
                                      <w:rPr>
                                        <w:rFonts w:hint="eastAsia"/>
                                      </w:rPr>
                                      <w:t>员工生活</w:t>
                                    </w:r>
                                  </w:p>
                                </w:txbxContent>
                              </wps:txbx>
                              <wps:bodyPr wrap="square" lIns="0" tIns="0" rIns="0" bIns="0" upright="1"/>
                            </wps:wsp>
                            <wps:wsp>
                              <wps:cNvPr id="32" name="自选图形 8"/>
                              <wps:cNvCnPr/>
                              <wps:spPr>
                                <a:xfrm flipV="1">
                                  <a:off x="5891" y="830087"/>
                                  <a:ext cx="530" cy="418"/>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9" name="自选图形 12"/>
                              <wps:cNvCnPr/>
                              <wps:spPr>
                                <a:xfrm flipV="1">
                                  <a:off x="6717" y="830679"/>
                                  <a:ext cx="1585" cy="7"/>
                                </a:xfrm>
                                <a:prstGeom prst="straightConnector1">
                                  <a:avLst/>
                                </a:prstGeom>
                                <a:ln w="9525" cap="flat" cmpd="sng">
                                  <a:solidFill>
                                    <a:srgbClr val="000000"/>
                                  </a:solidFill>
                                  <a:prstDash val="solid"/>
                                  <a:headEnd type="none" w="med" len="med"/>
                                  <a:tailEnd type="none" w="med" len="med"/>
                                </a:ln>
                              </wps:spPr>
                              <wps:bodyPr/>
                            </wps:wsp>
                            <wps:wsp>
                              <wps:cNvPr id="40" name="自选图形 12"/>
                              <wps:cNvCnPr>
                                <a:endCxn id="11" idx="2"/>
                              </wps:cNvCnPr>
                              <wps:spPr>
                                <a:xfrm flipH="1" flipV="1">
                                  <a:off x="8302" y="829972"/>
                                  <a:ext cx="4" cy="704"/>
                                </a:xfrm>
                                <a:prstGeom prst="straightConnector1">
                                  <a:avLst/>
                                </a:prstGeom>
                                <a:ln w="9525" cap="flat" cmpd="sng">
                                  <a:solidFill>
                                    <a:srgbClr val="000000"/>
                                  </a:solidFill>
                                  <a:prstDash val="solid"/>
                                  <a:headEnd type="none" w="med" len="med"/>
                                  <a:tailEnd type="triangle" w="med" len="med"/>
                                </a:ln>
                              </wps:spPr>
                              <wps:bodyPr/>
                            </wps:wsp>
                            <wps:wsp>
                              <wps:cNvPr id="42" name="自选图形 12"/>
                              <wps:cNvCnPr/>
                              <wps:spPr>
                                <a:xfrm>
                                  <a:off x="8669" y="829822"/>
                                  <a:ext cx="1752" cy="13"/>
                                </a:xfrm>
                                <a:prstGeom prst="straightConnector1">
                                  <a:avLst/>
                                </a:prstGeom>
                                <a:ln w="9525" cap="flat" cmpd="sng">
                                  <a:solidFill>
                                    <a:srgbClr val="000000"/>
                                  </a:solidFill>
                                  <a:prstDash val="solid"/>
                                  <a:headEnd type="none" w="med" len="med"/>
                                  <a:tailEnd type="triangle" w="med" len="med"/>
                                </a:ln>
                              </wps:spPr>
                              <wps:bodyPr/>
                            </wps:wsp>
                            <wps:wsp>
                              <wps:cNvPr id="5" name="自选图形 12"/>
                              <wps:cNvCnPr/>
                              <wps:spPr>
                                <a:xfrm flipV="1">
                                  <a:off x="10437" y="828245"/>
                                  <a:ext cx="734" cy="9"/>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0.85pt;margin-top:17.5pt;height:301.8pt;width:416.2pt;z-index:251671552;mso-width-relative:page;mso-height-relative:page;" coordorigin="3217,824797" coordsize="8324,6036" o:gfxdata="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">
                      <o:lock v:ext="edit" aspectratio="f"/>
                      <v:rect id="矩形 11" o:spid="_x0000_s1026" o:spt="1" style="position:absolute;left:6336;top:830013;height:328;width:766;" fillcolor="#FFFFFF" filled="t" stroked="f" coordsize="21600,21600" o:gfxdata="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cZ/+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67B41C50">
                              <w:pPr>
                                <w:pStyle w:val="27"/>
                                <w:bidi w:val="0"/>
                                <w:rPr>
                                  <w:rFonts w:hint="default" w:eastAsia="宋体"/>
                                  <w:lang w:val="en-US" w:eastAsia="zh-CN"/>
                                </w:rPr>
                              </w:pPr>
                              <w:r>
                                <w:rPr>
                                  <w:rFonts w:hint="eastAsia"/>
                                </w:rPr>
                                <w:t>0.</w:t>
                              </w:r>
                              <w:r>
                                <w:rPr>
                                  <w:rFonts w:hint="eastAsia"/>
                                  <w:lang w:val="en-US" w:eastAsia="zh-CN"/>
                                </w:rPr>
                                <w:t>76</w:t>
                              </w:r>
                            </w:p>
                          </w:txbxContent>
                        </v:textbox>
                      </v:rect>
                      <v:rect id="矩形 5" o:spid="_x0000_s1026" o:spt="1" style="position:absolute;left:3217;top:825573;height:328;width:1339;" fillcolor="#FFFFFF" filled="t" stroked="f" coordsize="21600,21600" o:gfxdata="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OELLsAAADa&#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32215AC0">
                              <w:pPr>
                                <w:pStyle w:val="27"/>
                                <w:bidi w:val="0"/>
                                <w:rPr>
                                  <w:rFonts w:hint="default" w:eastAsia="宋体"/>
                                  <w:lang w:val="en-US" w:eastAsia="zh-CN"/>
                                </w:rPr>
                              </w:pPr>
                              <w:r>
                                <w:rPr>
                                  <w:rFonts w:hint="eastAsia"/>
                                </w:rPr>
                                <w:t>新鲜水</w:t>
                              </w:r>
                              <w:r>
                                <w:rPr>
                                  <w:rFonts w:hint="eastAsia"/>
                                  <w:lang w:val="en-US" w:eastAsia="zh-CN"/>
                                </w:rPr>
                                <w:t>6.087</w:t>
                              </w:r>
                            </w:p>
                          </w:txbxContent>
                        </v:textbox>
                      </v:rect>
                      <v:rect id="矩形 10" o:spid="_x0000_s1026" o:spt="1" style="position:absolute;left:11163;top:824812;height:5652;width:378;v-text-anchor:middle;" fillcolor="#FFFFFF" filled="t" stroked="t" coordsize="21600,21600" o:gfxdata="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3fMq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14:paraId="3CA8B298">
                              <w:pPr>
                                <w:pStyle w:val="27"/>
                                <w:bidi w:val="0"/>
                              </w:pPr>
                              <w:r>
                                <w:rPr>
                                  <w:rFonts w:hint="eastAsia"/>
                                  <w:color w:val="auto"/>
                                  <w:lang w:val="en-US" w:eastAsia="zh-CN"/>
                                </w:rPr>
                                <w:t>山南新区</w:t>
                              </w:r>
                              <w:r>
                                <w:rPr>
                                  <w:rFonts w:hint="eastAsia"/>
                                  <w:color w:val="auto"/>
                                </w:rPr>
                                <w:t>污水处理厂</w:t>
                              </w:r>
                            </w:p>
                          </w:txbxContent>
                        </v:textbox>
                      </v:rect>
                      <v:rect id="矩形 15" o:spid="_x0000_s1026" o:spt="1" style="position:absolute;left:7942;top:829691;height:281;width:720;" fillcolor="#FFFFFF" filled="t" stroked="t" coordsize="21600,21600" o:gfxdata="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DVh&#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14:paraId="394FD97C">
                              <w:pPr>
                                <w:pStyle w:val="27"/>
                                <w:bidi w:val="0"/>
                              </w:pPr>
                              <w:r>
                                <w:rPr>
                                  <w:rFonts w:hint="eastAsia"/>
                                </w:rPr>
                                <w:t>化粪池</w:t>
                              </w:r>
                            </w:p>
                          </w:txbxContent>
                        </v:textbox>
                      </v:rect>
                      <v:rect id="矩形 16" o:spid="_x0000_s1026" o:spt="1" style="position:absolute;left:9228;top:829490;height:328;width:720;" fillcolor="#FFFFFF" filled="t" stroked="f" coordsize="21600,21600" o:gfxdata="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glwTugAAANs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2A5B9819">
                              <w:pPr>
                                <w:pStyle w:val="27"/>
                                <w:bidi w:val="0"/>
                                <w:rPr>
                                  <w:rFonts w:hint="default" w:eastAsia="宋体"/>
                                  <w:lang w:val="en-US" w:eastAsia="zh-CN"/>
                                </w:rPr>
                              </w:pPr>
                              <w:r>
                                <w:rPr>
                                  <w:rFonts w:hint="eastAsia"/>
                                  <w:lang w:val="en-US" w:eastAsia="zh-CN"/>
                                </w:rPr>
                                <w:t>4.683</w:t>
                              </w:r>
                            </w:p>
                          </w:txbxContent>
                        </v:textbox>
                      </v:rect>
                      <v:rect id="矩形 9" o:spid="_x0000_s1026" o:spt="1" style="position:absolute;left:5299;top:824894;height:291;width:1331;" fillcolor="#FFFFFF" filled="t" stroked="t" coordsize="21600,21600" o:gfxdata="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bw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9965574">
                              <w:pPr>
                                <w:pStyle w:val="27"/>
                                <w:bidi w:val="0"/>
                                <w:rPr>
                                  <w:rFonts w:hint="default" w:eastAsia="宋体"/>
                                  <w:lang w:val="en-US" w:eastAsia="zh-CN"/>
                                </w:rPr>
                              </w:pPr>
                              <w:r>
                                <w:rPr>
                                  <w:rFonts w:hint="eastAsia"/>
                                  <w:lang w:val="en-US" w:eastAsia="zh-CN"/>
                                </w:rPr>
                                <w:t>器皿润洗</w:t>
                              </w:r>
                            </w:p>
                          </w:txbxContent>
                        </v:textbox>
                      </v:rect>
                      <v:rect id="矩形 16" o:spid="_x0000_s1026" o:spt="1" style="position:absolute;left:7047;top:830406;height:328;width:720;" fillcolor="#FFFFFF" filled="t" stroked="f" coordsize="21600,21600" o:gfxdata="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AZw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4AF0AB97">
                              <w:pPr>
                                <w:pStyle w:val="27"/>
                                <w:bidi w:val="0"/>
                                <w:rPr>
                                  <w:rFonts w:hint="default" w:eastAsia="宋体"/>
                                  <w:lang w:val="en-US" w:eastAsia="zh-CN"/>
                                </w:rPr>
                              </w:pPr>
                              <w:r>
                                <w:rPr>
                                  <w:rFonts w:hint="eastAsia"/>
                                  <w:lang w:val="en-US" w:eastAsia="zh-CN"/>
                                </w:rPr>
                                <w:t>4.31</w:t>
                              </w:r>
                            </w:p>
                          </w:txbxContent>
                        </v:textbox>
                      </v:rect>
                      <v:shape id="自选图形 12" o:spid="_x0000_s1026" o:spt="32" type="#_x0000_t32" style="position:absolute;left:6633;top:825035;height:2;width:1879;"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16" o:spid="_x0000_s1026" o:spt="1" style="position:absolute;left:7383;top:824797;height:328;width:720;" fillcolor="#FFFFFF" filled="t" stroked="f" coordsize="21600,21600" o:gfxdata="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bQlr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CF6F383">
                              <w:pPr>
                                <w:pStyle w:val="27"/>
                                <w:bidi w:val="0"/>
                                <w:rPr>
                                  <w:rFonts w:hint="default" w:eastAsia="宋体"/>
                                  <w:lang w:val="en-US" w:eastAsia="zh-CN"/>
                                </w:rPr>
                              </w:pPr>
                              <w:r>
                                <w:rPr>
                                  <w:rFonts w:hint="eastAsia"/>
                                  <w:lang w:val="en-US" w:eastAsia="zh-CN"/>
                                </w:rPr>
                                <w:t>0.004</w:t>
                              </w:r>
                            </w:p>
                          </w:txbxContent>
                        </v:textbox>
                      </v:rect>
                      <v:shape id="自选图形 12" o:spid="_x0000_s1026" o:spt="32" type="#_x0000_t32" style="position:absolute;left:4601;top:825042;flip:y;height:2;width:706;" filled="f" stroked="t" coordsize="21600,21600" o:gfxdata="UEsDBAoAAAAAAIdO4kAAAAAAAAAAAAAAAAAEAAAAZHJzL1BLAwQUAAAACACHTuJAYqwDl70AAADb&#10;AAAADwAAAGRycy9kb3ducmV2LnhtbEWPT4vCMBTE78J+h/CEvYimi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AOX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2" o:spid="_x0000_s1026" o:spt="32" type="#_x0000_t32" style="position:absolute;left:3656;top:825884;height:0;width:951;"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2" o:spid="_x0000_s1026" o:spt="32" type="#_x0000_t32" style="position:absolute;left:4607;top:824973;height:5710;width:1;" filled="f" stroked="t" coordsize="21600,21600" o:gfxdata="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1J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矩形 5" o:spid="_x0000_s1026" o:spt="1" style="position:absolute;left:4594;top:830345;height:328;width:641;" fillcolor="#FFFFFF" filled="t" stroked="f" coordsize="21600,21600" o:gfxdata="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0ZL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48189523">
                              <w:pPr>
                                <w:pStyle w:val="27"/>
                                <w:bidi w:val="0"/>
                                <w:rPr>
                                  <w:rFonts w:hint="default" w:eastAsia="宋体"/>
                                  <w:lang w:val="en-US" w:eastAsia="zh-CN"/>
                                </w:rPr>
                              </w:pPr>
                              <w:r>
                                <w:rPr>
                                  <w:rFonts w:hint="eastAsia"/>
                                  <w:lang w:val="en-US" w:eastAsia="zh-CN"/>
                                </w:rPr>
                                <w:t>5.07</w:t>
                              </w:r>
                            </w:p>
                          </w:txbxContent>
                        </v:textbox>
                      </v:rect>
                      <v:rect id="矩形 5" o:spid="_x0000_s1026" o:spt="1" style="position:absolute;left:4607;top:824809;height:328;width:641;" fillcolor="#FFFFFF" filled="t" stroked="f" coordsize="21600,21600" o:gfxdata="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NI5ugAAANs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30C378FD">
                              <w:pPr>
                                <w:pStyle w:val="27"/>
                                <w:bidi w:val="0"/>
                                <w:rPr>
                                  <w:rFonts w:hint="default" w:eastAsia="宋体"/>
                                  <w:lang w:val="en-US" w:eastAsia="zh-CN"/>
                                </w:rPr>
                              </w:pPr>
                              <w:r>
                                <w:rPr>
                                  <w:rFonts w:hint="eastAsia"/>
                                  <w:lang w:val="en-US" w:eastAsia="zh-CN"/>
                                </w:rPr>
                                <w:t>0.004</w:t>
                              </w:r>
                            </w:p>
                          </w:txbxContent>
                        </v:textbox>
                      </v:rect>
                      <v:shape id="自选图形 12" o:spid="_x0000_s1026" o:spt="32" type="#_x0000_t32" style="position:absolute;left:5755;top:826338;flip:y;height:8;width:622;" filled="f" stroked="t" coordsize="21600,21600" o:gfxdata="UEsDBAoAAAAAAIdO4kAAAAAAAAAAAAAAAAAEAAAAZHJzL1BLAwQUAAAACACHTuJAIylRXr8AAADb&#10;AAAADwAAAGRycy9kb3ducmV2LnhtbEWPQWvCQBSE70L/w/IKvUjdxNI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UV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9" o:spid="_x0000_s1026" o:spt="1" style="position:absolute;left:6386;top:826215;height:249;width:856;" fillcolor="#FFFFFF" filled="t" stroked="t" coordsize="21600,21600" o:gfxdata="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eW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5F350F80">
                              <w:pPr>
                                <w:pStyle w:val="27"/>
                                <w:bidi w:val="0"/>
                                <w:rPr>
                                  <w:rFonts w:hint="default" w:eastAsia="宋体"/>
                                  <w:lang w:val="en-US" w:eastAsia="zh-CN"/>
                                </w:rPr>
                              </w:pPr>
                              <w:r>
                                <w:rPr>
                                  <w:rFonts w:hint="eastAsia"/>
                                  <w:lang w:val="en-US" w:eastAsia="zh-CN"/>
                                </w:rPr>
                                <w:t>水样</w:t>
                              </w:r>
                            </w:p>
                          </w:txbxContent>
                        </v:textbox>
                      </v:rect>
                      <v:rect id="矩形 5" o:spid="_x0000_s1026" o:spt="1" style="position:absolute;left:5084;top:826189;height:328;width:641;" fillcolor="#FFFFFF" filled="t" stroked="f" coordsize="21600,21600" o:gfxdata="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bca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281F13CC">
                              <w:pPr>
                                <w:pStyle w:val="27"/>
                                <w:bidi w:val="0"/>
                                <w:rPr>
                                  <w:rFonts w:hint="default" w:eastAsia="宋体"/>
                                  <w:lang w:val="en-US" w:eastAsia="zh-CN"/>
                                </w:rPr>
                              </w:pPr>
                              <w:r>
                                <w:rPr>
                                  <w:rFonts w:hint="eastAsia"/>
                                  <w:lang w:val="en-US" w:eastAsia="zh-CN"/>
                                </w:rPr>
                                <w:t>采样</w:t>
                              </w:r>
                            </w:p>
                          </w:txbxContent>
                        </v:textbox>
                      </v:rect>
                      <v:shape id="自选图形 8" o:spid="_x0000_s1026" o:spt="38" type="#_x0000_t38" style="position:absolute;left:6151;top:827591;flip:y;height:362;width:502;" filled="f" stroked="t" coordsize="21600,21600" o:gfxdata="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S5CvQAA&#10;ANsAAAAPAAAAAAAAAAEAIAAAACIAAABkcnMvZG93bnJldi54bWxQSwECFAAUAAAACACHTuJAMy8F&#10;njsAAAA5AAAAEAAAAAAAAAABACAAAAAMAQAAZHJzL3NoYXBleG1sLnhtbFBLBQYAAAAABgAGAFsB&#10;AAC2AwAAAAA=&#10;" adj="10843">
                        <v:fill on="f" focussize="0,0"/>
                        <v:stroke color="#000000" joinstyle="round" dashstyle="dash" endarrow="block"/>
                        <v:imagedata o:title=""/>
                        <o:lock v:ext="edit" aspectratio="f"/>
                      </v:shape>
                      <v:shape id="自选图形 12" o:spid="_x0000_s1026" o:spt="32" type="#_x0000_t32" style="position:absolute;left:4611;top:825654;flip:y;height:5;width:689;" filled="f" stroked="t" coordsize="21600,21600" o:gfxdata="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矩形 9" o:spid="_x0000_s1026" o:spt="1" style="position:absolute;left:5319;top:825513;height:297;width:1331;" fillcolor="#FFFFFF" filled="t" stroked="t" coordsize="21600,21600" o:gfxdata="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2t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636D566C">
                              <w:pPr>
                                <w:pStyle w:val="27"/>
                                <w:bidi w:val="0"/>
                                <w:rPr>
                                  <w:rFonts w:hint="default" w:eastAsia="宋体"/>
                                  <w:lang w:val="en-US" w:eastAsia="zh-CN"/>
                                </w:rPr>
                              </w:pPr>
                              <w:r>
                                <w:rPr>
                                  <w:rFonts w:hint="eastAsia"/>
                                  <w:lang w:val="en-US" w:eastAsia="zh-CN"/>
                                </w:rPr>
                                <w:t>器皿清洗</w:t>
                              </w:r>
                            </w:p>
                          </w:txbxContent>
                        </v:textbox>
                      </v:rect>
                      <v:shape id="自选图形 12" o:spid="_x0000_s1026" o:spt="32" type="#_x0000_t32" style="position:absolute;left:6644;top:825650;flip:y;height:13;width:2275;" filled="f" stroked="t" coordsize="21600,21600" o:gfxdata="UEsDBAoAAAAAAIdO4kAAAAAAAAAAAAAAAAAEAAAAZHJzL1BLAwQUAAAACACHTuJABBQkILwAAADb&#10;AAAADwAAAGRycy9kb3ducmV2LnhtbEVPTWvCQBC9C/0PyxS8iNkotA3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UJC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2" o:spid="_x0000_s1026" o:spt="32" type="#_x0000_t32" style="position:absolute;left:4616;top:827013;flip:y;height:2;width:969;" filled="f" stroked="t" coordsize="21600,21600" o:gfxdata="UEsDBAoAAAAAAIdO4kAAAAAAAAAAAAAAAAAEAAAAZHJzL1BLAwQUAAAACACHTuJAOqpw6r0AAADb&#10;AAAADwAAAGRycy9kb3ducmV2LnhtbEWPQYvCMBSE7wv+h/AEL4umFle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nDq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9" o:spid="_x0000_s1026" o:spt="1" style="position:absolute;left:5599;top:826884;height:260;width:856;" fillcolor="#FFFFFF" filled="t" stroked="t" coordsize="21600,21600" o:gfxdata="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T+d+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2C56576E">
                              <w:pPr>
                                <w:pStyle w:val="27"/>
                                <w:bidi w:val="0"/>
                                <w:rPr>
                                  <w:rFonts w:hint="default" w:eastAsia="宋体"/>
                                  <w:lang w:val="en-US" w:eastAsia="zh-CN"/>
                                </w:rPr>
                              </w:pPr>
                              <w:r>
                                <w:rPr>
                                  <w:rFonts w:hint="eastAsia"/>
                                  <w:lang w:val="en-US" w:eastAsia="zh-CN"/>
                                </w:rPr>
                                <w:t>纯水制备</w:t>
                              </w:r>
                            </w:p>
                          </w:txbxContent>
                        </v:textbox>
                      </v:rect>
                      <v:shape id="自选图形 12" o:spid="_x0000_s1026" o:spt="32" type="#_x0000_t32" style="position:absolute;left:6451;top:827003;flip:y;height:6;width:775;" filled="f" stroked="t" coordsize="21600,21600" o:gfxdata="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O6d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2" o:spid="_x0000_s1026" o:spt="32" type="#_x0000_t32" style="position:absolute;left:5986;top:827144;flip:x;height:285;width:5;" filled="f" stroked="t" coordsize="21600,21600" o:gfxdata="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wTyb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shape>
                      <v:shape id="自选图形 12" o:spid="_x0000_s1026" o:spt="32" type="#_x0000_t32" style="position:absolute;left:4601;top:829833;flip:y;height:2;width:969;" filled="f" stroked="t" coordsize="21600,21600" o:gfxdata="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PmN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9" o:spid="_x0000_s1026" o:spt="1" style="position:absolute;left:5568;top:829679;height:286;width:1331;" fillcolor="#FFFFFF" filled="t" stroked="t" coordsize="21600,21600" o:gfxdata="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UVO6/&#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75022BC">
                              <w:pPr>
                                <w:pStyle w:val="27"/>
                                <w:bidi w:val="0"/>
                                <w:rPr>
                                  <w:rFonts w:hint="default" w:eastAsia="宋体"/>
                                  <w:lang w:val="en-US" w:eastAsia="zh-CN"/>
                                </w:rPr>
                              </w:pPr>
                              <w:r>
                                <w:rPr>
                                  <w:rFonts w:hint="eastAsia"/>
                                  <w:lang w:val="en-US" w:eastAsia="zh-CN"/>
                                </w:rPr>
                                <w:t>保洁用水</w:t>
                              </w:r>
                            </w:p>
                          </w:txbxContent>
                        </v:textbox>
                      </v:rect>
                      <v:rect id="矩形 9" o:spid="_x0000_s1026" o:spt="1" style="position:absolute;left:5681;top:827913;height:280;width:1331;" fillcolor="#FFFFFF" filled="t" stroked="t" coordsize="21600,21600" o:gfxdata="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RZ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14:paraId="5563DA90">
                              <w:pPr>
                                <w:pStyle w:val="27"/>
                                <w:bidi w:val="0"/>
                                <w:rPr>
                                  <w:rFonts w:hint="default" w:eastAsia="宋体"/>
                                  <w:lang w:val="en-US" w:eastAsia="zh-CN"/>
                                </w:rPr>
                              </w:pPr>
                              <w:r>
                                <w:rPr>
                                  <w:rFonts w:hint="eastAsia"/>
                                  <w:lang w:val="en-US" w:eastAsia="zh-CN"/>
                                </w:rPr>
                                <w:t>喷淋用水</w:t>
                              </w:r>
                            </w:p>
                          </w:txbxContent>
                        </v:textbox>
                      </v:rect>
                      <v:shape id="自选图形 12" o:spid="_x0000_s1026" o:spt="32" type="#_x0000_t32" style="position:absolute;left:7237;top:826341;height:0;width:1676;"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2" o:spid="_x0000_s1026" o:spt="32" type="#_x0000_t32" style="position:absolute;left:8289;top:827009;height:12;width:633;"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2" o:spid="_x0000_s1026" o:spt="32" type="#_x0000_t32" style="position:absolute;left:7022;top:828896;height:9;width:3399;"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2" o:spid="_x0000_s1026" o:spt="32" type="#_x0000_t32" style="position:absolute;left:6899;top:829822;height:2;width:1038;"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9" o:spid="_x0000_s1026" o:spt="1" style="position:absolute;left:5605;top:828777;height:260;width:1427;" fillcolor="#FFFFFF" filled="t" stroked="t" coordsize="21600,21600" o:gfxdata="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ne/O/&#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18219E6F">
                              <w:pPr>
                                <w:pStyle w:val="27"/>
                                <w:bidi w:val="0"/>
                                <w:rPr>
                                  <w:rFonts w:hint="default" w:eastAsia="宋体"/>
                                  <w:lang w:val="en-US" w:eastAsia="zh-CN"/>
                                </w:rPr>
                              </w:pPr>
                              <w:r>
                                <w:rPr>
                                  <w:rFonts w:hint="eastAsia"/>
                                  <w:lang w:val="en-US" w:eastAsia="zh-CN"/>
                                </w:rPr>
                                <w:t>纯水机反冲洗</w:t>
                              </w:r>
                            </w:p>
                          </w:txbxContent>
                        </v:textbox>
                      </v:rect>
                      <v:shape id="自选图形 12" o:spid="_x0000_s1026" o:spt="32" type="#_x0000_t32" style="position:absolute;left:4599;top:828927;height:6;width:1009;" filled="f" stroked="t" coordsize="21600,21600" o:gfxdata="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JaB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12" o:spid="_x0000_s1026" o:spt="32" type="#_x0000_t32" style="position:absolute;left:7014;top:828061;flip:y;height:1;width:1079;" filled="f" stroked="t" coordsize="21600,21600" o:gfxdata="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jNNb4A&#10;AADbAAAADwAAAAAAAAABACAAAAAiAAAAZHJzL2Rvd25yZXYueG1sUEsBAhQAFAAAAAgAh07iQDMv&#10;BZ47AAAAOQAAABAAAAAAAAAAAQAgAAAADQEAAGRycy9zaGFwZXhtbC54bWxQSwUGAAAAAAYABgBb&#10;AQAAtwMAAAAA&#10;">
                        <v:fill on="f" focussize="0,0"/>
                        <v:stroke color="#4F81BD [3204]" joinstyle="round" dashstyle="dash"/>
                        <v:imagedata o:title=""/>
                        <o:lock v:ext="edit" aspectratio="f"/>
                      </v:shape>
                      <v:rect id="矩形 5" o:spid="_x0000_s1026" o:spt="1" style="position:absolute;left:5736;top:826100;height:328;width:641;" fillcolor="#FFFFFF" filled="t" stroked="f" coordsize="21600,21600" o:gfxdata="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dubO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754C9E86">
                              <w:pPr>
                                <w:pStyle w:val="27"/>
                                <w:bidi w:val="0"/>
                                <w:rPr>
                                  <w:rFonts w:hint="default" w:eastAsia="宋体"/>
                                  <w:lang w:val="en-US" w:eastAsia="zh-CN"/>
                                </w:rPr>
                              </w:pPr>
                              <w:r>
                                <w:rPr>
                                  <w:rFonts w:hint="eastAsia"/>
                                  <w:lang w:val="en-US" w:eastAsia="zh-CN"/>
                                </w:rPr>
                                <w:t>0.09</w:t>
                              </w:r>
                            </w:p>
                          </w:txbxContent>
                        </v:textbox>
                      </v:rect>
                      <v:rect id="矩形 5" o:spid="_x0000_s1026" o:spt="1" style="position:absolute;left:8434;top:824858;height:328;width:1602;" fillcolor="#FFFFFF" filled="t" stroked="f" coordsize="21600,21600" o:gfxdata="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RHCi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05FB2FD5">
                              <w:pPr>
                                <w:pStyle w:val="27"/>
                                <w:bidi w:val="0"/>
                                <w:rPr>
                                  <w:rFonts w:hint="default" w:eastAsia="宋体"/>
                                  <w:lang w:val="en-US" w:eastAsia="zh-CN"/>
                                </w:rPr>
                              </w:pPr>
                              <w:r>
                                <w:rPr>
                                  <w:rFonts w:hint="eastAsia"/>
                                  <w:lang w:val="en-US" w:eastAsia="zh-CN"/>
                                </w:rPr>
                                <w:t>作为危废处置</w:t>
                              </w:r>
                            </w:p>
                          </w:txbxContent>
                        </v:textbox>
                      </v:rect>
                      <v:rect id="矩形 9" o:spid="_x0000_s1026" o:spt="1" style="position:absolute;left:7241;top:826871;height:271;width:1046;" fillcolor="#FFFFFF" filled="t" stroked="t" coordsize="21600,21600" o:gfxdata="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g1s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21FCD8F">
                              <w:pPr>
                                <w:pStyle w:val="27"/>
                                <w:bidi w:val="0"/>
                                <w:rPr>
                                  <w:rFonts w:hint="default" w:eastAsia="宋体"/>
                                  <w:lang w:val="en-US" w:eastAsia="zh-CN"/>
                                </w:rPr>
                              </w:pPr>
                              <w:r>
                                <w:rPr>
                                  <w:rFonts w:hint="eastAsia"/>
                                  <w:lang w:val="en-US" w:eastAsia="zh-CN"/>
                                </w:rPr>
                                <w:t>样品标定</w:t>
                              </w:r>
                            </w:p>
                          </w:txbxContent>
                        </v:textbox>
                      </v:rect>
                      <v:shape id="自选图形 12" o:spid="_x0000_s1026" o:spt="32" type="#_x0000_t32" style="position:absolute;left:4621;top:828053;flip:y;height:1;width:1057;" filled="f" stroked="t" coordsize="21600,21600" o:gfxdata="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h2Qb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8" o:spid="_x0000_s1026" o:spt="38" type="#_x0000_t38" style="position:absolute;left:6098;top:829315;flip:y;height:362;width:502;" filled="f" stroked="t" coordsize="21600,21600" o:gfxdata="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JdrsAAADb&#10;AAAADwAAAAAAAAABACAAAAAiAAAAZHJzL2Rvd25yZXYueG1sUEsBAhQAFAAAAAgAh07iQDMvBZ47&#10;AAAAOQAAABAAAAAAAAAAAQAgAAAACgEAAGRycy9zaGFwZXhtbC54bWxQSwUGAAAAAAYABgBbAQAA&#10;tAMAAAAA&#10;" adj="10843">
                        <v:fill on="f" focussize="0,0"/>
                        <v:stroke color="#000000" joinstyle="round" dashstyle="dash" endarrow="block"/>
                        <v:imagedata o:title=""/>
                        <o:lock v:ext="edit" aspectratio="f"/>
                      </v:shape>
                      <v:rect id="矩形 5" o:spid="_x0000_s1026" o:spt="1" style="position:absolute;left:4838;top:827769;height:328;width:641;" fillcolor="#FFFFFF" filled="t" stroked="f" coordsize="21600,21600" o:gfxdata="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K8K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093628B7">
                              <w:pPr>
                                <w:pStyle w:val="27"/>
                                <w:bidi w:val="0"/>
                                <w:rPr>
                                  <w:rFonts w:hint="default" w:eastAsia="宋体"/>
                                  <w:lang w:val="en-US" w:eastAsia="zh-CN"/>
                                </w:rPr>
                              </w:pPr>
                              <w:r>
                                <w:rPr>
                                  <w:rFonts w:hint="eastAsia"/>
                                  <w:lang w:val="en-US" w:eastAsia="zh-CN"/>
                                </w:rPr>
                                <w:t>0.04</w:t>
                              </w:r>
                            </w:p>
                          </w:txbxContent>
                        </v:textbox>
                      </v:rect>
                      <v:rect id="矩形 5" o:spid="_x0000_s1026" o:spt="1" style="position:absolute;left:6656;top:827482;height:328;width:641;" fillcolor="#FFFFFF" filled="t" stroked="f" coordsize="21600,21600" o:gfxdata="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5TUm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14:paraId="74D182AE">
                              <w:pPr>
                                <w:pStyle w:val="27"/>
                                <w:bidi w:val="0"/>
                                <w:rPr>
                                  <w:rFonts w:hint="default" w:eastAsia="宋体"/>
                                  <w:lang w:val="en-US" w:eastAsia="zh-CN"/>
                                </w:rPr>
                              </w:pPr>
                              <w:r>
                                <w:rPr>
                                  <w:rFonts w:hint="eastAsia"/>
                                  <w:lang w:val="en-US" w:eastAsia="zh-CN"/>
                                </w:rPr>
                                <w:t>0.03</w:t>
                              </w:r>
                            </w:p>
                          </w:txbxContent>
                        </v:textbox>
                      </v:rect>
                      <v:shape id="自选图形 12" o:spid="_x0000_s1026" o:spt="32" type="#_x0000_t32" style="position:absolute;left:6336;top:828406;flip:y;height:8;width:1773;" filled="f" stroked="t" coordsize="21600,21600" o:gfxdata="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p28rsAAADc&#10;AAAADwAAAAAAAAABACAAAAAiAAAAZHJzL2Rvd25yZXYueG1sUEsBAhQAFAAAAAgAh07iQDMvBZ47&#10;AAAAOQAAABAAAAAAAAAAAQAgAAAACgEAAGRycy9zaGFwZXhtbC54bWxQSwUGAAAAAAYABgBbAQAA&#10;tAMAAAAA&#10;">
                        <v:fill on="f" focussize="0,0"/>
                        <v:stroke color="#4F81BD [3204]" joinstyle="round" dashstyle="dash"/>
                        <v:imagedata o:title=""/>
                        <o:lock v:ext="edit" aspectratio="f"/>
                      </v:shape>
                      <v:shape id="自选图形 12" o:spid="_x0000_s1026" o:spt="32" type="#_x0000_t32" style="position:absolute;left:5992;top:827427;height:23;width:4429;" filled="f" stroked="t" coordsize="21600,2160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2" o:spid="_x0000_s1026" o:spt="32" type="#_x0000_t32" style="position:absolute;left:8093;top:828057;height:345;width:8;" filled="f" stroked="t" coordsize="21600,21600" o:gfxdata="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V0SBugAAANwA&#10;AAAPAAAAAAAAAAEAIAAAACIAAABkcnMvZG93bnJldi54bWxQSwECFAAUAAAACACHTuJAMy8FnjsA&#10;AAA5AAAAEAAAAAAAAAABACAAAAAJAQAAZHJzL3NoYXBleG1sLnhtbFBLBQYAAAAABgAGAFsBAACz&#10;AwAAAAA=&#10;">
                        <v:fill on="f" focussize="0,0"/>
                        <v:stroke color="#4F81BD [3204]" joinstyle="round" dashstyle="dash"/>
                        <v:imagedata o:title=""/>
                        <o:lock v:ext="edit" aspectratio="f"/>
                      </v:shape>
                      <v:shape id="自选图形 12" o:spid="_x0000_s1026" o:spt="32" type="#_x0000_t32" style="position:absolute;left:6332;top:828205;flip:x;height:205;width:4;" filled="f" stroked="t" coordsize="21600,21600" o:gfxdata="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soZ+/&#10;AAAA3AAAAA8AAAAAAAAAAQAgAAAAIgAAAGRycy9kb3ducmV2LnhtbFBLAQIUABQAAAAIAIdO4kAz&#10;LwWeOwAAADkAAAAQAAAAAAAAAAEAIAAAAA4BAABkcnMvc2hhcGV4bWwueG1sUEsFBgAAAAAGAAYA&#10;WwEAALgDAAAAAA==&#10;">
                        <v:fill on="f" focussize="0,0"/>
                        <v:stroke color="#4F81BD [3204]" joinstyle="round" dashstyle="dash" startarrow="block"/>
                        <v:imagedata o:title=""/>
                        <o:lock v:ext="edit" aspectratio="f"/>
                      </v:shape>
                      <v:rect id="矩形 5" o:spid="_x0000_s1026" o:spt="1" style="position:absolute;left:6993;top:828194;height:328;width:641;" fillcolor="#FFFFFF" filled="t" stroked="f" coordsize="21600,21600" o:gfxdata="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8lD4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71143539">
                              <w:pPr>
                                <w:pStyle w:val="27"/>
                                <w:bidi w:val="0"/>
                                <w:rPr>
                                  <w:rFonts w:hint="default" w:eastAsia="宋体"/>
                                  <w:lang w:val="en-US" w:eastAsia="zh-CN"/>
                                </w:rPr>
                              </w:pPr>
                              <w:r>
                                <w:rPr>
                                  <w:rFonts w:hint="eastAsia"/>
                                  <w:lang w:val="en-US" w:eastAsia="zh-CN"/>
                                </w:rPr>
                                <w:t>0.4</w:t>
                              </w:r>
                            </w:p>
                          </w:txbxContent>
                        </v:textbox>
                      </v:rect>
                      <v:shape id="自选图形 12" o:spid="_x0000_s1026" o:spt="32" type="#_x0000_t32" style="position:absolute;left:7012;top:828007;height:14;width:2371;" filled="f" stroked="t" coordsize="21600,21600" o:gfxdata="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czL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shape>
                      <v:rect id="矩形 5" o:spid="_x0000_s1026" o:spt="1" style="position:absolute;left:8318;top:827739;height:328;width:641;" fillcolor="#FFFFFF" filled="t" stroked="f" coordsize="21600,21600" o:gfxdata="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d4D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1B7D6798">
                              <w:pPr>
                                <w:pStyle w:val="27"/>
                                <w:bidi w:val="0"/>
                                <w:rPr>
                                  <w:rFonts w:hint="default" w:eastAsia="宋体"/>
                                  <w:lang w:val="en-US" w:eastAsia="zh-CN"/>
                                </w:rPr>
                              </w:pPr>
                              <w:r>
                                <w:rPr>
                                  <w:rFonts w:hint="eastAsia"/>
                                  <w:lang w:val="en-US" w:eastAsia="zh-CN"/>
                                </w:rPr>
                                <w:t>0.01</w:t>
                              </w:r>
                            </w:p>
                          </w:txbxContent>
                        </v:textbox>
                      </v:rect>
                      <v:rect id="矩形 5" o:spid="_x0000_s1026" o:spt="1" style="position:absolute;left:4778;top:829555;height:328;width:641;" fillcolor="#FFFFFF" filled="t" stroked="f" coordsize="21600,21600" o:gfxdata="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JF4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41F85BB9">
                              <w:pPr>
                                <w:pStyle w:val="27"/>
                                <w:bidi w:val="0"/>
                                <w:rPr>
                                  <w:rFonts w:hint="default" w:eastAsia="宋体"/>
                                  <w:lang w:val="en-US" w:eastAsia="zh-CN"/>
                                </w:rPr>
                              </w:pPr>
                              <w:r>
                                <w:rPr>
                                  <w:rFonts w:hint="eastAsia"/>
                                  <w:lang w:val="en-US" w:eastAsia="zh-CN"/>
                                </w:rPr>
                                <w:t>0.466</w:t>
                              </w:r>
                            </w:p>
                          </w:txbxContent>
                        </v:textbox>
                      </v:rect>
                      <v:rect id="矩形 5" o:spid="_x0000_s1026" o:spt="1" style="position:absolute;left:8236;top:826748;height:328;width:641;" fillcolor="#FFFFFF" filled="t" stroked="f" coordsize="21600,21600" o:gfxdata="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C0s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128F3252">
                              <w:pPr>
                                <w:pStyle w:val="27"/>
                                <w:bidi w:val="0"/>
                                <w:rPr>
                                  <w:rFonts w:hint="default" w:eastAsia="宋体"/>
                                  <w:lang w:val="en-US" w:eastAsia="zh-CN"/>
                                </w:rPr>
                              </w:pPr>
                              <w:r>
                                <w:rPr>
                                  <w:rFonts w:hint="eastAsia"/>
                                  <w:lang w:val="en-US" w:eastAsia="zh-CN"/>
                                </w:rPr>
                                <w:t>0.02</w:t>
                              </w:r>
                            </w:p>
                          </w:txbxContent>
                        </v:textbox>
                      </v:rect>
                      <v:rect id="矩形 5" o:spid="_x0000_s1026" o:spt="1" style="position:absolute;left:7112;top:829578;height:328;width:641;" fillcolor="#FFFFFF" filled="t" stroked="f" coordsize="21600,21600" o:gfxdata="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Dbl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3EABC931">
                              <w:pPr>
                                <w:pStyle w:val="27"/>
                                <w:bidi w:val="0"/>
                                <w:rPr>
                                  <w:rFonts w:hint="default" w:eastAsia="宋体"/>
                                  <w:lang w:val="en-US" w:eastAsia="zh-CN"/>
                                </w:rPr>
                              </w:pPr>
                              <w:r>
                                <w:rPr>
                                  <w:rFonts w:hint="eastAsia"/>
                                  <w:lang w:val="en-US" w:eastAsia="zh-CN"/>
                                </w:rPr>
                                <w:t>0.373</w:t>
                              </w:r>
                            </w:p>
                          </w:txbxContent>
                        </v:textbox>
                      </v:rect>
                      <v:rect id="矩形 5" o:spid="_x0000_s1026" o:spt="1" style="position:absolute;left:6611;top:829179;height:328;width:641;" fillcolor="#FFFFFF" filled="t" stroked="f" coordsize="21600,21600" o:gfxdata="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x+D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4A4CA47">
                              <w:pPr>
                                <w:pStyle w:val="27"/>
                                <w:bidi w:val="0"/>
                                <w:rPr>
                                  <w:rFonts w:hint="default" w:eastAsia="宋体"/>
                                  <w:lang w:val="en-US" w:eastAsia="zh-CN"/>
                                </w:rPr>
                              </w:pPr>
                              <w:r>
                                <w:rPr>
                                  <w:rFonts w:hint="eastAsia"/>
                                  <w:lang w:val="en-US" w:eastAsia="zh-CN"/>
                                </w:rPr>
                                <w:t>0.093</w:t>
                              </w:r>
                            </w:p>
                          </w:txbxContent>
                        </v:textbox>
                      </v:rect>
                      <v:rect id="矩形 5" o:spid="_x0000_s1026" o:spt="1" style="position:absolute;left:7272;top:828681;height:328;width:641;" fillcolor="#FFFFFF" filled="t" stroked="f" coordsize="21600,21600" o:gfxdata="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6SzG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608F8806">
                              <w:pPr>
                                <w:pStyle w:val="27"/>
                                <w:bidi w:val="0"/>
                                <w:rPr>
                                  <w:rFonts w:hint="default" w:eastAsia="宋体"/>
                                  <w:lang w:val="en-US" w:eastAsia="zh-CN"/>
                                </w:rPr>
                              </w:pPr>
                              <w:r>
                                <w:rPr>
                                  <w:rFonts w:hint="eastAsia"/>
                                  <w:lang w:val="en-US" w:eastAsia="zh-CN"/>
                                </w:rPr>
                                <w:t>0.4</w:t>
                              </w:r>
                            </w:p>
                          </w:txbxContent>
                        </v:textbox>
                      </v:rect>
                      <v:rect id="矩形 5" o:spid="_x0000_s1026" o:spt="1" style="position:absolute;left:6497;top:826780;height:328;width:641;" fillcolor="#FFFFFF" filled="t" stroked="f" coordsize="21600,21600" o:gfxdata="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cXK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21845BA3">
                              <w:pPr>
                                <w:pStyle w:val="27"/>
                                <w:bidi w:val="0"/>
                                <w:rPr>
                                  <w:rFonts w:hint="default" w:eastAsia="宋体"/>
                                  <w:lang w:val="en-US" w:eastAsia="zh-CN"/>
                                </w:rPr>
                              </w:pPr>
                              <w:r>
                                <w:rPr>
                                  <w:rFonts w:hint="eastAsia"/>
                                  <w:lang w:val="en-US" w:eastAsia="zh-CN"/>
                                </w:rPr>
                                <w:t>0.02</w:t>
                              </w:r>
                            </w:p>
                          </w:txbxContent>
                        </v:textbox>
                      </v:rect>
                      <v:rect id="矩形 5" o:spid="_x0000_s1026" o:spt="1" style="position:absolute;left:7420;top:825424;height:328;width:641;" fillcolor="#FFFFFF" filled="t" stroked="f" coordsize="21600,21600" o:gfxdata="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6PX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2AFA3CE0">
                              <w:pPr>
                                <w:pStyle w:val="27"/>
                                <w:bidi w:val="0"/>
                                <w:rPr>
                                  <w:rFonts w:hint="default" w:eastAsia="宋体"/>
                                  <w:lang w:val="en-US" w:eastAsia="zh-CN"/>
                                </w:rPr>
                              </w:pPr>
                              <w:r>
                                <w:rPr>
                                  <w:rFonts w:hint="eastAsia"/>
                                  <w:lang w:val="en-US" w:eastAsia="zh-CN"/>
                                </w:rPr>
                                <w:t>0.079</w:t>
                              </w:r>
                            </w:p>
                          </w:txbxContent>
                        </v:textbox>
                      </v:rect>
                      <v:rect id="矩形 5" o:spid="_x0000_s1026" o:spt="1" style="position:absolute;left:7600;top:827216;height:328;width:641;" fillcolor="#FFFFFF" filled="t" stroked="f" coordsize="21600,21600" o:gfxdata="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Pqfb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34AB1856">
                              <w:pPr>
                                <w:pStyle w:val="27"/>
                                <w:bidi w:val="0"/>
                                <w:rPr>
                                  <w:rFonts w:hint="default" w:eastAsia="宋体"/>
                                  <w:lang w:val="en-US" w:eastAsia="zh-CN"/>
                                </w:rPr>
                              </w:pPr>
                              <w:r>
                                <w:rPr>
                                  <w:rFonts w:hint="eastAsia"/>
                                  <w:lang w:val="en-US" w:eastAsia="zh-CN"/>
                                </w:rPr>
                                <w:t>0.008</w:t>
                              </w:r>
                            </w:p>
                          </w:txbxContent>
                        </v:textbox>
                      </v:rect>
                      <v:shape id="自选图形 12" o:spid="_x0000_s1026" o:spt="32" type="#_x0000_t32" style="position:absolute;left:9573;top:825143;flip:x y;height:912;width:4;" filled="f" stroked="t" coordsize="21600,21600" o:gfxdata="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04S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5" o:spid="_x0000_s1026" o:spt="1" style="position:absolute;left:4871;top:828657;height:328;width:641;" fillcolor="#FFFFFF" filled="t" stroked="f" coordsize="21600,21600" o:gfxdata="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9P5r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A94C4B2">
                              <w:pPr>
                                <w:pStyle w:val="27"/>
                                <w:bidi w:val="0"/>
                                <w:rPr>
                                  <w:rFonts w:hint="default" w:eastAsia="宋体"/>
                                  <w:lang w:val="en-US" w:eastAsia="zh-CN"/>
                                </w:rPr>
                              </w:pPr>
                              <w:r>
                                <w:rPr>
                                  <w:rFonts w:hint="eastAsia"/>
                                  <w:lang w:val="en-US" w:eastAsia="zh-CN"/>
                                </w:rPr>
                                <w:t>0.4</w:t>
                              </w:r>
                            </w:p>
                          </w:txbxContent>
                        </v:textbox>
                      </v:rect>
                      <v:rect id="矩形 5" o:spid="_x0000_s1026" o:spt="1" style="position:absolute;left:4742;top:826811;height:328;width:641;" fillcolor="#FFFFFF" filled="t" stroked="f" coordsize="21600,21600" o:gfxdata="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WJX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2807869B">
                              <w:pPr>
                                <w:pStyle w:val="27"/>
                                <w:bidi w:val="0"/>
                                <w:rPr>
                                  <w:rFonts w:hint="default" w:eastAsia="宋体"/>
                                  <w:lang w:val="en-US" w:eastAsia="zh-CN"/>
                                </w:rPr>
                              </w:pPr>
                              <w:r>
                                <w:rPr>
                                  <w:rFonts w:hint="eastAsia"/>
                                  <w:lang w:val="en-US" w:eastAsia="zh-CN"/>
                                </w:rPr>
                                <w:t>0.028</w:t>
                              </w:r>
                            </w:p>
                          </w:txbxContent>
                        </v:textbox>
                      </v:rect>
                      <v:rect id="矩形 9" o:spid="_x0000_s1026" o:spt="1" style="position:absolute;left:9687;top:825735;height:1621;width:311;" fillcolor="#FFFFFF" filled="t" stroked="t" coordsize="21600,21600" o:gfxdata="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12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5EFE854D">
                              <w:pPr>
                                <w:pStyle w:val="27"/>
                                <w:bidi w:val="0"/>
                                <w:rPr>
                                  <w:rFonts w:hint="default" w:eastAsia="宋体"/>
                                  <w:lang w:val="en-US" w:eastAsia="zh-CN"/>
                                </w:rPr>
                              </w:pPr>
                              <w:r>
                                <w:rPr>
                                  <w:rFonts w:hint="eastAsia"/>
                                  <w:lang w:val="en-US" w:eastAsia="zh-CN"/>
                                </w:rPr>
                                <w:t>污水处理设施</w:t>
                              </w:r>
                            </w:p>
                          </w:txbxContent>
                        </v:textbox>
                      </v:rect>
                      <v:rect id="矩形 5" o:spid="_x0000_s1026" o:spt="1" style="position:absolute;left:4607;top:825408;height:328;width:641;" fillcolor="#FFFFFF" filled="t" stroked="f" coordsize="21600,21600" o:gfxdata="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qx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1DB96046">
                              <w:pPr>
                                <w:pStyle w:val="27"/>
                                <w:bidi w:val="0"/>
                                <w:rPr>
                                  <w:rFonts w:hint="default" w:eastAsia="宋体"/>
                                  <w:lang w:val="en-US" w:eastAsia="zh-CN"/>
                                </w:rPr>
                              </w:pPr>
                              <w:r>
                                <w:rPr>
                                  <w:rFonts w:hint="eastAsia"/>
                                  <w:lang w:val="en-US" w:eastAsia="zh-CN"/>
                                </w:rPr>
                                <w:t>0.079</w:t>
                              </w:r>
                            </w:p>
                          </w:txbxContent>
                        </v:textbox>
                      </v:rect>
                      <v:rect id="矩形 5" o:spid="_x0000_s1026" o:spt="1" style="position:absolute;left:7331;top:826116;height:328;width:641;" fillcolor="#FFFFFF" filled="t" stroked="f" coordsize="21600,21600" o:gfxdata="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wRK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6A0C2582">
                              <w:pPr>
                                <w:pStyle w:val="27"/>
                                <w:bidi w:val="0"/>
                                <w:rPr>
                                  <w:rFonts w:hint="default" w:eastAsia="宋体"/>
                                  <w:lang w:val="en-US" w:eastAsia="zh-CN"/>
                                </w:rPr>
                              </w:pPr>
                              <w:r>
                                <w:rPr>
                                  <w:rFonts w:hint="eastAsia"/>
                                  <w:lang w:val="en-US" w:eastAsia="zh-CN"/>
                                </w:rPr>
                                <w:t>0.09</w:t>
                              </w:r>
                            </w:p>
                          </w:txbxContent>
                        </v:textbox>
                      </v:rect>
                      <v:line id="_x0000_s1026" o:spid="_x0000_s1026" o:spt="20" style="position:absolute;left:8916;top:825647;height:1380;width:6;"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3213]" joinstyle="round"/>
                        <v:imagedata o:title=""/>
                        <o:lock v:ext="edit" aspectratio="f"/>
                      </v:line>
                      <v:shape id="自选图形 12" o:spid="_x0000_s1026" o:spt="32" type="#_x0000_t32" style="position:absolute;left:8913;top:826618;flip:y;height:4;width:774;" filled="f" stroked="t" coordsize="21600,21600" o:gfxdata="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8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2" o:spid="_x0000_s1026" o:spt="32" type="#_x0000_t32" style="position:absolute;left:9999;top:826617;flip:y;height:2;width:462;" filled="f" stroked="t" coordsize="21600,21600" o:gfxdata="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z0q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5" o:spid="_x0000_s1026" o:spt="1" style="position:absolute;left:8998;top:826403;height:217;width:641;" fillcolor="#FFFFFF" filled="t" stroked="f" coordsize="21600,21600" o:gfxdata="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wfg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3DA3BC78">
                              <w:pPr>
                                <w:pStyle w:val="27"/>
                                <w:bidi w:val="0"/>
                                <w:rPr>
                                  <w:rFonts w:hint="default" w:eastAsia="宋体"/>
                                  <w:lang w:val="en-US" w:eastAsia="zh-CN"/>
                                </w:rPr>
                              </w:pPr>
                              <w:r>
                                <w:rPr>
                                  <w:rFonts w:hint="eastAsia"/>
                                  <w:lang w:val="en-US" w:eastAsia="zh-CN"/>
                                </w:rPr>
                                <w:t>0.187</w:t>
                              </w:r>
                            </w:p>
                          </w:txbxContent>
                        </v:textbox>
                      </v:rect>
                      <v:line id="_x0000_s1026" o:spid="_x0000_s1026" o:spt="20" style="position:absolute;left:8921;top:826042;height:4;width:663;" filled="f" stroked="t" coordsize="21600,21600" o:gfxdata="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KrXr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rect id="矩形 5" o:spid="_x0000_s1026" o:spt="1" style="position:absolute;left:8941;top:825850;height:217;width:641;" fillcolor="#FFFFFF" filled="t" stroked="f" coordsize="21600,21600" o:gfxdata="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u8G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60BAC2E5">
                              <w:pPr>
                                <w:pStyle w:val="27"/>
                                <w:bidi w:val="0"/>
                                <w:rPr>
                                  <w:rFonts w:hint="default" w:eastAsia="宋体"/>
                                  <w:lang w:val="en-US" w:eastAsia="zh-CN"/>
                                </w:rPr>
                              </w:pPr>
                              <w:r>
                                <w:rPr>
                                  <w:rFonts w:hint="eastAsia"/>
                                  <w:lang w:val="en-US" w:eastAsia="zh-CN"/>
                                </w:rPr>
                                <w:t>0.002</w:t>
                              </w:r>
                            </w:p>
                          </w:txbxContent>
                        </v:textbox>
                      </v:rect>
                      <v:rect id="矩形 5" o:spid="_x0000_s1026" o:spt="1" style="position:absolute;left:10399;top:827978;height:217;width:641;" fillcolor="#FFFFFF" filled="t" stroked="f" coordsize="21600,21600" o:gfxdata="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HGYO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25F42E2C">
                              <w:pPr>
                                <w:pStyle w:val="27"/>
                                <w:bidi w:val="0"/>
                                <w:rPr>
                                  <w:rFonts w:hint="default" w:eastAsia="宋体"/>
                                  <w:lang w:val="en-US" w:eastAsia="zh-CN"/>
                                </w:rPr>
                              </w:pPr>
                              <w:r>
                                <w:rPr>
                                  <w:rFonts w:hint="eastAsia"/>
                                  <w:lang w:val="en-US" w:eastAsia="zh-CN"/>
                                </w:rPr>
                                <w:t>5.29</w:t>
                              </w:r>
                            </w:p>
                          </w:txbxContent>
                        </v:textbox>
                      </v:rect>
                      <v:shape id="自选图形 12" o:spid="_x0000_s1026" o:spt="32" type="#_x0000_t32" style="position:absolute;left:9378;top:827146;height:861;width:0;" filled="f" stroked="t" coordsize="21600,21600" o:gfxdata="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bMmL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shape>
                      <v:shape id="自选图形 12" o:spid="_x0000_s1026" o:spt="32" type="#_x0000_t32" style="position:absolute;left:9389;top:827159;height:0;width:288;" filled="f" stroked="t" coordsize="21600,21600" o:gfxdata="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kf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2" o:spid="_x0000_s1026" o:spt="32" type="#_x0000_t32" style="position:absolute;left:4602;top:830682;flip:y;height:2;width:787;" filled="f" stroked="t" coordsize="21600,21600" o:gfxdata="UEsDBAoAAAAAAIdO4kAAAAAAAAAAAAAAAAAEAAAAZHJzL1BLAwQUAAAACACHTuJAey8iI7wAAADb&#10;AAAADwAAAGRycy9kb3ducmV2LnhtbEVPTWvCQBC9C/0PyxS8iNloa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Ii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9" o:spid="_x0000_s1026" o:spt="1" style="position:absolute;left:5389;top:830530;height:303;width:1331;" fillcolor="#FFFFFF" filled="t" stroked="t" coordsize="21600,21600" o:gfxdata="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6c/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06D04D9A">
                              <w:pPr>
                                <w:pStyle w:val="27"/>
                                <w:keepNext w:val="0"/>
                                <w:keepLines w:val="0"/>
                                <w:pageBreakBefore w:val="0"/>
                                <w:widowControl w:val="0"/>
                                <w:kinsoku/>
                                <w:wordWrap/>
                                <w:overflowPunct/>
                                <w:topLinePunct w:val="0"/>
                                <w:bidi w:val="0"/>
                                <w:adjustRightInd w:val="0"/>
                                <w:snapToGrid w:val="0"/>
                                <w:spacing w:line="240" w:lineRule="atLeast"/>
                                <w:textAlignment w:val="auto"/>
                              </w:pPr>
                              <w:r>
                                <w:rPr>
                                  <w:rFonts w:hint="eastAsia"/>
                                </w:rPr>
                                <w:t>员工生活</w:t>
                              </w:r>
                            </w:p>
                          </w:txbxContent>
                        </v:textbox>
                      </v:rect>
                      <v:shape id="自选图形 8" o:spid="_x0000_s1026" o:spt="38" type="#_x0000_t38" style="position:absolute;left:5891;top:830087;flip:y;height:418;width:530;" filled="f" stroked="t" coordsize="21600,21600" o:gfxdata="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yLOvQAA&#10;ANsAAAAPAAAAAAAAAAEAIAAAACIAAABkcnMvZG93bnJldi54bWxQSwECFAAUAAAACACHTuJAMy8F&#10;njsAAAA5AAAAEAAAAAAAAAABACAAAAAMAQAAZHJzL3NoYXBleG1sLnhtbFBLBQYAAAAABgAGAFsB&#10;AAC2AwAAAAA=&#10;" adj="10800">
                        <v:fill on="f" focussize="0,0"/>
                        <v:stroke color="#000000" joinstyle="round" dashstyle="dash" endarrow="block"/>
                        <v:imagedata o:title=""/>
                        <o:lock v:ext="edit" aspectratio="f"/>
                      </v:shape>
                      <v:shape id="自选图形 12" o:spid="_x0000_s1026" o:spt="32" type="#_x0000_t32" style="position:absolute;left:6717;top:830679;flip:y;height:7;width:1585;"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2" o:spid="_x0000_s1026" o:spt="32" type="#_x0000_t32" style="position:absolute;left:8302;top:829972;flip:x y;height:704;width:4;" filled="f" stroked="t" coordsize="21600,21600" o:gfxdata="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PCgy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自选图形 12" o:spid="_x0000_s1026" o:spt="32" type="#_x0000_t32" style="position:absolute;left:8669;top:829822;height:13;width:1752;"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2" o:spid="_x0000_s1026" o:spt="32" type="#_x0000_t32" style="position:absolute;left:10437;top:828245;flip:y;height:9;width:734;" filled="f" stroked="t" coordsize="21600,21600" o:gfxdata="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8BS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7FE0F928">
            <w:pPr>
              <w:keepNext w:val="0"/>
              <w:keepLines w:val="0"/>
              <w:suppressLineNumbers w:val="0"/>
              <w:spacing w:before="0" w:beforeAutospacing="0" w:after="0" w:afterAutospacing="0"/>
              <w:ind w:left="0" w:right="0"/>
              <w:rPr>
                <w:rFonts w:hint="default"/>
                <w:color w:val="auto"/>
                <w:highlight w:val="none"/>
              </w:rPr>
            </w:pPr>
          </w:p>
          <w:p w14:paraId="4B5684F5">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727D0C4D">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38977CF6">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7C9A39CF">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77A83808">
            <w:pPr>
              <w:keepNext w:val="0"/>
              <w:keepLines w:val="0"/>
              <w:suppressLineNumbers w:val="0"/>
              <w:spacing w:before="0" w:beforeAutospacing="0" w:after="0" w:afterAutospacing="0"/>
              <w:ind w:left="0" w:right="0"/>
              <w:rPr>
                <w:rFonts w:hint="default"/>
                <w:color w:val="auto"/>
                <w:sz w:val="24"/>
                <w:szCs w:val="24"/>
                <w:highlight w:val="none"/>
              </w:rPr>
            </w:pPr>
            <w:r>
              <w:rPr>
                <w:sz w:val="24"/>
              </w:rPr>
              <mc:AlternateContent>
                <mc:Choice Requires="wps">
                  <w:drawing>
                    <wp:anchor distT="0" distB="0" distL="114300" distR="114300" simplePos="0" relativeHeight="251672576" behindDoc="0" locked="0" layoutInCell="1" allowOverlap="1">
                      <wp:simplePos x="0" y="0"/>
                      <wp:positionH relativeFrom="column">
                        <wp:posOffset>4550410</wp:posOffset>
                      </wp:positionH>
                      <wp:positionV relativeFrom="paragraph">
                        <wp:posOffset>111760</wp:posOffset>
                      </wp:positionV>
                      <wp:extent cx="8890" cy="2054225"/>
                      <wp:effectExtent l="4445" t="0" r="5715" b="3175"/>
                      <wp:wrapNone/>
                      <wp:docPr id="4" name="直接连接符 4"/>
                      <wp:cNvGraphicFramePr/>
                      <a:graphic xmlns:a="http://schemas.openxmlformats.org/drawingml/2006/main">
                        <a:graphicData uri="http://schemas.microsoft.com/office/word/2010/wordprocessingShape">
                          <wps:wsp>
                            <wps:cNvCnPr/>
                            <wps:spPr>
                              <a:xfrm flipH="1">
                                <a:off x="5909945" y="2318385"/>
                                <a:ext cx="8890" cy="205422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358.3pt;margin-top:8.8pt;height:161.75pt;width:0.7pt;z-index:251672576;mso-width-relative:page;mso-height-relative:page;" filled="f" stroked="t" coordsize="21600,21600" o:gfxdata="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loU0jXAAAACgEAAA8AAAAAAAAAAQAgAAAAIgAAAGRycy9kb3ducmV2LnhtbFBLAQIUABQA&#10;AAAIAIdO4kDWMSxl8QEAALMDAAAOAAAAAAAAAAEAIAAAACYBAABkcnMvZTJvRG9jLnhtbFBLBQYA&#10;AAAABgAGAFkBAACJBQAAAAA=&#10;">
                      <v:fill on="f" focussize="0,0"/>
                      <v:stroke color="#000000 [3213]" joinstyle="round"/>
                      <v:imagedata o:title=""/>
                      <o:lock v:ext="edit" aspectratio="f"/>
                    </v:line>
                  </w:pict>
                </mc:Fallback>
              </mc:AlternateContent>
            </w:r>
          </w:p>
          <w:p w14:paraId="1957BEAA">
            <w:pPr>
              <w:pStyle w:val="8"/>
              <w:keepNext w:val="0"/>
              <w:keepLines w:val="0"/>
              <w:suppressLineNumbers w:val="0"/>
              <w:spacing w:beforeAutospacing="0" w:afterAutospacing="0"/>
              <w:ind w:left="0"/>
              <w:rPr>
                <w:rFonts w:hint="default"/>
                <w:color w:val="auto"/>
                <w:sz w:val="24"/>
                <w:szCs w:val="24"/>
                <w:highlight w:val="none"/>
              </w:rPr>
            </w:pPr>
          </w:p>
          <w:p w14:paraId="297DC34D">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color w:val="auto"/>
                <w:highlight w:val="none"/>
              </w:rPr>
            </w:pPr>
          </w:p>
          <w:p w14:paraId="42CF404B">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075F8108">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49087466">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3613A862">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4E3711AC">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0A11E6D9">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5AE2DD72">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0AFAD524">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2494CC28">
            <w:pPr>
              <w:keepNext w:val="0"/>
              <w:keepLines w:val="0"/>
              <w:suppressLineNumbers w:val="0"/>
              <w:spacing w:before="0" w:beforeAutospacing="0" w:after="0" w:afterAutospacing="0"/>
              <w:ind w:left="0" w:right="0"/>
              <w:rPr>
                <w:rFonts w:hint="default"/>
                <w:color w:val="auto"/>
                <w:sz w:val="24"/>
                <w:szCs w:val="24"/>
                <w:highlight w:val="none"/>
              </w:rPr>
            </w:pPr>
          </w:p>
          <w:p w14:paraId="57768A3B">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18E9A97E">
            <w:pPr>
              <w:pStyle w:val="26"/>
              <w:keepNext w:val="0"/>
              <w:keepLines w:val="0"/>
              <w:suppressLineNumbers w:val="0"/>
              <w:bidi w:val="0"/>
              <w:spacing w:before="0" w:beforeAutospacing="0" w:after="0" w:afterAutospacing="0"/>
              <w:ind w:left="0" w:right="0"/>
              <w:rPr>
                <w:rFonts w:hint="default"/>
                <w:color w:val="auto"/>
                <w:sz w:val="24"/>
                <w:szCs w:val="24"/>
                <w:highlight w:val="none"/>
              </w:rPr>
            </w:pPr>
          </w:p>
          <w:p w14:paraId="0619BDC4">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sz w:val="24"/>
                <w:szCs w:val="24"/>
                <w:highlight w:val="none"/>
              </w:rPr>
              <w:t>图2-</w:t>
            </w:r>
            <w:r>
              <w:rPr>
                <w:rFonts w:hint="eastAsia"/>
                <w:color w:val="auto"/>
                <w:sz w:val="24"/>
                <w:szCs w:val="24"/>
                <w:highlight w:val="none"/>
                <w:lang w:val="en-US" w:eastAsia="zh-CN"/>
              </w:rPr>
              <w:t xml:space="preserve">1 </w:t>
            </w:r>
            <w:r>
              <w:rPr>
                <w:rFonts w:hint="eastAsia"/>
                <w:color w:val="auto"/>
                <w:sz w:val="24"/>
                <w:szCs w:val="24"/>
                <w:highlight w:val="none"/>
              </w:rPr>
              <w:t xml:space="preserve"> </w:t>
            </w:r>
            <w:r>
              <w:rPr>
                <w:rFonts w:hint="default"/>
                <w:color w:val="auto"/>
                <w:sz w:val="24"/>
                <w:szCs w:val="24"/>
                <w:highlight w:val="none"/>
              </w:rPr>
              <w:t>本项目建成后水平衡图（单位：t/d）</w:t>
            </w:r>
          </w:p>
        </w:tc>
      </w:tr>
      <w:tr w14:paraId="45C4B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center"/>
          </w:tcPr>
          <w:p w14:paraId="7F60C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highlight w:val="none"/>
                <w:lang w:val="en-US" w:eastAsia="zh-CN"/>
              </w:rPr>
            </w:pPr>
            <w:r>
              <w:rPr>
                <w:rFonts w:hint="default" w:ascii="Times New Roman" w:hAnsi="Times New Roman"/>
                <w:color w:val="auto"/>
                <w:sz w:val="21"/>
                <w:szCs w:val="21"/>
                <w:highlight w:val="none"/>
                <w:lang w:val="en-US" w:eastAsia="zh-CN"/>
              </w:rPr>
              <w:t>工</w:t>
            </w:r>
            <w:r>
              <w:rPr>
                <w:rFonts w:hint="default"/>
                <w:color w:val="auto"/>
                <w:highlight w:val="none"/>
                <w:lang w:val="en-US" w:eastAsia="zh-CN"/>
              </w:rPr>
              <w:t>艺流程和产排污环节</w:t>
            </w:r>
          </w:p>
        </w:tc>
        <w:tc>
          <w:tcPr>
            <w:tcW w:w="8588" w:type="dxa"/>
            <w:noWrap w:val="0"/>
            <w:vAlign w:val="top"/>
          </w:tcPr>
          <w:p w14:paraId="5FB22FEC">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施工期</w:t>
            </w:r>
          </w:p>
          <w:p w14:paraId="5BF4A6EB">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本项目为租赁</w:t>
            </w:r>
            <w:r>
              <w:rPr>
                <w:rFonts w:hint="eastAsia"/>
                <w:color w:val="auto"/>
                <w:highlight w:val="none"/>
                <w:lang w:val="en-US" w:eastAsia="zh-CN"/>
              </w:rPr>
              <w:t>办公楼</w:t>
            </w:r>
            <w:r>
              <w:rPr>
                <w:rFonts w:hint="eastAsia"/>
                <w:color w:val="auto"/>
                <w:highlight w:val="none"/>
              </w:rPr>
              <w:t>，施工期已完成，仅进行简单的设备安装调试。</w:t>
            </w:r>
            <w:bookmarkStart w:id="4" w:name="_GoBack"/>
            <w:bookmarkEnd w:id="4"/>
          </w:p>
          <w:p w14:paraId="447CC72E">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营运期</w:t>
            </w:r>
          </w:p>
          <w:p w14:paraId="7ACD09A0">
            <w:pPr>
              <w:keepNext w:val="0"/>
              <w:keepLines w:val="0"/>
              <w:numPr>
                <w:ilvl w:val="0"/>
                <w:numId w:val="0"/>
              </w:numPr>
              <w:suppressLineNumbers w:val="0"/>
              <w:spacing w:before="0" w:beforeAutospacing="0" w:after="0" w:afterAutospacing="0" w:line="360" w:lineRule="auto"/>
              <w:ind w:left="0" w:leftChars="0" w:right="0" w:righ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首先拟定检测方案</w:t>
            </w:r>
            <w:r>
              <w:rPr>
                <w:rFonts w:hint="eastAsia" w:cs="Times New Roman"/>
                <w:color w:val="auto"/>
                <w:kern w:val="2"/>
                <w:sz w:val="24"/>
                <w:szCs w:val="24"/>
                <w:highlight w:val="none"/>
                <w:lang w:val="en-US" w:eastAsia="zh-CN" w:bidi="ar-SA"/>
              </w:rPr>
              <w:t>或根据甲方提供检测方案</w:t>
            </w:r>
            <w:r>
              <w:rPr>
                <w:rFonts w:hint="eastAsia" w:ascii="Times New Roman" w:hAnsi="Times New Roman" w:eastAsia="宋体" w:cs="Times New Roman"/>
                <w:color w:val="auto"/>
                <w:kern w:val="2"/>
                <w:sz w:val="24"/>
                <w:szCs w:val="24"/>
                <w:highlight w:val="none"/>
                <w:lang w:val="en-US" w:eastAsia="zh-CN" w:bidi="ar-SA"/>
              </w:rPr>
              <w:t>，按照方案组织实施，依据方案进行现场采样及现场检测，样品交接后对样品进行处理，根据各类实验结果进行样品分析，接着进行质量控制，最后计算、编制报告、发放报告。</w:t>
            </w:r>
          </w:p>
          <w:p w14:paraId="1AEADC9B">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00F7DAD1">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42D5A702">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304B4805">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6C963613">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38EA0D68">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68F2C34E">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1624F4FA">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2677464C">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488D3997">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52A3AA74">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r>
              <w:rPr>
                <w:rFonts w:hint="default"/>
                <w:color w:val="auto"/>
                <w:sz w:val="24"/>
                <w:highlight w:val="none"/>
              </w:rPr>
              <mc:AlternateContent>
                <mc:Choice Requires="wpg">
                  <w:drawing>
                    <wp:anchor distT="0" distB="0" distL="114300" distR="114300" simplePos="0" relativeHeight="251660288" behindDoc="0" locked="0" layoutInCell="1" allowOverlap="1">
                      <wp:simplePos x="0" y="0"/>
                      <wp:positionH relativeFrom="column">
                        <wp:posOffset>265430</wp:posOffset>
                      </wp:positionH>
                      <wp:positionV relativeFrom="paragraph">
                        <wp:posOffset>-23495</wp:posOffset>
                      </wp:positionV>
                      <wp:extent cx="4965065" cy="5832475"/>
                      <wp:effectExtent l="0" t="0" r="0" b="15875"/>
                      <wp:wrapNone/>
                      <wp:docPr id="184" name="组合 184"/>
                      <wp:cNvGraphicFramePr/>
                      <a:graphic xmlns:a="http://schemas.openxmlformats.org/drawingml/2006/main">
                        <a:graphicData uri="http://schemas.microsoft.com/office/word/2010/wordprocessingGroup">
                          <wpg:wgp>
                            <wpg:cNvGrpSpPr/>
                            <wpg:grpSpPr>
                              <a:xfrm>
                                <a:off x="0" y="0"/>
                                <a:ext cx="4965065" cy="5832475"/>
                                <a:chOff x="8218" y="842735"/>
                                <a:chExt cx="7819" cy="9185"/>
                              </a:xfrm>
                            </wpg:grpSpPr>
                            <wps:wsp>
                              <wps:cNvPr id="153" name="矩形 469"/>
                              <wps:cNvSpPr/>
                              <wps:spPr>
                                <a:xfrm>
                                  <a:off x="11386" y="843588"/>
                                  <a:ext cx="1287"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49FB30">
                                    <w:pPr>
                                      <w:pStyle w:val="27"/>
                                      <w:bidi w:val="0"/>
                                      <w:rPr>
                                        <w:rFonts w:hint="eastAsia" w:eastAsia="宋体"/>
                                        <w:lang w:val="en-US" w:eastAsia="zh-CN"/>
                                      </w:rPr>
                                    </w:pPr>
                                    <w:r>
                                      <w:rPr>
                                        <w:rFonts w:hint="eastAsia"/>
                                        <w:lang w:val="en-US" w:eastAsia="zh-CN"/>
                                      </w:rPr>
                                      <w:t>现场勘察</w:t>
                                    </w:r>
                                  </w:p>
                                </w:txbxContent>
                              </wps:txbx>
                              <wps:bodyPr wrap="square" upright="1"/>
                            </wps:wsp>
                            <wps:wsp>
                              <wps:cNvPr id="154" name="矩形 470"/>
                              <wps:cNvSpPr/>
                              <wps:spPr>
                                <a:xfrm>
                                  <a:off x="11359" y="842735"/>
                                  <a:ext cx="1287" cy="433"/>
                                </a:xfrm>
                                <a:prstGeom prst="rect">
                                  <a:avLst/>
                                </a:prstGeom>
                                <a:solidFill>
                                  <a:srgbClr val="FFFFFF">
                                    <a:alpha val="0"/>
                                  </a:srgbClr>
                                </a:solidFill>
                                <a:ln>
                                  <a:noFill/>
                                </a:ln>
                              </wps:spPr>
                              <wps:txbx>
                                <w:txbxContent>
                                  <w:p w14:paraId="5D4F9A46">
                                    <w:pPr>
                                      <w:pStyle w:val="27"/>
                                      <w:bidi w:val="0"/>
                                    </w:pPr>
                                    <w:r>
                                      <w:rPr>
                                        <w:rFonts w:hint="eastAsia"/>
                                        <w:lang w:val="en-US" w:eastAsia="zh-CN"/>
                                      </w:rPr>
                                      <w:t>接受委托</w:t>
                                    </w:r>
                                  </w:p>
                                </w:txbxContent>
                              </wps:txbx>
                              <wps:bodyPr wrap="square" upright="1"/>
                            </wps:wsp>
                            <wps:wsp>
                              <wps:cNvPr id="155" name="自选图形 471"/>
                              <wps:cNvCnPr/>
                              <wps:spPr>
                                <a:xfrm>
                                  <a:off x="11990" y="843087"/>
                                  <a:ext cx="0" cy="447"/>
                                </a:xfrm>
                                <a:prstGeom prst="straightConnector1">
                                  <a:avLst/>
                                </a:prstGeom>
                                <a:ln w="9525" cap="flat" cmpd="sng">
                                  <a:solidFill>
                                    <a:srgbClr val="000000"/>
                                  </a:solidFill>
                                  <a:prstDash val="solid"/>
                                  <a:headEnd type="none" w="med" len="med"/>
                                  <a:tailEnd type="triangle" w="med" len="med"/>
                                </a:ln>
                              </wps:spPr>
                              <wps:bodyPr/>
                            </wps:wsp>
                            <wps:wsp>
                              <wps:cNvPr id="156" name="自选图形 472"/>
                              <wps:cNvCnPr/>
                              <wps:spPr>
                                <a:xfrm>
                                  <a:off x="12008" y="844021"/>
                                  <a:ext cx="0" cy="447"/>
                                </a:xfrm>
                                <a:prstGeom prst="straightConnector1">
                                  <a:avLst/>
                                </a:prstGeom>
                                <a:ln w="9525" cap="flat" cmpd="sng">
                                  <a:solidFill>
                                    <a:srgbClr val="000000"/>
                                  </a:solidFill>
                                  <a:prstDash val="solid"/>
                                  <a:headEnd type="none" w="med" len="med"/>
                                  <a:tailEnd type="triangle" w="med" len="med"/>
                                </a:ln>
                              </wps:spPr>
                              <wps:bodyPr/>
                            </wps:wsp>
                            <wps:wsp>
                              <wps:cNvPr id="157" name="矩形 473"/>
                              <wps:cNvSpPr/>
                              <wps:spPr>
                                <a:xfrm>
                                  <a:off x="11187" y="844468"/>
                                  <a:ext cx="1739"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D13E0">
                                    <w:pPr>
                                      <w:pStyle w:val="27"/>
                                      <w:bidi w:val="0"/>
                                      <w:rPr>
                                        <w:rFonts w:hint="eastAsia" w:eastAsia="宋体"/>
                                        <w:lang w:val="en-US" w:eastAsia="zh-CN"/>
                                      </w:rPr>
                                    </w:pPr>
                                    <w:r>
                                      <w:rPr>
                                        <w:rFonts w:hint="eastAsia"/>
                                        <w:lang w:val="en-US" w:eastAsia="zh-CN"/>
                                      </w:rPr>
                                      <w:t>编制监测方案</w:t>
                                    </w:r>
                                  </w:p>
                                </w:txbxContent>
                              </wps:txbx>
                              <wps:bodyPr wrap="square" upright="1"/>
                            </wps:wsp>
                            <wps:wsp>
                              <wps:cNvPr id="158" name="自选图形 474"/>
                              <wps:cNvCnPr/>
                              <wps:spPr>
                                <a:xfrm>
                                  <a:off x="12082" y="844900"/>
                                  <a:ext cx="0" cy="447"/>
                                </a:xfrm>
                                <a:prstGeom prst="straightConnector1">
                                  <a:avLst/>
                                </a:prstGeom>
                                <a:ln w="9525" cap="flat" cmpd="sng">
                                  <a:solidFill>
                                    <a:srgbClr val="000000"/>
                                  </a:solidFill>
                                  <a:prstDash val="solid"/>
                                  <a:headEnd type="none" w="med" len="med"/>
                                  <a:tailEnd type="triangle" w="med" len="med"/>
                                </a:ln>
                              </wps:spPr>
                              <wps:bodyPr/>
                            </wps:wsp>
                            <wps:wsp>
                              <wps:cNvPr id="159" name="矩形 475"/>
                              <wps:cNvSpPr/>
                              <wps:spPr>
                                <a:xfrm>
                                  <a:off x="11116" y="845348"/>
                                  <a:ext cx="181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7E8CE">
                                    <w:pPr>
                                      <w:pStyle w:val="27"/>
                                      <w:bidi w:val="0"/>
                                      <w:rPr>
                                        <w:rFonts w:hint="eastAsia" w:eastAsia="宋体"/>
                                        <w:lang w:val="en-US" w:eastAsia="zh-CN"/>
                                      </w:rPr>
                                    </w:pPr>
                                    <w:r>
                                      <w:rPr>
                                        <w:rFonts w:hint="eastAsia"/>
                                        <w:lang w:val="en-US" w:eastAsia="zh-CN"/>
                                      </w:rPr>
                                      <w:t>开展现场监测</w:t>
                                    </w:r>
                                  </w:p>
                                </w:txbxContent>
                              </wps:txbx>
                              <wps:bodyPr wrap="square" upright="1"/>
                            </wps:wsp>
                            <wps:wsp>
                              <wps:cNvPr id="162" name="自选图形 478"/>
                              <wps:cNvCnPr/>
                              <wps:spPr>
                                <a:xfrm flipH="1">
                                  <a:off x="12075" y="845790"/>
                                  <a:ext cx="7" cy="431"/>
                                </a:xfrm>
                                <a:prstGeom prst="straightConnector1">
                                  <a:avLst/>
                                </a:prstGeom>
                                <a:ln w="6350" cap="flat" cmpd="sng">
                                  <a:solidFill>
                                    <a:srgbClr val="000000"/>
                                  </a:solidFill>
                                  <a:prstDash val="solid"/>
                                  <a:headEnd type="none" w="med" len="med"/>
                                  <a:tailEnd type="triangle" w="med" len="med"/>
                                </a:ln>
                              </wps:spPr>
                              <wps:bodyPr/>
                            </wps:wsp>
                            <wps:wsp>
                              <wps:cNvPr id="163" name="矩形 479"/>
                              <wps:cNvSpPr/>
                              <wps:spPr>
                                <a:xfrm>
                                  <a:off x="9153" y="846643"/>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F7B3BB">
                                    <w:pPr>
                                      <w:pStyle w:val="27"/>
                                      <w:bidi w:val="0"/>
                                      <w:rPr>
                                        <w:rFonts w:hint="eastAsia" w:eastAsia="宋体"/>
                                        <w:lang w:eastAsia="zh-CN"/>
                                      </w:rPr>
                                    </w:pPr>
                                    <w:r>
                                      <w:rPr>
                                        <w:rFonts w:hint="eastAsia"/>
                                        <w:lang w:val="en-US" w:eastAsia="zh-CN"/>
                                      </w:rPr>
                                      <w:t>水样</w:t>
                                    </w:r>
                                  </w:p>
                                </w:txbxContent>
                              </wps:txbx>
                              <wps:bodyPr wrap="square" upright="1"/>
                            </wps:wsp>
                            <wps:wsp>
                              <wps:cNvPr id="85" name="矩形 479"/>
                              <wps:cNvSpPr/>
                              <wps:spPr>
                                <a:xfrm>
                                  <a:off x="11172" y="849718"/>
                                  <a:ext cx="199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7BEFC1">
                                    <w:pPr>
                                      <w:pStyle w:val="27"/>
                                      <w:bidi w:val="0"/>
                                      <w:rPr>
                                        <w:rFonts w:hint="default" w:eastAsia="宋体"/>
                                        <w:lang w:val="en-US" w:eastAsia="zh-CN"/>
                                      </w:rPr>
                                    </w:pPr>
                                    <w:r>
                                      <w:rPr>
                                        <w:rFonts w:hint="eastAsia"/>
                                        <w:lang w:val="en-US" w:eastAsia="zh-CN"/>
                                      </w:rPr>
                                      <w:t>整理监测数据</w:t>
                                    </w:r>
                                  </w:p>
                                </w:txbxContent>
                              </wps:txbx>
                              <wps:bodyPr wrap="square" upright="1"/>
                            </wps:wsp>
                            <wps:wsp>
                              <wps:cNvPr id="92" name="自选图形 478"/>
                              <wps:cNvCnPr/>
                              <wps:spPr>
                                <a:xfrm>
                                  <a:off x="12188" y="851028"/>
                                  <a:ext cx="0" cy="447"/>
                                </a:xfrm>
                                <a:prstGeom prst="straightConnector1">
                                  <a:avLst/>
                                </a:prstGeom>
                                <a:ln w="9525" cap="flat" cmpd="sng">
                                  <a:solidFill>
                                    <a:srgbClr val="000000"/>
                                  </a:solidFill>
                                  <a:prstDash val="solid"/>
                                  <a:headEnd type="none" w="med" len="med"/>
                                  <a:tailEnd type="triangle" w="med" len="med"/>
                                </a:ln>
                              </wps:spPr>
                              <wps:bodyPr/>
                            </wps:wsp>
                            <wps:wsp>
                              <wps:cNvPr id="137" name="矩形 479"/>
                              <wps:cNvSpPr/>
                              <wps:spPr>
                                <a:xfrm>
                                  <a:off x="10594" y="846643"/>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B46C58">
                                    <w:pPr>
                                      <w:pStyle w:val="27"/>
                                      <w:bidi w:val="0"/>
                                      <w:rPr>
                                        <w:rFonts w:hint="eastAsia" w:eastAsia="宋体"/>
                                        <w:lang w:eastAsia="zh-CN"/>
                                      </w:rPr>
                                    </w:pPr>
                                    <w:r>
                                      <w:rPr>
                                        <w:rFonts w:hint="eastAsia"/>
                                        <w:lang w:val="en-US" w:eastAsia="zh-CN"/>
                                      </w:rPr>
                                      <w:t>气样</w:t>
                                    </w:r>
                                  </w:p>
                                </w:txbxContent>
                              </wps:txbx>
                              <wps:bodyPr wrap="square" upright="1"/>
                            </wps:wsp>
                            <wps:wsp>
                              <wps:cNvPr id="138" name="矩形 479"/>
                              <wps:cNvSpPr/>
                              <wps:spPr>
                                <a:xfrm>
                                  <a:off x="11982" y="846660"/>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E77EBB">
                                    <w:pPr>
                                      <w:pStyle w:val="27"/>
                                      <w:bidi w:val="0"/>
                                      <w:rPr>
                                        <w:rFonts w:hint="eastAsia" w:eastAsia="宋体"/>
                                        <w:lang w:eastAsia="zh-CN"/>
                                      </w:rPr>
                                    </w:pPr>
                                    <w:r>
                                      <w:rPr>
                                        <w:rFonts w:hint="eastAsia"/>
                                        <w:lang w:val="en-US" w:eastAsia="zh-CN"/>
                                      </w:rPr>
                                      <w:t>土壤样</w:t>
                                    </w:r>
                                  </w:p>
                                </w:txbxContent>
                              </wps:txbx>
                              <wps:bodyPr wrap="square" upright="1"/>
                            </wps:wsp>
                            <wps:wsp>
                              <wps:cNvPr id="139" name="矩形 479"/>
                              <wps:cNvSpPr/>
                              <wps:spPr>
                                <a:xfrm>
                                  <a:off x="13519" y="846654"/>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B0444A">
                                    <w:pPr>
                                      <w:pStyle w:val="27"/>
                                      <w:bidi w:val="0"/>
                                      <w:rPr>
                                        <w:rFonts w:hint="eastAsia" w:eastAsia="宋体"/>
                                        <w:lang w:eastAsia="zh-CN"/>
                                      </w:rPr>
                                    </w:pPr>
                                    <w:r>
                                      <w:rPr>
                                        <w:rFonts w:hint="eastAsia"/>
                                        <w:lang w:val="en-US" w:eastAsia="zh-CN"/>
                                      </w:rPr>
                                      <w:t>噪声</w:t>
                                    </w:r>
                                  </w:p>
                                </w:txbxContent>
                              </wps:txbx>
                              <wps:bodyPr wrap="square" upright="1"/>
                            </wps:wsp>
                            <wps:wsp>
                              <wps:cNvPr id="140" name="直接连接符 140"/>
                              <wps:cNvCnPr/>
                              <wps:spPr>
                                <a:xfrm flipV="1">
                                  <a:off x="9688" y="846217"/>
                                  <a:ext cx="4345" cy="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1" name="自选图形 478"/>
                              <wps:cNvCnPr/>
                              <wps:spPr>
                                <a:xfrm>
                                  <a:off x="9692" y="846216"/>
                                  <a:ext cx="4" cy="436"/>
                                </a:xfrm>
                                <a:prstGeom prst="straightConnector1">
                                  <a:avLst/>
                                </a:prstGeom>
                                <a:ln w="9525" cap="flat" cmpd="sng">
                                  <a:solidFill>
                                    <a:srgbClr val="000000"/>
                                  </a:solidFill>
                                  <a:prstDash val="solid"/>
                                  <a:headEnd type="none" w="med" len="med"/>
                                  <a:tailEnd type="triangle" w="med" len="med"/>
                                </a:ln>
                              </wps:spPr>
                              <wps:bodyPr/>
                            </wps:wsp>
                            <wps:wsp>
                              <wps:cNvPr id="142" name="自选图形 478"/>
                              <wps:cNvCnPr/>
                              <wps:spPr>
                                <a:xfrm flipH="1">
                                  <a:off x="11129" y="846223"/>
                                  <a:ext cx="13" cy="403"/>
                                </a:xfrm>
                                <a:prstGeom prst="straightConnector1">
                                  <a:avLst/>
                                </a:prstGeom>
                                <a:ln w="9525" cap="flat" cmpd="sng">
                                  <a:solidFill>
                                    <a:srgbClr val="000000"/>
                                  </a:solidFill>
                                  <a:prstDash val="solid"/>
                                  <a:headEnd type="none" w="med" len="med"/>
                                  <a:tailEnd type="triangle" w="med" len="med"/>
                                </a:ln>
                              </wps:spPr>
                              <wps:bodyPr/>
                            </wps:wsp>
                            <wps:wsp>
                              <wps:cNvPr id="143" name="自选图形 478"/>
                              <wps:cNvCnPr/>
                              <wps:spPr>
                                <a:xfrm>
                                  <a:off x="12511" y="846225"/>
                                  <a:ext cx="1" cy="428"/>
                                </a:xfrm>
                                <a:prstGeom prst="straightConnector1">
                                  <a:avLst/>
                                </a:prstGeom>
                                <a:ln w="9525" cap="flat" cmpd="sng">
                                  <a:solidFill>
                                    <a:srgbClr val="000000"/>
                                  </a:solidFill>
                                  <a:prstDash val="solid"/>
                                  <a:headEnd type="none" w="med" len="med"/>
                                  <a:tailEnd type="triangle" w="med" len="med"/>
                                </a:ln>
                              </wps:spPr>
                              <wps:bodyPr/>
                            </wps:wsp>
                            <wps:wsp>
                              <wps:cNvPr id="144" name="自选图形 478"/>
                              <wps:cNvCnPr/>
                              <wps:spPr>
                                <a:xfrm>
                                  <a:off x="14051" y="846216"/>
                                  <a:ext cx="4" cy="439"/>
                                </a:xfrm>
                                <a:prstGeom prst="straightConnector1">
                                  <a:avLst/>
                                </a:prstGeom>
                                <a:ln w="9525" cap="flat" cmpd="sng">
                                  <a:solidFill>
                                    <a:srgbClr val="000000"/>
                                  </a:solidFill>
                                  <a:prstDash val="solid"/>
                                  <a:headEnd type="none" w="med" len="med"/>
                                  <a:tailEnd type="triangle" w="med" len="med"/>
                                </a:ln>
                              </wps:spPr>
                              <wps:bodyPr/>
                            </wps:wsp>
                            <wps:wsp>
                              <wps:cNvPr id="145" name="自选图形 478"/>
                              <wps:cNvCnPr/>
                              <wps:spPr>
                                <a:xfrm>
                                  <a:off x="9692" y="847086"/>
                                  <a:ext cx="4" cy="436"/>
                                </a:xfrm>
                                <a:prstGeom prst="straightConnector1">
                                  <a:avLst/>
                                </a:prstGeom>
                                <a:ln w="9525" cap="flat" cmpd="sng">
                                  <a:solidFill>
                                    <a:srgbClr val="000000"/>
                                  </a:solidFill>
                                  <a:prstDash val="solid"/>
                                  <a:headEnd type="none" w="med" len="med"/>
                                  <a:tailEnd type="triangle" w="med" len="med"/>
                                </a:ln>
                              </wps:spPr>
                              <wps:bodyPr/>
                            </wps:wsp>
                            <wps:wsp>
                              <wps:cNvPr id="146" name="自选图形 478"/>
                              <wps:cNvCnPr/>
                              <wps:spPr>
                                <a:xfrm>
                                  <a:off x="11130" y="847073"/>
                                  <a:ext cx="4" cy="436"/>
                                </a:xfrm>
                                <a:prstGeom prst="straightConnector1">
                                  <a:avLst/>
                                </a:prstGeom>
                                <a:ln w="9525" cap="flat" cmpd="sng">
                                  <a:solidFill>
                                    <a:srgbClr val="000000"/>
                                  </a:solidFill>
                                  <a:prstDash val="solid"/>
                                  <a:headEnd type="none" w="med" len="med"/>
                                  <a:tailEnd type="triangle" w="med" len="med"/>
                                </a:ln>
                              </wps:spPr>
                              <wps:bodyPr/>
                            </wps:wsp>
                            <wps:wsp>
                              <wps:cNvPr id="147" name="自选图形 478"/>
                              <wps:cNvCnPr/>
                              <wps:spPr>
                                <a:xfrm>
                                  <a:off x="12521" y="847099"/>
                                  <a:ext cx="12" cy="392"/>
                                </a:xfrm>
                                <a:prstGeom prst="straightConnector1">
                                  <a:avLst/>
                                </a:prstGeom>
                                <a:ln w="9525" cap="flat" cmpd="sng">
                                  <a:solidFill>
                                    <a:srgbClr val="000000"/>
                                  </a:solidFill>
                                  <a:prstDash val="solid"/>
                                  <a:headEnd type="none" w="med" len="med"/>
                                  <a:tailEnd type="triangle" w="med" len="med"/>
                                </a:ln>
                              </wps:spPr>
                              <wps:bodyPr/>
                            </wps:wsp>
                            <wps:wsp>
                              <wps:cNvPr id="148" name="自选图形 478"/>
                              <wps:cNvCnPr/>
                              <wps:spPr>
                                <a:xfrm>
                                  <a:off x="14057" y="847088"/>
                                  <a:ext cx="4" cy="2173"/>
                                </a:xfrm>
                                <a:prstGeom prst="straightConnector1">
                                  <a:avLst/>
                                </a:prstGeom>
                                <a:ln w="9525" cap="flat" cmpd="sng">
                                  <a:solidFill>
                                    <a:srgbClr val="000000"/>
                                  </a:solidFill>
                                  <a:prstDash val="solid"/>
                                  <a:headEnd type="none" w="med" len="med"/>
                                  <a:tailEnd type="triangle" w="med" len="med"/>
                                </a:ln>
                              </wps:spPr>
                              <wps:bodyPr/>
                            </wps:wsp>
                            <wps:wsp>
                              <wps:cNvPr id="149" name="矩形 479"/>
                              <wps:cNvSpPr/>
                              <wps:spPr>
                                <a:xfrm>
                                  <a:off x="9168" y="847498"/>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761762">
                                    <w:pPr>
                                      <w:pStyle w:val="27"/>
                                      <w:bidi w:val="0"/>
                                      <w:rPr>
                                        <w:rFonts w:hint="eastAsia" w:eastAsia="宋体"/>
                                        <w:lang w:eastAsia="zh-CN"/>
                                      </w:rPr>
                                    </w:pPr>
                                    <w:r>
                                      <w:rPr>
                                        <w:rFonts w:hint="eastAsia"/>
                                        <w:lang w:val="en-US" w:eastAsia="zh-CN"/>
                                      </w:rPr>
                                      <w:t>预处理</w:t>
                                    </w:r>
                                  </w:p>
                                </w:txbxContent>
                              </wps:txbx>
                              <wps:bodyPr wrap="square" upright="1"/>
                            </wps:wsp>
                            <wps:wsp>
                              <wps:cNvPr id="150" name="矩形 479"/>
                              <wps:cNvSpPr/>
                              <wps:spPr>
                                <a:xfrm>
                                  <a:off x="10603" y="847499"/>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551725">
                                    <w:pPr>
                                      <w:pStyle w:val="27"/>
                                      <w:bidi w:val="0"/>
                                      <w:rPr>
                                        <w:rFonts w:hint="eastAsia" w:eastAsia="宋体"/>
                                        <w:lang w:eastAsia="zh-CN"/>
                                      </w:rPr>
                                    </w:pPr>
                                    <w:r>
                                      <w:rPr>
                                        <w:rFonts w:hint="eastAsia"/>
                                        <w:lang w:val="en-US" w:eastAsia="zh-CN"/>
                                      </w:rPr>
                                      <w:t>预处理</w:t>
                                    </w:r>
                                  </w:p>
                                </w:txbxContent>
                              </wps:txbx>
                              <wps:bodyPr wrap="square" upright="1"/>
                            </wps:wsp>
                            <wps:wsp>
                              <wps:cNvPr id="151" name="矩形 479"/>
                              <wps:cNvSpPr/>
                              <wps:spPr>
                                <a:xfrm>
                                  <a:off x="11983" y="847494"/>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CA38CE">
                                    <w:pPr>
                                      <w:pStyle w:val="27"/>
                                      <w:bidi w:val="0"/>
                                      <w:rPr>
                                        <w:rFonts w:hint="eastAsia" w:eastAsia="宋体"/>
                                        <w:lang w:eastAsia="zh-CN"/>
                                      </w:rPr>
                                    </w:pPr>
                                    <w:r>
                                      <w:rPr>
                                        <w:rFonts w:hint="eastAsia"/>
                                        <w:lang w:val="en-US" w:eastAsia="zh-CN"/>
                                      </w:rPr>
                                      <w:t>预处理</w:t>
                                    </w:r>
                                  </w:p>
                                </w:txbxContent>
                              </wps:txbx>
                              <wps:bodyPr wrap="square" upright="1"/>
                            </wps:wsp>
                            <wps:wsp>
                              <wps:cNvPr id="160" name="自选图形 478"/>
                              <wps:cNvCnPr/>
                              <wps:spPr>
                                <a:xfrm>
                                  <a:off x="9722" y="847941"/>
                                  <a:ext cx="4" cy="436"/>
                                </a:xfrm>
                                <a:prstGeom prst="straightConnector1">
                                  <a:avLst/>
                                </a:prstGeom>
                                <a:ln w="9525" cap="flat" cmpd="sng">
                                  <a:solidFill>
                                    <a:srgbClr val="000000"/>
                                  </a:solidFill>
                                  <a:prstDash val="solid"/>
                                  <a:headEnd type="none" w="med" len="med"/>
                                  <a:tailEnd type="triangle" w="med" len="med"/>
                                </a:ln>
                              </wps:spPr>
                              <wps:bodyPr/>
                            </wps:wsp>
                            <wps:wsp>
                              <wps:cNvPr id="161" name="自选图形 478"/>
                              <wps:cNvCnPr/>
                              <wps:spPr>
                                <a:xfrm>
                                  <a:off x="11145" y="847943"/>
                                  <a:ext cx="4" cy="436"/>
                                </a:xfrm>
                                <a:prstGeom prst="straightConnector1">
                                  <a:avLst/>
                                </a:prstGeom>
                                <a:ln w="9525" cap="flat" cmpd="sng">
                                  <a:solidFill>
                                    <a:srgbClr val="000000"/>
                                  </a:solidFill>
                                  <a:prstDash val="solid"/>
                                  <a:headEnd type="none" w="med" len="med"/>
                                  <a:tailEnd type="triangle" w="med" len="med"/>
                                </a:ln>
                              </wps:spPr>
                              <wps:bodyPr/>
                            </wps:wsp>
                            <wps:wsp>
                              <wps:cNvPr id="173" name="自选图形 478"/>
                              <wps:cNvCnPr/>
                              <wps:spPr>
                                <a:xfrm>
                                  <a:off x="12174" y="850151"/>
                                  <a:ext cx="4" cy="436"/>
                                </a:xfrm>
                                <a:prstGeom prst="straightConnector1">
                                  <a:avLst/>
                                </a:prstGeom>
                                <a:ln w="9525" cap="flat" cmpd="sng">
                                  <a:solidFill>
                                    <a:srgbClr val="000000"/>
                                  </a:solidFill>
                                  <a:prstDash val="solid"/>
                                  <a:headEnd type="none" w="med" len="med"/>
                                  <a:tailEnd type="triangle" w="med" len="med"/>
                                </a:ln>
                              </wps:spPr>
                              <wps:bodyPr/>
                            </wps:wsp>
                            <wps:wsp>
                              <wps:cNvPr id="164" name="自选图形 478"/>
                              <wps:cNvCnPr/>
                              <wps:spPr>
                                <a:xfrm>
                                  <a:off x="12516" y="847932"/>
                                  <a:ext cx="4" cy="436"/>
                                </a:xfrm>
                                <a:prstGeom prst="straightConnector1">
                                  <a:avLst/>
                                </a:prstGeom>
                                <a:ln w="9525" cap="flat" cmpd="sng">
                                  <a:solidFill>
                                    <a:srgbClr val="000000"/>
                                  </a:solidFill>
                                  <a:prstDash val="solid"/>
                                  <a:headEnd type="none" w="med" len="med"/>
                                  <a:tailEnd type="triangle" w="med" len="med"/>
                                </a:ln>
                              </wps:spPr>
                              <wps:bodyPr/>
                            </wps:wsp>
                            <wps:wsp>
                              <wps:cNvPr id="183" name="矩形 470"/>
                              <wps:cNvSpPr/>
                              <wps:spPr>
                                <a:xfrm>
                                  <a:off x="14773" y="847107"/>
                                  <a:ext cx="1265" cy="1431"/>
                                </a:xfrm>
                                <a:prstGeom prst="rect">
                                  <a:avLst/>
                                </a:prstGeom>
                                <a:solidFill>
                                  <a:srgbClr val="FFFFFF">
                                    <a:alpha val="0"/>
                                  </a:srgbClr>
                                </a:solidFill>
                                <a:ln>
                                  <a:noFill/>
                                </a:ln>
                              </wps:spPr>
                              <wps:txbx>
                                <w:txbxContent>
                                  <w:p w14:paraId="03097F84">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有机废气G1，氯化氢G2，</w:t>
                                    </w:r>
                                  </w:p>
                                  <w:p w14:paraId="23828B5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硫酸雾G3,</w:t>
                                    </w:r>
                                  </w:p>
                                  <w:p w14:paraId="6798568F">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wps:txbx>
                              <wps:bodyPr wrap="square" lIns="0" tIns="0" rIns="0" bIns="0" upright="1"/>
                            </wps:wsp>
                            <wps:wsp>
                              <wps:cNvPr id="165" name="矩形 479"/>
                              <wps:cNvSpPr/>
                              <wps:spPr>
                                <a:xfrm>
                                  <a:off x="9198" y="848368"/>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6D577">
                                    <w:pPr>
                                      <w:pStyle w:val="27"/>
                                      <w:bidi w:val="0"/>
                                      <w:rPr>
                                        <w:rFonts w:hint="eastAsia" w:eastAsia="宋体"/>
                                        <w:lang w:eastAsia="zh-CN"/>
                                      </w:rPr>
                                    </w:pPr>
                                    <w:r>
                                      <w:rPr>
                                        <w:rFonts w:hint="eastAsia"/>
                                        <w:lang w:val="en-US" w:eastAsia="zh-CN"/>
                                      </w:rPr>
                                      <w:t>化验</w:t>
                                    </w:r>
                                  </w:p>
                                </w:txbxContent>
                              </wps:txbx>
                              <wps:bodyPr wrap="square" upright="1"/>
                            </wps:wsp>
                            <wps:wsp>
                              <wps:cNvPr id="167" name="矩形 479"/>
                              <wps:cNvSpPr/>
                              <wps:spPr>
                                <a:xfrm>
                                  <a:off x="11992" y="848373"/>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00953D">
                                    <w:pPr>
                                      <w:pStyle w:val="27"/>
                                      <w:bidi w:val="0"/>
                                      <w:rPr>
                                        <w:rFonts w:hint="eastAsia" w:eastAsia="宋体"/>
                                        <w:lang w:eastAsia="zh-CN"/>
                                      </w:rPr>
                                    </w:pPr>
                                    <w:r>
                                      <w:rPr>
                                        <w:rFonts w:hint="eastAsia"/>
                                        <w:lang w:val="en-US" w:eastAsia="zh-CN"/>
                                      </w:rPr>
                                      <w:t>化验</w:t>
                                    </w:r>
                                  </w:p>
                                </w:txbxContent>
                              </wps:txbx>
                              <wps:bodyPr wrap="square" upright="1"/>
                            </wps:wsp>
                            <wps:wsp>
                              <wps:cNvPr id="171" name="自选图形 478"/>
                              <wps:cNvCnPr/>
                              <wps:spPr>
                                <a:xfrm>
                                  <a:off x="12159" y="849281"/>
                                  <a:ext cx="4" cy="436"/>
                                </a:xfrm>
                                <a:prstGeom prst="straightConnector1">
                                  <a:avLst/>
                                </a:prstGeom>
                                <a:ln w="9525" cap="flat" cmpd="sng">
                                  <a:solidFill>
                                    <a:srgbClr val="000000"/>
                                  </a:solidFill>
                                  <a:prstDash val="solid"/>
                                  <a:headEnd type="none" w="med" len="med"/>
                                  <a:tailEnd type="triangle" w="med" len="med"/>
                                </a:ln>
                              </wps:spPr>
                              <wps:bodyPr/>
                            </wps:wsp>
                            <wps:wsp>
                              <wps:cNvPr id="179" name="自选图形 478"/>
                              <wps:cNvCnPr/>
                              <wps:spPr>
                                <a:xfrm flipV="1">
                                  <a:off x="8713" y="848579"/>
                                  <a:ext cx="477" cy="5"/>
                                </a:xfrm>
                                <a:prstGeom prst="straightConnector1">
                                  <a:avLst/>
                                </a:prstGeom>
                                <a:ln w="9525" cap="flat" cmpd="sng">
                                  <a:solidFill>
                                    <a:schemeClr val="accent2"/>
                                  </a:solidFill>
                                  <a:prstDash val="solid"/>
                                  <a:headEnd type="none" w="med" len="med"/>
                                  <a:tailEnd type="triangle" w="med" len="med"/>
                                </a:ln>
                              </wps:spPr>
                              <wps:bodyPr/>
                            </wps:wsp>
                            <wps:wsp>
                              <wps:cNvPr id="182" name="矩形 470"/>
                              <wps:cNvSpPr/>
                              <wps:spPr>
                                <a:xfrm>
                                  <a:off x="8218" y="847436"/>
                                  <a:ext cx="470" cy="577"/>
                                </a:xfrm>
                                <a:prstGeom prst="rect">
                                  <a:avLst/>
                                </a:prstGeom>
                                <a:solidFill>
                                  <a:srgbClr val="FFFFFF">
                                    <a:alpha val="0"/>
                                  </a:srgbClr>
                                </a:solidFill>
                                <a:ln>
                                  <a:noFill/>
                                </a:ln>
                              </wps:spPr>
                              <wps:txbx>
                                <w:txbxContent>
                                  <w:p w14:paraId="46D6DA95">
                                    <w:pPr>
                                      <w:pStyle w:val="27"/>
                                      <w:bidi w:val="0"/>
                                    </w:pPr>
                                    <w:r>
                                      <w:rPr>
                                        <w:rFonts w:hint="eastAsia"/>
                                        <w:lang w:val="en-US" w:eastAsia="zh-CN"/>
                                      </w:rPr>
                                      <w:t>化学试剂</w:t>
                                    </w:r>
                                  </w:p>
                                </w:txbxContent>
                              </wps:txbx>
                              <wps:bodyPr wrap="square" lIns="0" tIns="0" rIns="0" bIns="0" upright="1"/>
                            </wps:wsp>
                            <wps:wsp>
                              <wps:cNvPr id="170" name="自选图形 478"/>
                              <wps:cNvCnPr/>
                              <wps:spPr>
                                <a:xfrm>
                                  <a:off x="11176" y="848816"/>
                                  <a:ext cx="4" cy="436"/>
                                </a:xfrm>
                                <a:prstGeom prst="straightConnector1">
                                  <a:avLst/>
                                </a:prstGeom>
                                <a:ln w="9525" cap="flat" cmpd="sng">
                                  <a:solidFill>
                                    <a:srgbClr val="000000"/>
                                  </a:solidFill>
                                  <a:prstDash val="solid"/>
                                  <a:headEnd type="none" w="med" len="med"/>
                                  <a:tailEnd type="triangle" w="med" len="med"/>
                                </a:ln>
                              </wps:spPr>
                              <wps:bodyPr/>
                            </wps:wsp>
                            <wps:wsp>
                              <wps:cNvPr id="175" name="矩形 479"/>
                              <wps:cNvSpPr/>
                              <wps:spPr>
                                <a:xfrm>
                                  <a:off x="11197" y="851488"/>
                                  <a:ext cx="199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732A61">
                                    <w:pPr>
                                      <w:pStyle w:val="27"/>
                                      <w:bidi w:val="0"/>
                                      <w:rPr>
                                        <w:rFonts w:hint="default" w:eastAsia="宋体"/>
                                        <w:lang w:val="en-US" w:eastAsia="zh-CN"/>
                                      </w:rPr>
                                    </w:pPr>
                                    <w:r>
                                      <w:rPr>
                                        <w:rFonts w:hint="eastAsia"/>
                                        <w:lang w:val="en-US" w:eastAsia="zh-CN"/>
                                      </w:rPr>
                                      <w:t>发送监测数据</w:t>
                                    </w:r>
                                  </w:p>
                                </w:txbxContent>
                              </wps:txbx>
                              <wps:bodyPr wrap="square" upright="1"/>
                            </wps:wsp>
                            <wps:wsp>
                              <wps:cNvPr id="178" name="自选图形 478"/>
                              <wps:cNvCnPr/>
                              <wps:spPr>
                                <a:xfrm flipV="1">
                                  <a:off x="8696" y="847720"/>
                                  <a:ext cx="477" cy="5"/>
                                </a:xfrm>
                                <a:prstGeom prst="straightConnector1">
                                  <a:avLst/>
                                </a:prstGeom>
                                <a:ln w="9525" cap="flat" cmpd="sng">
                                  <a:solidFill>
                                    <a:schemeClr val="accent2"/>
                                  </a:solidFill>
                                  <a:prstDash val="solid"/>
                                  <a:headEnd type="none" w="med" len="med"/>
                                  <a:tailEnd type="triangle" w="med" len="med"/>
                                </a:ln>
                              </wps:spPr>
                              <wps:bodyPr/>
                            </wps:wsp>
                            <wps:wsp>
                              <wps:cNvPr id="181" name="矩形 470"/>
                              <wps:cNvSpPr/>
                              <wps:spPr>
                                <a:xfrm>
                                  <a:off x="8224" y="848307"/>
                                  <a:ext cx="470" cy="577"/>
                                </a:xfrm>
                                <a:prstGeom prst="rect">
                                  <a:avLst/>
                                </a:prstGeom>
                                <a:solidFill>
                                  <a:srgbClr val="FFFFFF">
                                    <a:alpha val="0"/>
                                  </a:srgbClr>
                                </a:solidFill>
                                <a:ln>
                                  <a:noFill/>
                                </a:ln>
                              </wps:spPr>
                              <wps:txbx>
                                <w:txbxContent>
                                  <w:p w14:paraId="6CF8EDA1">
                                    <w:pPr>
                                      <w:pStyle w:val="27"/>
                                      <w:bidi w:val="0"/>
                                    </w:pPr>
                                    <w:r>
                                      <w:rPr>
                                        <w:rFonts w:hint="eastAsia"/>
                                        <w:lang w:val="en-US" w:eastAsia="zh-CN"/>
                                      </w:rPr>
                                      <w:t>化学试剂</w:t>
                                    </w:r>
                                  </w:p>
                                </w:txbxContent>
                              </wps:txbx>
                              <wps:bodyPr wrap="square" lIns="0" tIns="0" rIns="0" bIns="0" upright="1"/>
                            </wps:wsp>
                            <wps:wsp>
                              <wps:cNvPr id="166" name="矩形 479"/>
                              <wps:cNvSpPr/>
                              <wps:spPr>
                                <a:xfrm>
                                  <a:off x="10615" y="848384"/>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9F8DBB">
                                    <w:pPr>
                                      <w:pStyle w:val="27"/>
                                      <w:bidi w:val="0"/>
                                      <w:rPr>
                                        <w:rFonts w:hint="eastAsia" w:eastAsia="宋体"/>
                                        <w:lang w:eastAsia="zh-CN"/>
                                      </w:rPr>
                                    </w:pPr>
                                    <w:r>
                                      <w:rPr>
                                        <w:rFonts w:hint="eastAsia"/>
                                        <w:lang w:val="en-US" w:eastAsia="zh-CN"/>
                                      </w:rPr>
                                      <w:t>化验</w:t>
                                    </w:r>
                                  </w:p>
                                </w:txbxContent>
                              </wps:txbx>
                              <wps:bodyPr wrap="square" upright="1"/>
                            </wps:wsp>
                            <wps:wsp>
                              <wps:cNvPr id="169" name="自选图形 478"/>
                              <wps:cNvCnPr/>
                              <wps:spPr>
                                <a:xfrm>
                                  <a:off x="9733" y="848810"/>
                                  <a:ext cx="1" cy="447"/>
                                </a:xfrm>
                                <a:prstGeom prst="straightConnector1">
                                  <a:avLst/>
                                </a:prstGeom>
                                <a:ln w="9525" cap="flat" cmpd="sng">
                                  <a:solidFill>
                                    <a:srgbClr val="000000"/>
                                  </a:solidFill>
                                  <a:prstDash val="solid"/>
                                  <a:headEnd type="none" w="med" len="med"/>
                                  <a:tailEnd type="triangle" w="med" len="med"/>
                                </a:ln>
                              </wps:spPr>
                              <wps:bodyPr/>
                            </wps:wsp>
                            <wps:wsp>
                              <wps:cNvPr id="172" name="直接连接符 172"/>
                              <wps:cNvCnPr/>
                              <wps:spPr>
                                <a:xfrm flipV="1">
                                  <a:off x="9730" y="849257"/>
                                  <a:ext cx="4330" cy="4"/>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74" name="矩形 479"/>
                              <wps:cNvSpPr/>
                              <wps:spPr>
                                <a:xfrm>
                                  <a:off x="11182" y="850588"/>
                                  <a:ext cx="199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0A4D97">
                                    <w:pPr>
                                      <w:pStyle w:val="27"/>
                                      <w:bidi w:val="0"/>
                                      <w:rPr>
                                        <w:rFonts w:hint="default" w:eastAsia="宋体"/>
                                        <w:lang w:val="en-US" w:eastAsia="zh-CN"/>
                                      </w:rPr>
                                    </w:pPr>
                                    <w:r>
                                      <w:rPr>
                                        <w:rFonts w:hint="eastAsia"/>
                                        <w:lang w:val="en-US" w:eastAsia="zh-CN"/>
                                      </w:rPr>
                                      <w:t>编制监测数据</w:t>
                                    </w:r>
                                  </w:p>
                                </w:txbxContent>
                              </wps:txbx>
                              <wps:bodyPr wrap="square" upright="1"/>
                            </wps:wsp>
                            <wps:wsp>
                              <wps:cNvPr id="176" name="矩形 176"/>
                              <wps:cNvSpPr/>
                              <wps:spPr>
                                <a:xfrm>
                                  <a:off x="8878" y="847383"/>
                                  <a:ext cx="4301" cy="1571"/>
                                </a:xfrm>
                                <a:prstGeom prst="rect">
                                  <a:avLst/>
                                </a:prstGeom>
                                <a:noFill/>
                                <a:ln w="12700" cmpd="sng">
                                  <a:solidFill>
                                    <a:schemeClr val="accent2"/>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 name="自选图形 478"/>
                              <wps:cNvCnPr/>
                              <wps:spPr>
                                <a:xfrm>
                                  <a:off x="13181" y="847821"/>
                                  <a:ext cx="1595" cy="12"/>
                                </a:xfrm>
                                <a:prstGeom prst="straightConnector1">
                                  <a:avLst/>
                                </a:prstGeom>
                                <a:ln w="9525" cap="flat" cmpd="sng">
                                  <a:solidFill>
                                    <a:schemeClr val="accent2"/>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0.9pt;margin-top:-1.85pt;height:459.25pt;width:390.95pt;z-index:251660288;mso-width-relative:page;mso-height-relative:page;" coordorigin="8218,842735" coordsize="7819,9185" o:gfxdata="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">
                      <o:lock v:ext="edit" aspectratio="f"/>
                      <v:rect id="矩形 469" o:spid="_x0000_s1026" o:spt="1" style="position:absolute;left:11386;top:843588;height:433;width:1287;" fillcolor="#FFFFFF" filled="t" stroked="t" coordsize="21600,21600" o:gfxdata="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DJ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149FB30">
                              <w:pPr>
                                <w:pStyle w:val="27"/>
                                <w:bidi w:val="0"/>
                                <w:rPr>
                                  <w:rFonts w:hint="eastAsia" w:eastAsia="宋体"/>
                                  <w:lang w:val="en-US" w:eastAsia="zh-CN"/>
                                </w:rPr>
                              </w:pPr>
                              <w:r>
                                <w:rPr>
                                  <w:rFonts w:hint="eastAsia"/>
                                  <w:lang w:val="en-US" w:eastAsia="zh-CN"/>
                                </w:rPr>
                                <w:t>现场勘察</w:t>
                              </w:r>
                            </w:p>
                          </w:txbxContent>
                        </v:textbox>
                      </v:rect>
                      <v:rect id="矩形 470" o:spid="_x0000_s1026" o:spt="1" style="position:absolute;left:11359;top:842735;height:433;width:1287;" fillcolor="#FFFFFF" filled="t" stroked="f" coordsize="21600,21600" o:gfxdata="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4jr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5D4F9A46">
                              <w:pPr>
                                <w:pStyle w:val="27"/>
                                <w:bidi w:val="0"/>
                              </w:pPr>
                              <w:r>
                                <w:rPr>
                                  <w:rFonts w:hint="eastAsia"/>
                                  <w:lang w:val="en-US" w:eastAsia="zh-CN"/>
                                </w:rPr>
                                <w:t>接受委托</w:t>
                              </w:r>
                            </w:p>
                          </w:txbxContent>
                        </v:textbox>
                      </v:rect>
                      <v:shape id="自选图形 471" o:spid="_x0000_s1026" o:spt="32" type="#_x0000_t32" style="position:absolute;left:11990;top:843087;height:447;width:0;" filled="f" stroked="t" coordsize="21600,21600" o:gfxdata="UEsDBAoAAAAAAIdO4kAAAAAAAAAAAAAAAAAEAAAAZHJzL1BLAwQUAAAACACHTuJAybhFirwAAADc&#10;AAAADwAAAGRycy9kb3ducmV2LnhtbEVPS2sCMRC+F/wPYQRvNavg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4RY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2" o:spid="_x0000_s1026" o:spt="32" type="#_x0000_t32" style="position:absolute;left:12008;top:844021;height:447;width:0;" filled="f" stroked="t" coordsize="21600,21600" o:gfxdata="UEsDBAoAAAAAAIdO4kAAAAAAAAAAAAAAAAAEAAAAZHJzL1BLAwQUAAAACACHTuJAOWrb/bwAAADc&#10;AAAADwAAAGRycy9kb3ducmV2LnhtbEVPS2sCMRC+F/ofwhS81awFF1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q2/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73" o:spid="_x0000_s1026" o:spt="1" style="position:absolute;left:11187;top:844468;height:433;width:1739;"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2D13E0">
                              <w:pPr>
                                <w:pStyle w:val="27"/>
                                <w:bidi w:val="0"/>
                                <w:rPr>
                                  <w:rFonts w:hint="eastAsia" w:eastAsia="宋体"/>
                                  <w:lang w:val="en-US" w:eastAsia="zh-CN"/>
                                </w:rPr>
                              </w:pPr>
                              <w:r>
                                <w:rPr>
                                  <w:rFonts w:hint="eastAsia"/>
                                  <w:lang w:val="en-US" w:eastAsia="zh-CN"/>
                                </w:rPr>
                                <w:t>编制监测方案</w:t>
                              </w:r>
                            </w:p>
                          </w:txbxContent>
                        </v:textbox>
                      </v:rect>
                      <v:shape id="自选图形 474" o:spid="_x0000_s1026" o:spt="32" type="#_x0000_t32" style="position:absolute;left:12082;top:844900;height:447;width:0;" filled="f" stroked="t" coordsize="21600,21600" o:gfxdata="UEsDBAoAAAAAAIdO4kAAAAAAAAAAAAAAAAAEAAAAZHJzL1BLAwQUAAAACACHTuJAJ7nqFMAAAADc&#10;AAAADwAAAGRycy9kb3ducmV2LnhtbEWPT0vDQBDF74LfYRnBm91EM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eo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475" o:spid="_x0000_s1026" o:spt="1" style="position:absolute;left:11116;top:845348;height:433;width:1810;"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37E8CE">
                              <w:pPr>
                                <w:pStyle w:val="27"/>
                                <w:bidi w:val="0"/>
                                <w:rPr>
                                  <w:rFonts w:hint="eastAsia" w:eastAsia="宋体"/>
                                  <w:lang w:val="en-US" w:eastAsia="zh-CN"/>
                                </w:rPr>
                              </w:pPr>
                              <w:r>
                                <w:rPr>
                                  <w:rFonts w:hint="eastAsia"/>
                                  <w:lang w:val="en-US" w:eastAsia="zh-CN"/>
                                </w:rPr>
                                <w:t>开展现场监测</w:t>
                              </w:r>
                            </w:p>
                          </w:txbxContent>
                        </v:textbox>
                      </v:rect>
                      <v:shape id="自选图形 478" o:spid="_x0000_s1026" o:spt="32" type="#_x0000_t32" style="position:absolute;left:12075;top:845790;flip:x;height:431;width:7;" filled="f" stroked="t" coordsize="21600,21600" o:gfxdata="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9blG5AAAA3AAA&#10;AA8AAAAAAAAAAQAgAAAAIgAAAGRycy9kb3ducmV2LnhtbFBLAQIUABQAAAAIAIdO4kAzLwWeOwAA&#10;ADkAAAAQAAAAAAAAAAEAIAAAAAgBAABkcnMvc2hhcGV4bWwueG1sUEsFBgAAAAAGAAYAWwEAALID&#10;AAAAAA==&#10;">
                        <v:fill on="f" focussize="0,0"/>
                        <v:stroke weight="0.5pt" color="#000000" joinstyle="round" endarrow="block"/>
                        <v:imagedata o:title=""/>
                        <o:lock v:ext="edit" aspectratio="f"/>
                      </v:shape>
                      <v:rect id="矩形 479" o:spid="_x0000_s1026" o:spt="1" style="position:absolute;left:9153;top:846643;height:433;width:1053;"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8F7B3BB">
                              <w:pPr>
                                <w:pStyle w:val="27"/>
                                <w:bidi w:val="0"/>
                                <w:rPr>
                                  <w:rFonts w:hint="eastAsia" w:eastAsia="宋体"/>
                                  <w:lang w:eastAsia="zh-CN"/>
                                </w:rPr>
                              </w:pPr>
                              <w:r>
                                <w:rPr>
                                  <w:rFonts w:hint="eastAsia"/>
                                  <w:lang w:val="en-US" w:eastAsia="zh-CN"/>
                                </w:rPr>
                                <w:t>水样</w:t>
                              </w:r>
                            </w:p>
                          </w:txbxContent>
                        </v:textbox>
                      </v:rect>
                      <v:rect id="矩形 479" o:spid="_x0000_s1026" o:spt="1" style="position:absolute;left:11172;top:849718;height:433;width:1991;"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07BEFC1">
                              <w:pPr>
                                <w:pStyle w:val="27"/>
                                <w:bidi w:val="0"/>
                                <w:rPr>
                                  <w:rFonts w:hint="default" w:eastAsia="宋体"/>
                                  <w:lang w:val="en-US" w:eastAsia="zh-CN"/>
                                </w:rPr>
                              </w:pPr>
                              <w:r>
                                <w:rPr>
                                  <w:rFonts w:hint="eastAsia"/>
                                  <w:lang w:val="en-US" w:eastAsia="zh-CN"/>
                                </w:rPr>
                                <w:t>整理监测数据</w:t>
                              </w:r>
                            </w:p>
                          </w:txbxContent>
                        </v:textbox>
                      </v:rect>
                      <v:shape id="自选图形 478" o:spid="_x0000_s1026" o:spt="32" type="#_x0000_t32" style="position:absolute;left:12188;top:851028;height:447;width:0;" filled="f" stroked="t" coordsize="21600,21600" o:gfxdata="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HR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479" o:spid="_x0000_s1026" o:spt="1" style="position:absolute;left:10594;top:846643;height:433;width:1053;"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B46C58">
                              <w:pPr>
                                <w:pStyle w:val="27"/>
                                <w:bidi w:val="0"/>
                                <w:rPr>
                                  <w:rFonts w:hint="eastAsia" w:eastAsia="宋体"/>
                                  <w:lang w:eastAsia="zh-CN"/>
                                </w:rPr>
                              </w:pPr>
                              <w:r>
                                <w:rPr>
                                  <w:rFonts w:hint="eastAsia"/>
                                  <w:lang w:val="en-US" w:eastAsia="zh-CN"/>
                                </w:rPr>
                                <w:t>气样</w:t>
                              </w:r>
                            </w:p>
                          </w:txbxContent>
                        </v:textbox>
                      </v:rect>
                      <v:rect id="矩形 479" o:spid="_x0000_s1026" o:spt="1" style="position:absolute;left:11982;top:846660;height:433;width:1053;"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E77EBB">
                              <w:pPr>
                                <w:pStyle w:val="27"/>
                                <w:bidi w:val="0"/>
                                <w:rPr>
                                  <w:rFonts w:hint="eastAsia" w:eastAsia="宋体"/>
                                  <w:lang w:eastAsia="zh-CN"/>
                                </w:rPr>
                              </w:pPr>
                              <w:r>
                                <w:rPr>
                                  <w:rFonts w:hint="eastAsia"/>
                                  <w:lang w:val="en-US" w:eastAsia="zh-CN"/>
                                </w:rPr>
                                <w:t>土壤样</w:t>
                              </w:r>
                            </w:p>
                          </w:txbxContent>
                        </v:textbox>
                      </v:rect>
                      <v:rect id="矩形 479" o:spid="_x0000_s1026" o:spt="1" style="position:absolute;left:13519;top:846654;height:433;width:1053;"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B0444A">
                              <w:pPr>
                                <w:pStyle w:val="27"/>
                                <w:bidi w:val="0"/>
                                <w:rPr>
                                  <w:rFonts w:hint="eastAsia" w:eastAsia="宋体"/>
                                  <w:lang w:eastAsia="zh-CN"/>
                                </w:rPr>
                              </w:pPr>
                              <w:r>
                                <w:rPr>
                                  <w:rFonts w:hint="eastAsia"/>
                                  <w:lang w:val="en-US" w:eastAsia="zh-CN"/>
                                </w:rPr>
                                <w:t>噪声</w:t>
                              </w:r>
                            </w:p>
                          </w:txbxContent>
                        </v:textbox>
                      </v:rect>
                      <v:line id="_x0000_s1026" o:spid="_x0000_s1026" o:spt="20" style="position:absolute;left:9688;top:846217;flip:y;height:4;width:4345;" filled="f" stroked="t" coordsize="21600,21600" o:gfxdata="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nUtr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自选图形 478" o:spid="_x0000_s1026" o:spt="32" type="#_x0000_t32" style="position:absolute;left:9692;top:846216;height:436;width:4;"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11129;top:846223;flip:x;height:403;width:13;" filled="f" stroked="t" coordsize="21600,21600" o:gfxdata="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qH1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78" o:spid="_x0000_s1026" o:spt="32" type="#_x0000_t32" style="position:absolute;left:12511;top:846225;height:428;width:1;"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478" o:spid="_x0000_s1026" o:spt="32" type="#_x0000_t32" style="position:absolute;left:14051;top:846216;height:439;width:4;"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9692;top:847086;height:436;width:4;" filled="f" stroked="t" coordsize="21600,21600" o:gfxdata="UEsDBAoAAAAAAIdO4kAAAAAAAAAAAAAAAAAEAAAAZHJzL1BLAwQUAAAACACHTuJATGHTV70AAADc&#10;AAAADwAAAGRycy9kb3ducmV2LnhtbEVPS2sCMRC+F/ofwhS8aVax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dN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478" o:spid="_x0000_s1026" o:spt="32" type="#_x0000_t32" style="position:absolute;left:11130;top:847073;height:436;width:4;"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12521;top:847099;height:392;width:12;" filled="f" stroked="t" coordsize="21600,21600" o:gfxdata="UEsDBAoAAAAAAIdO4kAAAAAAAAAAAAAAAAAEAAAAZHJzL1BLAwQUAAAACACHTuJA0//ou70AAADc&#10;AAAADwAAAGRycy9kb3ducmV2LnhtbEVPS2sCMRC+C/0PYQreatZS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478" o:spid="_x0000_s1026" o:spt="32" type="#_x0000_t32" style="position:absolute;left:14057;top:847088;height:2173;width:4;"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479" o:spid="_x0000_s1026" o:spt="1" style="position:absolute;left:9168;top:847498;height:433;width:1053;" fillcolor="#FFFFFF" filled="t" stroked="t" coordsize="21600,21600" o:gfxdata="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Fo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761762">
                              <w:pPr>
                                <w:pStyle w:val="27"/>
                                <w:bidi w:val="0"/>
                                <w:rPr>
                                  <w:rFonts w:hint="eastAsia" w:eastAsia="宋体"/>
                                  <w:lang w:eastAsia="zh-CN"/>
                                </w:rPr>
                              </w:pPr>
                              <w:r>
                                <w:rPr>
                                  <w:rFonts w:hint="eastAsia"/>
                                  <w:lang w:val="en-US" w:eastAsia="zh-CN"/>
                                </w:rPr>
                                <w:t>预处理</w:t>
                              </w:r>
                            </w:p>
                          </w:txbxContent>
                        </v:textbox>
                      </v:rect>
                      <v:rect id="矩形 479" o:spid="_x0000_s1026" o:spt="1" style="position:absolute;left:10603;top:847499;height:433;width:1053;"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551725">
                              <w:pPr>
                                <w:pStyle w:val="27"/>
                                <w:bidi w:val="0"/>
                                <w:rPr>
                                  <w:rFonts w:hint="eastAsia" w:eastAsia="宋体"/>
                                  <w:lang w:eastAsia="zh-CN"/>
                                </w:rPr>
                              </w:pPr>
                              <w:r>
                                <w:rPr>
                                  <w:rFonts w:hint="eastAsia"/>
                                  <w:lang w:val="en-US" w:eastAsia="zh-CN"/>
                                </w:rPr>
                                <w:t>预处理</w:t>
                              </w:r>
                            </w:p>
                          </w:txbxContent>
                        </v:textbox>
                      </v:rect>
                      <v:rect id="矩形 479" o:spid="_x0000_s1026" o:spt="1" style="position:absolute;left:11983;top:847494;height:433;width:1053;" fillcolor="#FFFFFF" filled="t" stroked="t" coordsize="21600,21600" o:gfxdata="UEsDBAoAAAAAAIdO4kAAAAAAAAAAAAAAAAAEAAAAZHJzL1BLAwQUAAAACACHTuJA/A7ymbsAAADc&#10;AAAADwAAAGRycy9kb3ducmV2LnhtbEVPPW/CMBDdkfgP1iF1AztUVC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ym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CA38CE">
                              <w:pPr>
                                <w:pStyle w:val="27"/>
                                <w:bidi w:val="0"/>
                                <w:rPr>
                                  <w:rFonts w:hint="eastAsia" w:eastAsia="宋体"/>
                                  <w:lang w:eastAsia="zh-CN"/>
                                </w:rPr>
                              </w:pPr>
                              <w:r>
                                <w:rPr>
                                  <w:rFonts w:hint="eastAsia"/>
                                  <w:lang w:val="en-US" w:eastAsia="zh-CN"/>
                                </w:rPr>
                                <w:t>预处理</w:t>
                              </w:r>
                            </w:p>
                          </w:txbxContent>
                        </v:textbox>
                      </v:rect>
                      <v:shape id="自选图形 478" o:spid="_x0000_s1026" o:spt="32" type="#_x0000_t32" style="position:absolute;left:9722;top:847941;height:436;width:4;" filled="f" stroked="t" coordsize="21600,21600" o:gfxdata="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11145;top:847943;height:436;width:4;" filled="f" stroked="t" coordsize="21600,21600" o:gfxdata="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iT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12174;top:850151;height:436;width:4;" filled="f" stroked="t" coordsize="21600,21600" o:gfxdata="UEsDBAoAAAAAAIdO4kAAAAAAAAAAAAAAAAAEAAAAZHJzL1BLAwQUAAAACACHTuJAYqgkBb0AAADc&#10;AAAADwAAAGRycy9kb3ducmV2LnhtbEVPS2sCMRC+C/0PYQreatYW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CQ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478" o:spid="_x0000_s1026" o:spt="32" type="#_x0000_t32" style="position:absolute;left:12516;top:847932;height:436;width:4;" filled="f" stroked="t" coordsize="21600,21600" o:gfxdata="UEsDBAoAAAAAAIdO4kAAAAAAAAAAAAAAAAAEAAAAZHJzL1BLAwQUAAAACACHTuJAaJgqrLwAAADc&#10;AAAADwAAAGRycy9kb3ducmV2LnhtbEVPS2sCMRC+F/ofwhS81axF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YKq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70" o:spid="_x0000_s1026" o:spt="1" style="position:absolute;left:14773;top:847107;height:1431;width:1265;" fillcolor="#FFFFFF" filled="t" stroked="f" coordsize="21600,21600" o:gfxdata="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Xe2L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03097F84">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有机废气G1，氯化氢G2，</w:t>
                              </w:r>
                            </w:p>
                            <w:p w14:paraId="23828B5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硫酸雾G3,</w:t>
                              </w:r>
                            </w:p>
                            <w:p w14:paraId="6798568F">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v:textbox>
                      </v:rect>
                      <v:rect id="矩形 479" o:spid="_x0000_s1026" o:spt="1" style="position:absolute;left:9198;top:848368;height:433;width:1053;"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86D577">
                              <w:pPr>
                                <w:pStyle w:val="27"/>
                                <w:bidi w:val="0"/>
                                <w:rPr>
                                  <w:rFonts w:hint="eastAsia" w:eastAsia="宋体"/>
                                  <w:lang w:eastAsia="zh-CN"/>
                                </w:rPr>
                              </w:pPr>
                              <w:r>
                                <w:rPr>
                                  <w:rFonts w:hint="eastAsia"/>
                                  <w:lang w:val="en-US" w:eastAsia="zh-CN"/>
                                </w:rPr>
                                <w:t>化验</w:t>
                              </w:r>
                            </w:p>
                          </w:txbxContent>
                        </v:textbox>
                      </v:rect>
                      <v:rect id="矩形 479" o:spid="_x0000_s1026" o:spt="1" style="position:absolute;left:11992;top:848373;height:433;width:1053;" fillcolor="#FFFFFF" filled="t" stroked="t" coordsize="21600,21600" o:gfxdata="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Bc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00953D">
                              <w:pPr>
                                <w:pStyle w:val="27"/>
                                <w:bidi w:val="0"/>
                                <w:rPr>
                                  <w:rFonts w:hint="eastAsia" w:eastAsia="宋体"/>
                                  <w:lang w:eastAsia="zh-CN"/>
                                </w:rPr>
                              </w:pPr>
                              <w:r>
                                <w:rPr>
                                  <w:rFonts w:hint="eastAsia"/>
                                  <w:lang w:val="en-US" w:eastAsia="zh-CN"/>
                                </w:rPr>
                                <w:t>化验</w:t>
                              </w:r>
                            </w:p>
                          </w:txbxContent>
                        </v:textbox>
                      </v:rect>
                      <v:shape id="自选图形 478" o:spid="_x0000_s1026" o:spt="32" type="#_x0000_t32" style="position:absolute;left:12159;top:849281;height:436;width:4;"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8713;top:848579;flip:y;height:5;width:477;" filled="f" stroked="t" coordsize="21600,21600" o:gfxdata="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ZlL4A&#10;AADcAAAADwAAAAAAAAABACAAAAAiAAAAZHJzL2Rvd25yZXYueG1sUEsBAhQAFAAAAAgAh07iQDMv&#10;BZ47AAAAOQAAABAAAAAAAAAAAQAgAAAADQEAAGRycy9zaGFwZXhtbC54bWxQSwUGAAAAAAYABgBb&#10;AQAAtwMAAAAA&#10;">
                        <v:fill on="f" focussize="0,0"/>
                        <v:stroke color="#C0504D [3205]" joinstyle="round" endarrow="block"/>
                        <v:imagedata o:title=""/>
                        <o:lock v:ext="edit" aspectratio="f"/>
                      </v:shape>
                      <v:rect id="矩形 470" o:spid="_x0000_s1026" o:spt="1" style="position:absolute;left:8218;top:847436;height:577;width:470;" fillcolor="#FFFFFF" filled="t" stroked="f" coordsize="21600,21600" o:gfxdata="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IE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46D6DA95">
                              <w:pPr>
                                <w:pStyle w:val="27"/>
                                <w:bidi w:val="0"/>
                              </w:pPr>
                              <w:r>
                                <w:rPr>
                                  <w:rFonts w:hint="eastAsia"/>
                                  <w:lang w:val="en-US" w:eastAsia="zh-CN"/>
                                </w:rPr>
                                <w:t>化学试剂</w:t>
                              </w:r>
                            </w:p>
                          </w:txbxContent>
                        </v:textbox>
                      </v:rect>
                      <v:shape id="自选图形 478" o:spid="_x0000_s1026" o:spt="32" type="#_x0000_t32" style="position:absolute;left:11176;top:848816;height:436;width:4;"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矩形 479" o:spid="_x0000_s1026" o:spt="1" style="position:absolute;left:11197;top:851488;height:433;width:1991;" fillcolor="#FFFFFF" filled="t" stroked="t" coordsize="21600,21600" o:gfxdata="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AqP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732A61">
                              <w:pPr>
                                <w:pStyle w:val="27"/>
                                <w:bidi w:val="0"/>
                                <w:rPr>
                                  <w:rFonts w:hint="default" w:eastAsia="宋体"/>
                                  <w:lang w:val="en-US" w:eastAsia="zh-CN"/>
                                </w:rPr>
                              </w:pPr>
                              <w:r>
                                <w:rPr>
                                  <w:rFonts w:hint="eastAsia"/>
                                  <w:lang w:val="en-US" w:eastAsia="zh-CN"/>
                                </w:rPr>
                                <w:t>发送监测数据</w:t>
                              </w:r>
                            </w:p>
                          </w:txbxContent>
                        </v:textbox>
                      </v:rect>
                      <v:shape id="自选图形 478" o:spid="_x0000_s1026" o:spt="32" type="#_x0000_t32" style="position:absolute;left:8696;top:847720;flip:y;height:5;width:477;" filled="f" stroked="t" coordsize="21600,21600" o:gfxdata="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PvQAA&#10;ANwAAAAPAAAAAAAAAAEAIAAAACIAAABkcnMvZG93bnJldi54bWxQSwECFAAUAAAACACHTuJAMy8F&#10;njsAAAA5AAAAEAAAAAAAAAABACAAAAAMAQAAZHJzL3NoYXBleG1sLnhtbFBLBQYAAAAABgAGAFsB&#10;AAC2AwAAAAA=&#10;">
                        <v:fill on="f" focussize="0,0"/>
                        <v:stroke color="#C0504D [3205]" joinstyle="round" endarrow="block"/>
                        <v:imagedata o:title=""/>
                        <o:lock v:ext="edit" aspectratio="f"/>
                      </v:shape>
                      <v:rect id="矩形 470" o:spid="_x0000_s1026" o:spt="1" style="position:absolute;left:8224;top:848307;height:577;width:470;" fillcolor="#FFFFFF" filled="t" stroked="f" coordsize="21600,21600" o:gfxdata="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w9Zn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6CF8EDA1">
                              <w:pPr>
                                <w:pStyle w:val="27"/>
                                <w:bidi w:val="0"/>
                              </w:pPr>
                              <w:r>
                                <w:rPr>
                                  <w:rFonts w:hint="eastAsia"/>
                                  <w:lang w:val="en-US" w:eastAsia="zh-CN"/>
                                </w:rPr>
                                <w:t>化学试剂</w:t>
                              </w:r>
                            </w:p>
                          </w:txbxContent>
                        </v:textbox>
                      </v:rect>
                      <v:rect id="矩形 479" o:spid="_x0000_s1026" o:spt="1" style="position:absolute;left:10615;top:848384;height:433;width:1053;"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C9F8DBB">
                              <w:pPr>
                                <w:pStyle w:val="27"/>
                                <w:bidi w:val="0"/>
                                <w:rPr>
                                  <w:rFonts w:hint="eastAsia" w:eastAsia="宋体"/>
                                  <w:lang w:eastAsia="zh-CN"/>
                                </w:rPr>
                              </w:pPr>
                              <w:r>
                                <w:rPr>
                                  <w:rFonts w:hint="eastAsia"/>
                                  <w:lang w:val="en-US" w:eastAsia="zh-CN"/>
                                </w:rPr>
                                <w:t>化验</w:t>
                              </w:r>
                            </w:p>
                          </w:txbxContent>
                        </v:textbox>
                      </v:rect>
                      <v:shape id="自选图形 478" o:spid="_x0000_s1026" o:spt="32" type="#_x0000_t32" style="position:absolute;left:9733;top:848810;height:447;width:1;" filled="f" stroked="t" coordsize="21600,21600" o:gfxdata="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hT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_x0000_s1026" o:spid="_x0000_s1026" o:spt="20" style="position:absolute;left:9730;top:849257;flip:y;height:4;width:4330;"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rect id="矩形 479" o:spid="_x0000_s1026" o:spt="1" style="position:absolute;left:11182;top:850588;height:433;width:1991;" fillcolor="#FFFFFF" filled="t" stroked="t" coordsize="21600,21600" o:gfxdata="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MD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C0A4D97">
                              <w:pPr>
                                <w:pStyle w:val="27"/>
                                <w:bidi w:val="0"/>
                                <w:rPr>
                                  <w:rFonts w:hint="default" w:eastAsia="宋体"/>
                                  <w:lang w:val="en-US" w:eastAsia="zh-CN"/>
                                </w:rPr>
                              </w:pPr>
                              <w:r>
                                <w:rPr>
                                  <w:rFonts w:hint="eastAsia"/>
                                  <w:lang w:val="en-US" w:eastAsia="zh-CN"/>
                                </w:rPr>
                                <w:t>编制监测数据</w:t>
                              </w:r>
                            </w:p>
                          </w:txbxContent>
                        </v:textbox>
                      </v:rect>
                      <v:rect id="_x0000_s1026" o:spid="_x0000_s1026" o:spt="1" style="position:absolute;left:8878;top:847383;height:1571;width:4301;v-text-anchor:middle;" filled="f" stroked="t" coordsize="21600,21600" o:gfxdata="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H4jtwAAANwAAAAP&#10;AAAAAAAAAAEAIAAAACIAAABkcnMvZG93bnJldi54bWxQSwECFAAUAAAACACHTuJAMy8FnjsAAAA5&#10;AAAAEAAAAAAAAAABACAAAAAGAQAAZHJzL3NoYXBleG1sLnhtbFBLBQYAAAAABgAGAFsBAACwAwAA&#10;AAA=&#10;">
                        <v:fill on="f" focussize="0,0"/>
                        <v:stroke weight="1pt" color="#C0504D [3205]" joinstyle="round" dashstyle="3 1"/>
                        <v:imagedata o:title=""/>
                        <o:lock v:ext="edit" aspectratio="f"/>
                      </v:rect>
                      <v:shape id="自选图形 478" o:spid="_x0000_s1026" o:spt="32" type="#_x0000_t32" style="position:absolute;left:13181;top:847821;height:12;width:1595;" filled="f" stroked="t" coordsize="21600,21600" o:gfxdata="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M5nS/&#10;AAAA3AAAAA8AAAAAAAAAAQAgAAAAIgAAAGRycy9kb3ducmV2LnhtbFBLAQIUABQAAAAIAIdO4kAz&#10;LwWeOwAAADkAAAAQAAAAAAAAAAEAIAAAAA4BAABkcnMvc2hhcGV4bWwueG1sUEsFBgAAAAAGAAYA&#10;WwEAALgDAAAAAA==&#10;">
                        <v:fill on="f" focussize="0,0"/>
                        <v:stroke color="#C0504D [3205]" joinstyle="round" endarrow="block"/>
                        <v:imagedata o:title=""/>
                        <o:lock v:ext="edit" aspectratio="f"/>
                      </v:shape>
                    </v:group>
                  </w:pict>
                </mc:Fallback>
              </mc:AlternateContent>
            </w:r>
          </w:p>
          <w:p w14:paraId="258D52DD">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53DE3D74">
            <w:pPr>
              <w:keepNext w:val="0"/>
              <w:keepLines w:val="0"/>
              <w:suppressLineNumbers w:val="0"/>
              <w:spacing w:before="0" w:beforeAutospacing="0" w:after="0" w:afterAutospacing="0"/>
              <w:ind w:left="0" w:right="0" w:firstLine="0" w:firstLineChars="0"/>
              <w:jc w:val="center"/>
              <w:rPr>
                <w:rFonts w:hint="eastAsia" w:eastAsia="黑体" w:cs="Times New Roman"/>
                <w:bCs/>
                <w:color w:val="auto"/>
                <w:szCs w:val="21"/>
                <w:highlight w:val="none"/>
                <w:lang w:bidi="ar"/>
              </w:rPr>
            </w:pPr>
          </w:p>
          <w:p w14:paraId="7AC43AC9">
            <w:pPr>
              <w:pStyle w:val="26"/>
              <w:keepNext w:val="0"/>
              <w:keepLines w:val="0"/>
              <w:suppressLineNumbers w:val="0"/>
              <w:bidi w:val="0"/>
              <w:spacing w:before="0" w:beforeAutospacing="0" w:after="0" w:afterAutospacing="0"/>
              <w:ind w:left="0" w:right="0"/>
              <w:rPr>
                <w:rFonts w:hint="default"/>
                <w:color w:val="auto"/>
                <w:highlight w:val="none"/>
              </w:rPr>
            </w:pPr>
          </w:p>
          <w:p w14:paraId="2F88279D">
            <w:pPr>
              <w:pStyle w:val="26"/>
              <w:keepNext w:val="0"/>
              <w:keepLines w:val="0"/>
              <w:suppressLineNumbers w:val="0"/>
              <w:bidi w:val="0"/>
              <w:spacing w:before="0" w:beforeAutospacing="0" w:after="0" w:afterAutospacing="0"/>
              <w:ind w:left="0" w:right="0"/>
              <w:rPr>
                <w:rFonts w:hint="default"/>
                <w:color w:val="auto"/>
                <w:highlight w:val="none"/>
              </w:rPr>
            </w:pPr>
          </w:p>
          <w:p w14:paraId="637D6B14">
            <w:pPr>
              <w:pStyle w:val="26"/>
              <w:keepNext w:val="0"/>
              <w:keepLines w:val="0"/>
              <w:suppressLineNumbers w:val="0"/>
              <w:bidi w:val="0"/>
              <w:spacing w:before="0" w:beforeAutospacing="0" w:after="0" w:afterAutospacing="0"/>
              <w:ind w:left="0" w:right="0"/>
              <w:rPr>
                <w:rFonts w:hint="default"/>
                <w:color w:val="auto"/>
                <w:highlight w:val="none"/>
              </w:rPr>
            </w:pPr>
          </w:p>
          <w:p w14:paraId="6D221B8F">
            <w:pPr>
              <w:keepNext w:val="0"/>
              <w:keepLines w:val="0"/>
              <w:suppressLineNumbers w:val="0"/>
              <w:bidi w:val="0"/>
              <w:spacing w:before="0" w:beforeAutospacing="0" w:after="0" w:afterAutospacing="0"/>
              <w:ind w:left="0" w:right="0"/>
              <w:rPr>
                <w:rFonts w:hint="default"/>
                <w:color w:val="auto"/>
                <w:highlight w:val="none"/>
              </w:rPr>
            </w:pPr>
          </w:p>
          <w:p w14:paraId="01E55293">
            <w:pPr>
              <w:pStyle w:val="26"/>
              <w:keepNext w:val="0"/>
              <w:keepLines w:val="0"/>
              <w:suppressLineNumbers w:val="0"/>
              <w:bidi w:val="0"/>
              <w:spacing w:before="0" w:beforeAutospacing="0" w:after="0" w:afterAutospacing="0"/>
              <w:ind w:left="0" w:right="0"/>
              <w:rPr>
                <w:rFonts w:hint="default"/>
                <w:color w:val="auto"/>
                <w:highlight w:val="none"/>
              </w:rPr>
            </w:pPr>
          </w:p>
          <w:p w14:paraId="1947AEB2">
            <w:pPr>
              <w:pStyle w:val="26"/>
              <w:keepNext w:val="0"/>
              <w:keepLines w:val="0"/>
              <w:suppressLineNumbers w:val="0"/>
              <w:bidi w:val="0"/>
              <w:spacing w:before="0" w:beforeAutospacing="0" w:after="0" w:afterAutospacing="0"/>
              <w:ind w:left="0" w:right="0"/>
              <w:rPr>
                <w:rFonts w:hint="default"/>
                <w:color w:val="auto"/>
                <w:highlight w:val="none"/>
              </w:rPr>
            </w:pPr>
          </w:p>
          <w:p w14:paraId="4E627436">
            <w:pPr>
              <w:pStyle w:val="26"/>
              <w:keepNext w:val="0"/>
              <w:keepLines w:val="0"/>
              <w:suppressLineNumbers w:val="0"/>
              <w:bidi w:val="0"/>
              <w:spacing w:before="0" w:beforeAutospacing="0" w:after="0" w:afterAutospacing="0"/>
              <w:ind w:left="0" w:right="0"/>
              <w:rPr>
                <w:rFonts w:hint="default"/>
                <w:color w:val="auto"/>
                <w:highlight w:val="none"/>
              </w:rPr>
            </w:pPr>
          </w:p>
          <w:p w14:paraId="1FAB562A">
            <w:pPr>
              <w:pStyle w:val="26"/>
              <w:keepNext w:val="0"/>
              <w:keepLines w:val="0"/>
              <w:suppressLineNumbers w:val="0"/>
              <w:bidi w:val="0"/>
              <w:spacing w:before="0" w:beforeAutospacing="0" w:after="0" w:afterAutospacing="0"/>
              <w:ind w:left="0" w:right="0"/>
              <w:rPr>
                <w:rFonts w:hint="default"/>
                <w:color w:val="auto"/>
                <w:highlight w:val="none"/>
              </w:rPr>
            </w:pPr>
          </w:p>
          <w:p w14:paraId="772829FF">
            <w:pPr>
              <w:pStyle w:val="26"/>
              <w:keepNext w:val="0"/>
              <w:keepLines w:val="0"/>
              <w:suppressLineNumbers w:val="0"/>
              <w:bidi w:val="0"/>
              <w:spacing w:before="0" w:beforeAutospacing="0" w:after="0" w:afterAutospacing="0"/>
              <w:ind w:left="0" w:right="0"/>
              <w:rPr>
                <w:rFonts w:hint="default"/>
                <w:color w:val="auto"/>
                <w:highlight w:val="none"/>
              </w:rPr>
            </w:pPr>
          </w:p>
          <w:p w14:paraId="12815C75">
            <w:pPr>
              <w:pStyle w:val="26"/>
              <w:keepNext w:val="0"/>
              <w:keepLines w:val="0"/>
              <w:suppressLineNumbers w:val="0"/>
              <w:bidi w:val="0"/>
              <w:spacing w:before="0" w:beforeAutospacing="0" w:after="0" w:afterAutospacing="0"/>
              <w:ind w:left="0" w:right="0"/>
              <w:rPr>
                <w:rFonts w:hint="default"/>
                <w:color w:val="auto"/>
                <w:highlight w:val="none"/>
              </w:rPr>
            </w:pPr>
          </w:p>
          <w:p w14:paraId="5611B8E0">
            <w:pPr>
              <w:pStyle w:val="26"/>
              <w:keepNext w:val="0"/>
              <w:keepLines w:val="0"/>
              <w:suppressLineNumbers w:val="0"/>
              <w:bidi w:val="0"/>
              <w:spacing w:before="0" w:beforeAutospacing="0" w:after="0" w:afterAutospacing="0"/>
              <w:ind w:left="0" w:right="0"/>
              <w:rPr>
                <w:rFonts w:hint="default"/>
                <w:color w:val="auto"/>
                <w:highlight w:val="none"/>
              </w:rPr>
            </w:pPr>
          </w:p>
          <w:p w14:paraId="447142A4">
            <w:pPr>
              <w:pStyle w:val="26"/>
              <w:keepNext w:val="0"/>
              <w:keepLines w:val="0"/>
              <w:suppressLineNumbers w:val="0"/>
              <w:bidi w:val="0"/>
              <w:spacing w:before="0" w:beforeAutospacing="0" w:after="0" w:afterAutospacing="0"/>
              <w:ind w:left="0" w:right="0"/>
              <w:rPr>
                <w:rFonts w:hint="default"/>
                <w:color w:val="auto"/>
                <w:highlight w:val="none"/>
              </w:rPr>
            </w:pPr>
          </w:p>
          <w:p w14:paraId="2AA18891">
            <w:pPr>
              <w:pStyle w:val="26"/>
              <w:keepNext w:val="0"/>
              <w:keepLines w:val="0"/>
              <w:suppressLineNumbers w:val="0"/>
              <w:bidi w:val="0"/>
              <w:spacing w:before="0" w:beforeAutospacing="0" w:after="0" w:afterAutospacing="0"/>
              <w:ind w:left="0" w:right="0"/>
              <w:rPr>
                <w:rFonts w:hint="default"/>
                <w:color w:val="auto"/>
                <w:highlight w:val="none"/>
              </w:rPr>
            </w:pPr>
          </w:p>
          <w:p w14:paraId="42B72799">
            <w:pPr>
              <w:pStyle w:val="26"/>
              <w:keepNext w:val="0"/>
              <w:keepLines w:val="0"/>
              <w:suppressLineNumbers w:val="0"/>
              <w:bidi w:val="0"/>
              <w:spacing w:before="0" w:beforeAutospacing="0" w:after="0" w:afterAutospacing="0"/>
              <w:ind w:left="0" w:right="0"/>
              <w:rPr>
                <w:rFonts w:hint="default"/>
                <w:color w:val="auto"/>
                <w:highlight w:val="none"/>
              </w:rPr>
            </w:pPr>
          </w:p>
          <w:p w14:paraId="2F8FDEE6">
            <w:pPr>
              <w:pStyle w:val="26"/>
              <w:keepNext w:val="0"/>
              <w:keepLines w:val="0"/>
              <w:suppressLineNumbers w:val="0"/>
              <w:bidi w:val="0"/>
              <w:spacing w:before="0" w:beforeAutospacing="0" w:after="0" w:afterAutospacing="0"/>
              <w:ind w:left="0" w:right="0"/>
              <w:rPr>
                <w:rFonts w:hint="default"/>
                <w:color w:val="auto"/>
                <w:highlight w:val="none"/>
              </w:rPr>
            </w:pPr>
          </w:p>
          <w:p w14:paraId="30E90787">
            <w:pPr>
              <w:keepNext w:val="0"/>
              <w:keepLines w:val="0"/>
              <w:suppressLineNumbers w:val="0"/>
              <w:spacing w:before="0" w:beforeAutospacing="0" w:after="0" w:afterAutospacing="0"/>
              <w:ind w:left="0" w:right="0"/>
              <w:rPr>
                <w:rFonts w:hint="default"/>
                <w:color w:val="auto"/>
                <w:highlight w:val="none"/>
              </w:rPr>
            </w:pPr>
          </w:p>
          <w:p w14:paraId="4DF929CB">
            <w:pPr>
              <w:pStyle w:val="8"/>
              <w:keepNext w:val="0"/>
              <w:keepLines w:val="0"/>
              <w:suppressLineNumbers w:val="0"/>
              <w:spacing w:beforeAutospacing="0" w:afterAutospacing="0"/>
              <w:ind w:left="0"/>
              <w:rPr>
                <w:rFonts w:hint="default"/>
                <w:color w:val="auto"/>
                <w:highlight w:val="none"/>
              </w:rPr>
            </w:pPr>
          </w:p>
          <w:p w14:paraId="05449044">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7E4161AB">
            <w:pPr>
              <w:pStyle w:val="26"/>
              <w:keepNext w:val="0"/>
              <w:keepLines w:val="0"/>
              <w:suppressLineNumbers w:val="0"/>
              <w:bidi w:val="0"/>
              <w:spacing w:before="0" w:beforeAutospacing="0" w:after="0" w:afterAutospacing="0"/>
              <w:ind w:left="0" w:right="0"/>
              <w:rPr>
                <w:rFonts w:hint="default"/>
                <w:color w:val="auto"/>
                <w:highlight w:val="none"/>
              </w:rPr>
            </w:pPr>
          </w:p>
          <w:p w14:paraId="797E4EF1">
            <w:pPr>
              <w:keepNext w:val="0"/>
              <w:keepLines w:val="0"/>
              <w:suppressLineNumbers w:val="0"/>
              <w:spacing w:before="0" w:beforeAutospacing="0" w:after="0" w:afterAutospacing="0"/>
              <w:ind w:left="0" w:right="0"/>
              <w:rPr>
                <w:rFonts w:hint="default"/>
                <w:color w:val="auto"/>
                <w:highlight w:val="none"/>
              </w:rPr>
            </w:pPr>
          </w:p>
          <w:p w14:paraId="2B4CEC9E">
            <w:pPr>
              <w:keepNext w:val="0"/>
              <w:keepLines w:val="0"/>
              <w:suppressLineNumbers w:val="0"/>
              <w:spacing w:before="0" w:beforeAutospacing="0" w:after="0" w:afterAutospacing="0"/>
              <w:ind w:left="0" w:right="0"/>
              <w:rPr>
                <w:rFonts w:hint="default"/>
                <w:color w:val="auto"/>
                <w:highlight w:val="none"/>
              </w:rPr>
            </w:pPr>
          </w:p>
          <w:p w14:paraId="34CFE9FA">
            <w:pPr>
              <w:pStyle w:val="8"/>
              <w:keepNext w:val="0"/>
              <w:keepLines w:val="0"/>
              <w:suppressLineNumbers w:val="0"/>
              <w:spacing w:beforeAutospacing="0" w:afterAutospacing="0"/>
              <w:ind w:left="0"/>
              <w:rPr>
                <w:rFonts w:hint="default"/>
                <w:color w:val="auto"/>
                <w:highlight w:val="none"/>
              </w:rPr>
            </w:pPr>
          </w:p>
          <w:p w14:paraId="0B31F47C">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4961CC42">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72502BDE">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4182730E">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3A71AEB4">
            <w:pPr>
              <w:pStyle w:val="2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2</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default"/>
                <w:color w:val="auto"/>
                <w:sz w:val="24"/>
                <w:szCs w:val="24"/>
                <w:highlight w:val="none"/>
              </w:rPr>
              <w:t>运营期</w:t>
            </w:r>
            <w:r>
              <w:rPr>
                <w:rFonts w:hint="eastAsia"/>
                <w:color w:val="auto"/>
                <w:sz w:val="24"/>
                <w:szCs w:val="24"/>
                <w:highlight w:val="none"/>
                <w:lang w:val="en-US" w:eastAsia="zh-CN"/>
              </w:rPr>
              <w:t>检测工作</w:t>
            </w:r>
            <w:r>
              <w:rPr>
                <w:rFonts w:hint="default"/>
                <w:color w:val="auto"/>
                <w:sz w:val="24"/>
                <w:szCs w:val="24"/>
                <w:highlight w:val="none"/>
              </w:rPr>
              <w:t>工艺流程及产污环节图</w:t>
            </w:r>
          </w:p>
          <w:p w14:paraId="78314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b w:val="0"/>
                <w:bCs w:val="0"/>
                <w:color w:val="auto"/>
                <w:highlight w:val="none"/>
              </w:rPr>
            </w:pPr>
            <w:r>
              <w:rPr>
                <w:rFonts w:hint="default"/>
                <w:b w:val="0"/>
                <w:bCs w:val="0"/>
                <w:color w:val="auto"/>
                <w:highlight w:val="none"/>
              </w:rPr>
              <w:t>由于本项目在实验过程中检测项目较多，主要涉及地表水、地下水和废水检测、大气和废气检测、土壤检测、噪声检测等，本</w:t>
            </w:r>
            <w:r>
              <w:rPr>
                <w:rFonts w:hint="eastAsia"/>
                <w:b w:val="0"/>
                <w:bCs w:val="0"/>
                <w:color w:val="auto"/>
                <w:highlight w:val="none"/>
                <w:lang w:eastAsia="zh-CN"/>
              </w:rPr>
              <w:t>报告</w:t>
            </w:r>
            <w:r>
              <w:rPr>
                <w:rFonts w:hint="default"/>
                <w:b w:val="0"/>
                <w:bCs w:val="0"/>
                <w:color w:val="auto"/>
                <w:highlight w:val="none"/>
              </w:rPr>
              <w:t>选取有代表性的检测方法和检测项目来分析实验过程中的产污节点。</w:t>
            </w:r>
          </w:p>
          <w:p w14:paraId="20302A44">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b/>
                <w:bCs/>
                <w:color w:val="auto"/>
                <w:highlight w:val="none"/>
              </w:rPr>
              <w:t>水质</w:t>
            </w:r>
            <w:r>
              <w:rPr>
                <w:rFonts w:hint="eastAsia"/>
                <w:b/>
                <w:bCs/>
                <w:color w:val="auto"/>
                <w:highlight w:val="none"/>
                <w:lang w:val="en-US" w:eastAsia="zh-CN"/>
              </w:rPr>
              <w:t>COD</w:t>
            </w:r>
            <w:r>
              <w:rPr>
                <w:rFonts w:hint="default"/>
                <w:b/>
                <w:bCs/>
                <w:color w:val="auto"/>
                <w:highlight w:val="none"/>
              </w:rPr>
              <w:t>的测定重铬酸盐法</w:t>
            </w:r>
          </w:p>
          <w:p w14:paraId="145FCE76">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3ECD5C3D">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436BC549">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5F0A199B">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645EB12D">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4859449A">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r>
              <w:rPr>
                <w:rFonts w:hint="default"/>
                <w:color w:val="auto"/>
                <w:sz w:val="24"/>
                <w:highlight w:val="none"/>
              </w:rPr>
              <mc:AlternateContent>
                <mc:Choice Requires="wpg">
                  <w:drawing>
                    <wp:anchor distT="0" distB="0" distL="114300" distR="114300" simplePos="0" relativeHeight="251661312" behindDoc="0" locked="0" layoutInCell="1" allowOverlap="1">
                      <wp:simplePos x="0" y="0"/>
                      <wp:positionH relativeFrom="column">
                        <wp:posOffset>617220</wp:posOffset>
                      </wp:positionH>
                      <wp:positionV relativeFrom="paragraph">
                        <wp:posOffset>36195</wp:posOffset>
                      </wp:positionV>
                      <wp:extent cx="3752215" cy="4678680"/>
                      <wp:effectExtent l="0" t="0" r="0" b="7620"/>
                      <wp:wrapNone/>
                      <wp:docPr id="247" name="组合 247"/>
                      <wp:cNvGraphicFramePr/>
                      <a:graphic xmlns:a="http://schemas.openxmlformats.org/drawingml/2006/main">
                        <a:graphicData uri="http://schemas.microsoft.com/office/word/2010/wordprocessingGroup">
                          <wpg:wgp>
                            <wpg:cNvGrpSpPr/>
                            <wpg:grpSpPr>
                              <a:xfrm>
                                <a:off x="0" y="0"/>
                                <a:ext cx="3752215" cy="4678680"/>
                                <a:chOff x="6197" y="429705"/>
                                <a:chExt cx="5909" cy="7368"/>
                              </a:xfrm>
                            </wpg:grpSpPr>
                            <wps:wsp>
                              <wps:cNvPr id="190" name="矩形 469"/>
                              <wps:cNvSpPr/>
                              <wps:spPr>
                                <a:xfrm>
                                  <a:off x="8887" y="430558"/>
                                  <a:ext cx="1287"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65AEB">
                                    <w:pPr>
                                      <w:pStyle w:val="27"/>
                                      <w:bidi w:val="0"/>
                                      <w:rPr>
                                        <w:rFonts w:hint="eastAsia" w:eastAsia="宋体"/>
                                        <w:lang w:val="en-US" w:eastAsia="zh-CN"/>
                                      </w:rPr>
                                    </w:pPr>
                                    <w:r>
                                      <w:rPr>
                                        <w:rFonts w:hint="eastAsia"/>
                                        <w:lang w:val="en-US" w:eastAsia="zh-CN"/>
                                      </w:rPr>
                                      <w:t>样品取样</w:t>
                                    </w:r>
                                  </w:p>
                                </w:txbxContent>
                              </wps:txbx>
                              <wps:bodyPr wrap="square" upright="1"/>
                            </wps:wsp>
                            <wps:wsp>
                              <wps:cNvPr id="191" name="矩形 470"/>
                              <wps:cNvSpPr/>
                              <wps:spPr>
                                <a:xfrm>
                                  <a:off x="8860" y="429705"/>
                                  <a:ext cx="1287" cy="433"/>
                                </a:xfrm>
                                <a:prstGeom prst="rect">
                                  <a:avLst/>
                                </a:prstGeom>
                                <a:solidFill>
                                  <a:srgbClr val="FFFFFF">
                                    <a:alpha val="0"/>
                                  </a:srgbClr>
                                </a:solidFill>
                                <a:ln>
                                  <a:noFill/>
                                </a:ln>
                              </wps:spPr>
                              <wps:txbx>
                                <w:txbxContent>
                                  <w:p w14:paraId="21B87D75">
                                    <w:pPr>
                                      <w:pStyle w:val="27"/>
                                      <w:bidi w:val="0"/>
                                    </w:pPr>
                                    <w:r>
                                      <w:rPr>
                                        <w:rFonts w:hint="eastAsia"/>
                                        <w:lang w:val="en-US" w:eastAsia="zh-CN"/>
                                      </w:rPr>
                                      <w:t>样品</w:t>
                                    </w:r>
                                  </w:p>
                                </w:txbxContent>
                              </wps:txbx>
                              <wps:bodyPr wrap="square" upright="1"/>
                            </wps:wsp>
                            <wps:wsp>
                              <wps:cNvPr id="192" name="自选图形 471"/>
                              <wps:cNvCnPr/>
                              <wps:spPr>
                                <a:xfrm>
                                  <a:off x="9491" y="430057"/>
                                  <a:ext cx="0" cy="447"/>
                                </a:xfrm>
                                <a:prstGeom prst="straightConnector1">
                                  <a:avLst/>
                                </a:prstGeom>
                                <a:ln w="9525" cap="flat" cmpd="sng">
                                  <a:solidFill>
                                    <a:srgbClr val="000000"/>
                                  </a:solidFill>
                                  <a:prstDash val="solid"/>
                                  <a:headEnd type="none" w="med" len="med"/>
                                  <a:tailEnd type="triangle" w="med" len="med"/>
                                </a:ln>
                              </wps:spPr>
                              <wps:bodyPr/>
                            </wps:wsp>
                            <wps:wsp>
                              <wps:cNvPr id="193" name="自选图形 472"/>
                              <wps:cNvCnPr/>
                              <wps:spPr>
                                <a:xfrm>
                                  <a:off x="9509" y="430991"/>
                                  <a:ext cx="0" cy="447"/>
                                </a:xfrm>
                                <a:prstGeom prst="straightConnector1">
                                  <a:avLst/>
                                </a:prstGeom>
                                <a:ln w="9525" cap="flat" cmpd="sng">
                                  <a:solidFill>
                                    <a:srgbClr val="000000"/>
                                  </a:solidFill>
                                  <a:prstDash val="solid"/>
                                  <a:headEnd type="none" w="med" len="med"/>
                                  <a:tailEnd type="triangle" w="med" len="med"/>
                                </a:ln>
                              </wps:spPr>
                              <wps:bodyPr/>
                            </wps:wsp>
                            <wps:wsp>
                              <wps:cNvPr id="194" name="矩形 473"/>
                              <wps:cNvSpPr/>
                              <wps:spPr>
                                <a:xfrm>
                                  <a:off x="8851" y="431438"/>
                                  <a:ext cx="1325"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4FE40D">
                                    <w:pPr>
                                      <w:pStyle w:val="27"/>
                                      <w:bidi w:val="0"/>
                                      <w:rPr>
                                        <w:rFonts w:hint="eastAsia" w:eastAsia="宋体"/>
                                        <w:lang w:val="en-US" w:eastAsia="zh-CN"/>
                                      </w:rPr>
                                    </w:pPr>
                                    <w:r>
                                      <w:rPr>
                                        <w:rFonts w:hint="eastAsia"/>
                                        <w:lang w:val="en-US" w:eastAsia="zh-CN"/>
                                      </w:rPr>
                                      <w:t>加试剂</w:t>
                                    </w:r>
                                  </w:p>
                                </w:txbxContent>
                              </wps:txbx>
                              <wps:bodyPr wrap="square" upright="1"/>
                            </wps:wsp>
                            <wps:wsp>
                              <wps:cNvPr id="195" name="自选图形 474"/>
                              <wps:cNvCnPr/>
                              <wps:spPr>
                                <a:xfrm>
                                  <a:off x="9543" y="431870"/>
                                  <a:ext cx="0" cy="447"/>
                                </a:xfrm>
                                <a:prstGeom prst="straightConnector1">
                                  <a:avLst/>
                                </a:prstGeom>
                                <a:ln w="9525" cap="flat" cmpd="sng">
                                  <a:solidFill>
                                    <a:srgbClr val="000000"/>
                                  </a:solidFill>
                                  <a:prstDash val="solid"/>
                                  <a:headEnd type="none" w="med" len="med"/>
                                  <a:tailEnd type="triangle" w="med" len="med"/>
                                </a:ln>
                              </wps:spPr>
                              <wps:bodyPr/>
                            </wps:wsp>
                            <wps:wsp>
                              <wps:cNvPr id="197" name="自选图形 478"/>
                              <wps:cNvCnPr/>
                              <wps:spPr>
                                <a:xfrm flipH="1">
                                  <a:off x="9554" y="432716"/>
                                  <a:ext cx="7" cy="431"/>
                                </a:xfrm>
                                <a:prstGeom prst="straightConnector1">
                                  <a:avLst/>
                                </a:prstGeom>
                                <a:ln w="6350" cap="flat" cmpd="sng">
                                  <a:solidFill>
                                    <a:srgbClr val="000000"/>
                                  </a:solidFill>
                                  <a:prstDash val="solid"/>
                                  <a:headEnd type="none" w="med" len="med"/>
                                  <a:tailEnd type="triangle" w="med" len="med"/>
                                </a:ln>
                              </wps:spPr>
                              <wps:bodyPr/>
                            </wps:wsp>
                            <wps:wsp>
                              <wps:cNvPr id="202" name="矩形 479"/>
                              <wps:cNvSpPr/>
                              <wps:spPr>
                                <a:xfrm>
                                  <a:off x="9023" y="433152"/>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BE8BA">
                                    <w:pPr>
                                      <w:pStyle w:val="27"/>
                                      <w:bidi w:val="0"/>
                                      <w:rPr>
                                        <w:rFonts w:hint="eastAsia" w:eastAsia="宋体"/>
                                        <w:lang w:eastAsia="zh-CN"/>
                                      </w:rPr>
                                    </w:pPr>
                                    <w:r>
                                      <w:rPr>
                                        <w:rFonts w:hint="eastAsia"/>
                                        <w:lang w:val="en-US" w:eastAsia="zh-CN"/>
                                      </w:rPr>
                                      <w:t>冷却</w:t>
                                    </w:r>
                                  </w:p>
                                </w:txbxContent>
                              </wps:txbx>
                              <wps:bodyPr wrap="square" upright="1"/>
                            </wps:wsp>
                            <wps:wsp>
                              <wps:cNvPr id="203" name="矩形 479"/>
                              <wps:cNvSpPr/>
                              <wps:spPr>
                                <a:xfrm>
                                  <a:off x="10772" y="434401"/>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D89AB2">
                                    <w:pPr>
                                      <w:pStyle w:val="27"/>
                                      <w:bidi w:val="0"/>
                                      <w:rPr>
                                        <w:rFonts w:hint="eastAsia" w:eastAsia="宋体"/>
                                        <w:lang w:eastAsia="zh-CN"/>
                                      </w:rPr>
                                    </w:pPr>
                                    <w:r>
                                      <w:rPr>
                                        <w:rFonts w:hint="eastAsia"/>
                                        <w:lang w:val="en-US" w:eastAsia="zh-CN"/>
                                      </w:rPr>
                                      <w:t>清洗</w:t>
                                    </w:r>
                                  </w:p>
                                </w:txbxContent>
                              </wps:txbx>
                              <wps:bodyPr wrap="square" upright="1"/>
                            </wps:wsp>
                            <wps:wsp>
                              <wps:cNvPr id="208" name="自选图形 478"/>
                              <wps:cNvCnPr/>
                              <wps:spPr>
                                <a:xfrm>
                                  <a:off x="11291" y="434838"/>
                                  <a:ext cx="4" cy="439"/>
                                </a:xfrm>
                                <a:prstGeom prst="straightConnector1">
                                  <a:avLst/>
                                </a:prstGeom>
                                <a:ln w="9525" cap="flat" cmpd="sng">
                                  <a:solidFill>
                                    <a:srgbClr val="000000"/>
                                  </a:solidFill>
                                  <a:prstDash val="solid"/>
                                  <a:headEnd type="none" w="med" len="med"/>
                                  <a:tailEnd type="triangle" w="med" len="med"/>
                                </a:ln>
                              </wps:spPr>
                              <wps:bodyPr/>
                            </wps:wsp>
                            <wps:wsp>
                              <wps:cNvPr id="213" name="矩形 479"/>
                              <wps:cNvSpPr/>
                              <wps:spPr>
                                <a:xfrm>
                                  <a:off x="8992" y="434917"/>
                                  <a:ext cx="1216"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A92B6C">
                                    <w:pPr>
                                      <w:pStyle w:val="27"/>
                                      <w:bidi w:val="0"/>
                                      <w:rPr>
                                        <w:rFonts w:hint="eastAsia" w:eastAsia="宋体"/>
                                        <w:lang w:eastAsia="zh-CN"/>
                                      </w:rPr>
                                    </w:pPr>
                                    <w:r>
                                      <w:rPr>
                                        <w:rFonts w:hint="eastAsia"/>
                                        <w:lang w:val="en-US" w:eastAsia="zh-CN"/>
                                      </w:rPr>
                                      <w:t>记录结果</w:t>
                                    </w:r>
                                  </w:p>
                                </w:txbxContent>
                              </wps:txbx>
                              <wps:bodyPr wrap="square" upright="1"/>
                            </wps:wsp>
                            <wps:wsp>
                              <wps:cNvPr id="218" name="自选图形 478"/>
                              <wps:cNvCnPr/>
                              <wps:spPr>
                                <a:xfrm>
                                  <a:off x="9621" y="436212"/>
                                  <a:ext cx="4" cy="436"/>
                                </a:xfrm>
                                <a:prstGeom prst="straightConnector1">
                                  <a:avLst/>
                                </a:prstGeom>
                                <a:ln w="9525" cap="flat" cmpd="sng">
                                  <a:solidFill>
                                    <a:srgbClr val="000000"/>
                                  </a:solidFill>
                                  <a:prstDash val="solid"/>
                                  <a:headEnd type="none" w="med" len="med"/>
                                  <a:tailEnd type="triangle" w="med" len="med"/>
                                </a:ln>
                              </wps:spPr>
                              <wps:bodyPr/>
                            </wps:wsp>
                            <wps:wsp>
                              <wps:cNvPr id="219" name="自选图形 478"/>
                              <wps:cNvCnPr/>
                              <wps:spPr>
                                <a:xfrm>
                                  <a:off x="9601" y="434475"/>
                                  <a:ext cx="4" cy="436"/>
                                </a:xfrm>
                                <a:prstGeom prst="straightConnector1">
                                  <a:avLst/>
                                </a:prstGeom>
                                <a:ln w="9525" cap="flat" cmpd="sng">
                                  <a:solidFill>
                                    <a:srgbClr val="000000"/>
                                  </a:solidFill>
                                  <a:prstDash val="solid"/>
                                  <a:headEnd type="none" w="med" len="med"/>
                                  <a:tailEnd type="triangle" w="med" len="med"/>
                                </a:ln>
                              </wps:spPr>
                              <wps:bodyPr/>
                            </wps:wsp>
                            <wps:wsp>
                              <wps:cNvPr id="220" name="矩形 470"/>
                              <wps:cNvSpPr/>
                              <wps:spPr>
                                <a:xfrm>
                                  <a:off x="10637" y="435356"/>
                                  <a:ext cx="1265" cy="742"/>
                                </a:xfrm>
                                <a:prstGeom prst="rect">
                                  <a:avLst/>
                                </a:prstGeom>
                                <a:solidFill>
                                  <a:srgbClr val="FFFFFF">
                                    <a:alpha val="0"/>
                                  </a:srgbClr>
                                </a:solidFill>
                                <a:ln>
                                  <a:noFill/>
                                </a:ln>
                              </wps:spPr>
                              <wps:txbx>
                                <w:txbxContent>
                                  <w:p w14:paraId="70C3FE45">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wps:txbx>
                              <wps:bodyPr wrap="square" lIns="0" tIns="0" rIns="0" bIns="0" upright="1"/>
                            </wps:wsp>
                            <wps:wsp>
                              <wps:cNvPr id="221" name="矩形 479"/>
                              <wps:cNvSpPr/>
                              <wps:spPr>
                                <a:xfrm>
                                  <a:off x="9086" y="435787"/>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DC31D7">
                                    <w:pPr>
                                      <w:pStyle w:val="27"/>
                                      <w:bidi w:val="0"/>
                                      <w:rPr>
                                        <w:rFonts w:hint="eastAsia" w:eastAsia="宋体"/>
                                        <w:lang w:eastAsia="zh-CN"/>
                                      </w:rPr>
                                    </w:pPr>
                                    <w:r>
                                      <w:rPr>
                                        <w:rFonts w:hint="eastAsia"/>
                                        <w:lang w:val="en-US" w:eastAsia="zh-CN"/>
                                      </w:rPr>
                                      <w:t>计算</w:t>
                                    </w:r>
                                  </w:p>
                                </w:txbxContent>
                              </wps:txbx>
                              <wps:bodyPr wrap="square" upright="1"/>
                            </wps:wsp>
                            <wps:wsp>
                              <wps:cNvPr id="222" name="矩形 479"/>
                              <wps:cNvSpPr/>
                              <wps:spPr>
                                <a:xfrm>
                                  <a:off x="9055" y="434029"/>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29823E">
                                    <w:pPr>
                                      <w:pStyle w:val="27"/>
                                      <w:bidi w:val="0"/>
                                      <w:rPr>
                                        <w:rFonts w:hint="eastAsia" w:eastAsia="宋体"/>
                                        <w:lang w:eastAsia="zh-CN"/>
                                      </w:rPr>
                                    </w:pPr>
                                    <w:r>
                                      <w:rPr>
                                        <w:rFonts w:hint="eastAsia"/>
                                        <w:lang w:val="en-US" w:eastAsia="zh-CN"/>
                                      </w:rPr>
                                      <w:t>滴定</w:t>
                                    </w:r>
                                  </w:p>
                                </w:txbxContent>
                              </wps:txbx>
                              <wps:bodyPr wrap="square" upright="1"/>
                            </wps:wsp>
                            <wps:wsp>
                              <wps:cNvPr id="223" name="自选图形 478"/>
                              <wps:cNvCnPr/>
                              <wps:spPr>
                                <a:xfrm>
                                  <a:off x="9616" y="435365"/>
                                  <a:ext cx="4" cy="436"/>
                                </a:xfrm>
                                <a:prstGeom prst="straightConnector1">
                                  <a:avLst/>
                                </a:prstGeom>
                                <a:ln w="9525" cap="flat" cmpd="sng">
                                  <a:solidFill>
                                    <a:srgbClr val="000000"/>
                                  </a:solidFill>
                                  <a:prstDash val="solid"/>
                                  <a:headEnd type="none" w="med" len="med"/>
                                  <a:tailEnd type="triangle" w="med" len="med"/>
                                </a:ln>
                              </wps:spPr>
                              <wps:bodyPr/>
                            </wps:wsp>
                            <wps:wsp>
                              <wps:cNvPr id="228" name="自选图形 478"/>
                              <wps:cNvCnPr/>
                              <wps:spPr>
                                <a:xfrm flipV="1">
                                  <a:off x="8399" y="431669"/>
                                  <a:ext cx="477" cy="5"/>
                                </a:xfrm>
                                <a:prstGeom prst="straightConnector1">
                                  <a:avLst/>
                                </a:prstGeom>
                                <a:ln w="9525" cap="flat" cmpd="sng">
                                  <a:solidFill>
                                    <a:schemeClr val="tx1"/>
                                  </a:solidFill>
                                  <a:prstDash val="solid"/>
                                  <a:headEnd type="none" w="med" len="med"/>
                                  <a:tailEnd type="triangle" w="med" len="med"/>
                                </a:ln>
                              </wps:spPr>
                              <wps:bodyPr/>
                            </wps:wsp>
                            <wps:wsp>
                              <wps:cNvPr id="233" name="矩形 479"/>
                              <wps:cNvSpPr/>
                              <wps:spPr>
                                <a:xfrm>
                                  <a:off x="8857" y="436640"/>
                                  <a:ext cx="1522"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A059F8">
                                    <w:pPr>
                                      <w:pStyle w:val="27"/>
                                      <w:bidi w:val="0"/>
                                      <w:rPr>
                                        <w:rFonts w:hint="default" w:eastAsia="宋体"/>
                                        <w:lang w:val="en-US" w:eastAsia="zh-CN"/>
                                      </w:rPr>
                                    </w:pPr>
                                    <w:r>
                                      <w:rPr>
                                        <w:rFonts w:hint="eastAsia"/>
                                        <w:lang w:val="en-US" w:eastAsia="zh-CN"/>
                                      </w:rPr>
                                      <w:t>编制报告</w:t>
                                    </w:r>
                                  </w:p>
                                </w:txbxContent>
                              </wps:txbx>
                              <wps:bodyPr wrap="square" upright="1"/>
                            </wps:wsp>
                            <wps:wsp>
                              <wps:cNvPr id="236" name="矩形 470"/>
                              <wps:cNvSpPr/>
                              <wps:spPr>
                                <a:xfrm>
                                  <a:off x="6197" y="431388"/>
                                  <a:ext cx="2176" cy="577"/>
                                </a:xfrm>
                                <a:prstGeom prst="rect">
                                  <a:avLst/>
                                </a:prstGeom>
                                <a:solidFill>
                                  <a:srgbClr val="FFFFFF">
                                    <a:alpha val="0"/>
                                  </a:srgbClr>
                                </a:solidFill>
                                <a:ln>
                                  <a:noFill/>
                                </a:ln>
                              </wps:spPr>
                              <wps:txbx>
                                <w:txbxContent>
                                  <w:p w14:paraId="6157902E">
                                    <w:pPr>
                                      <w:pStyle w:val="27"/>
                                      <w:bidi w:val="0"/>
                                      <w:rPr>
                                        <w:rFonts w:hint="eastAsia"/>
                                        <w:lang w:val="en-US" w:eastAsia="zh-CN"/>
                                      </w:rPr>
                                    </w:pPr>
                                    <w:r>
                                      <w:rPr>
                                        <w:rFonts w:hint="eastAsia"/>
                                        <w:lang w:val="en-US" w:eastAsia="zh-CN"/>
                                      </w:rPr>
                                      <w:t>硫酸汞、重铬酸钾、</w:t>
                                    </w:r>
                                  </w:p>
                                  <w:p w14:paraId="484E949B">
                                    <w:pPr>
                                      <w:pStyle w:val="27"/>
                                      <w:bidi w:val="0"/>
                                    </w:pPr>
                                    <w:r>
                                      <w:rPr>
                                        <w:rFonts w:hint="eastAsia"/>
                                        <w:lang w:val="en-US" w:eastAsia="zh-CN"/>
                                      </w:rPr>
                                      <w:t>标准溶液</w:t>
                                    </w:r>
                                  </w:p>
                                </w:txbxContent>
                              </wps:txbx>
                              <wps:bodyPr wrap="square" lIns="0" tIns="0" rIns="0" bIns="0" upright="1"/>
                            </wps:wsp>
                            <wps:wsp>
                              <wps:cNvPr id="237" name="矩形 473"/>
                              <wps:cNvSpPr/>
                              <wps:spPr>
                                <a:xfrm>
                                  <a:off x="8884" y="432281"/>
                                  <a:ext cx="1325"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AF40E3">
                                    <w:pPr>
                                      <w:pStyle w:val="27"/>
                                      <w:bidi w:val="0"/>
                                      <w:rPr>
                                        <w:rFonts w:hint="eastAsia" w:eastAsia="宋体"/>
                                        <w:lang w:val="en-US" w:eastAsia="zh-CN"/>
                                      </w:rPr>
                                    </w:pPr>
                                    <w:r>
                                      <w:rPr>
                                        <w:rFonts w:hint="eastAsia"/>
                                        <w:lang w:val="en-US" w:eastAsia="zh-CN"/>
                                      </w:rPr>
                                      <w:t>回流加热</w:t>
                                    </w:r>
                                  </w:p>
                                </w:txbxContent>
                              </wps:txbx>
                              <wps:bodyPr wrap="square" upright="1"/>
                            </wps:wsp>
                            <wps:wsp>
                              <wps:cNvPr id="238" name="自选图形 478"/>
                              <wps:cNvCnPr/>
                              <wps:spPr>
                                <a:xfrm flipV="1">
                                  <a:off x="8574" y="434253"/>
                                  <a:ext cx="477" cy="5"/>
                                </a:xfrm>
                                <a:prstGeom prst="straightConnector1">
                                  <a:avLst/>
                                </a:prstGeom>
                                <a:ln w="9525" cap="flat" cmpd="sng">
                                  <a:solidFill>
                                    <a:schemeClr val="tx1"/>
                                  </a:solidFill>
                                  <a:prstDash val="solid"/>
                                  <a:headEnd type="none" w="med" len="med"/>
                                  <a:tailEnd type="triangle" w="med" len="med"/>
                                </a:ln>
                              </wps:spPr>
                              <wps:bodyPr/>
                            </wps:wsp>
                            <wps:wsp>
                              <wps:cNvPr id="239" name="自选图形 478"/>
                              <wps:cNvCnPr/>
                              <wps:spPr>
                                <a:xfrm flipV="1">
                                  <a:off x="9589" y="434605"/>
                                  <a:ext cx="1164" cy="13"/>
                                </a:xfrm>
                                <a:prstGeom prst="straightConnector1">
                                  <a:avLst/>
                                </a:prstGeom>
                                <a:ln w="9525" cap="flat" cmpd="sng">
                                  <a:solidFill>
                                    <a:schemeClr val="tx1"/>
                                  </a:solidFill>
                                  <a:prstDash val="solid"/>
                                  <a:headEnd type="none" w="med" len="med"/>
                                  <a:tailEnd type="triangle" w="med" len="med"/>
                                </a:ln>
                              </wps:spPr>
                              <wps:bodyPr/>
                            </wps:wsp>
                            <wps:wsp>
                              <wps:cNvPr id="240" name="自选图形 478"/>
                              <wps:cNvCnPr/>
                              <wps:spPr>
                                <a:xfrm flipH="1">
                                  <a:off x="9576" y="433592"/>
                                  <a:ext cx="7" cy="431"/>
                                </a:xfrm>
                                <a:prstGeom prst="straightConnector1">
                                  <a:avLst/>
                                </a:prstGeom>
                                <a:ln w="6350" cap="flat" cmpd="sng">
                                  <a:solidFill>
                                    <a:srgbClr val="000000"/>
                                  </a:solidFill>
                                  <a:prstDash val="solid"/>
                                  <a:headEnd type="none" w="med" len="med"/>
                                  <a:tailEnd type="triangle" w="med" len="med"/>
                                </a:ln>
                              </wps:spPr>
                              <wps:bodyPr/>
                            </wps:wsp>
                            <wps:wsp>
                              <wps:cNvPr id="241" name="自选图形 478"/>
                              <wps:cNvCnPr/>
                              <wps:spPr>
                                <a:xfrm flipV="1">
                                  <a:off x="8410" y="432490"/>
                                  <a:ext cx="477" cy="5"/>
                                </a:xfrm>
                                <a:prstGeom prst="straightConnector1">
                                  <a:avLst/>
                                </a:prstGeom>
                                <a:ln w="9525" cap="flat" cmpd="sng">
                                  <a:solidFill>
                                    <a:schemeClr val="tx1"/>
                                  </a:solidFill>
                                  <a:prstDash val="solid"/>
                                  <a:headEnd type="none" w="med" len="med"/>
                                  <a:tailEnd type="triangle" w="med" len="med"/>
                                </a:ln>
                              </wps:spPr>
                              <wps:bodyPr/>
                            </wps:wsp>
                            <wps:wsp>
                              <wps:cNvPr id="242" name="矩形 470"/>
                              <wps:cNvSpPr/>
                              <wps:spPr>
                                <a:xfrm>
                                  <a:off x="6438" y="432341"/>
                                  <a:ext cx="2176" cy="380"/>
                                </a:xfrm>
                                <a:prstGeom prst="rect">
                                  <a:avLst/>
                                </a:prstGeom>
                                <a:solidFill>
                                  <a:srgbClr val="FFFFFF">
                                    <a:alpha val="0"/>
                                  </a:srgbClr>
                                </a:solidFill>
                                <a:ln>
                                  <a:noFill/>
                                </a:ln>
                              </wps:spPr>
                              <wps:txbx>
                                <w:txbxContent>
                                  <w:p w14:paraId="13011084">
                                    <w:pPr>
                                      <w:pStyle w:val="27"/>
                                      <w:bidi w:val="0"/>
                                    </w:pPr>
                                    <w:r>
                                      <w:rPr>
                                        <w:rFonts w:hint="eastAsia"/>
                                        <w:lang w:val="en-US" w:eastAsia="zh-CN"/>
                                      </w:rPr>
                                      <w:t>硫酸银-硫酸溶液</w:t>
                                    </w:r>
                                  </w:p>
                                </w:txbxContent>
                              </wps:txbx>
                              <wps:bodyPr wrap="square" lIns="0" tIns="0" rIns="0" bIns="0" upright="1"/>
                            </wps:wsp>
                            <wps:wsp>
                              <wps:cNvPr id="243" name="矩形 470"/>
                              <wps:cNvSpPr/>
                              <wps:spPr>
                                <a:xfrm>
                                  <a:off x="6382" y="433981"/>
                                  <a:ext cx="2176" cy="533"/>
                                </a:xfrm>
                                <a:prstGeom prst="rect">
                                  <a:avLst/>
                                </a:prstGeom>
                                <a:solidFill>
                                  <a:srgbClr val="FFFFFF">
                                    <a:alpha val="0"/>
                                  </a:srgbClr>
                                </a:solidFill>
                                <a:ln>
                                  <a:noFill/>
                                </a:ln>
                              </wps:spPr>
                              <wps:txbx>
                                <w:txbxContent>
                                  <w:p w14:paraId="0DB759FB">
                                    <w:pPr>
                                      <w:pStyle w:val="27"/>
                                      <w:bidi w:val="0"/>
                                      <w:rPr>
                                        <w:rFonts w:hint="eastAsia"/>
                                        <w:lang w:val="en-US" w:eastAsia="zh-CN"/>
                                      </w:rPr>
                                    </w:pPr>
                                    <w:r>
                                      <w:rPr>
                                        <w:rFonts w:hint="eastAsia"/>
                                        <w:lang w:val="en-US" w:eastAsia="zh-CN"/>
                                      </w:rPr>
                                      <w:t>亚铁灵指示剂溶液</w:t>
                                    </w:r>
                                  </w:p>
                                  <w:p w14:paraId="056A8F17">
                                    <w:pPr>
                                      <w:pStyle w:val="27"/>
                                      <w:bidi w:val="0"/>
                                      <w:rPr>
                                        <w:rFonts w:hint="default"/>
                                        <w:lang w:val="en-US" w:eastAsia="zh-CN"/>
                                      </w:rPr>
                                    </w:pPr>
                                    <w:r>
                                      <w:rPr>
                                        <w:rFonts w:hint="eastAsia"/>
                                        <w:lang w:val="en-US" w:eastAsia="zh-CN"/>
                                      </w:rPr>
                                      <w:t>硫酸亚铁铵标准溶液</w:t>
                                    </w:r>
                                  </w:p>
                                </w:txbxContent>
                              </wps:txbx>
                              <wps:bodyPr wrap="square" lIns="0" tIns="0" rIns="0" bIns="0" upright="1"/>
                            </wps:wsp>
                            <wps:wsp>
                              <wps:cNvPr id="244" name="自选图形 478"/>
                              <wps:cNvCnPr/>
                              <wps:spPr>
                                <a:xfrm flipV="1">
                                  <a:off x="10206" y="432497"/>
                                  <a:ext cx="638" cy="9"/>
                                </a:xfrm>
                                <a:prstGeom prst="straightConnector1">
                                  <a:avLst/>
                                </a:prstGeom>
                                <a:ln w="9525" cap="flat" cmpd="sng">
                                  <a:solidFill>
                                    <a:schemeClr val="tx1"/>
                                  </a:solidFill>
                                  <a:prstDash val="solid"/>
                                  <a:headEnd type="none" w="med" len="med"/>
                                  <a:tailEnd type="triangle" w="med" len="med"/>
                                </a:ln>
                              </wps:spPr>
                              <wps:bodyPr/>
                            </wps:wsp>
                            <wps:wsp>
                              <wps:cNvPr id="245" name="矩形 470"/>
                              <wps:cNvSpPr/>
                              <wps:spPr>
                                <a:xfrm>
                                  <a:off x="10841" y="432343"/>
                                  <a:ext cx="1265" cy="372"/>
                                </a:xfrm>
                                <a:prstGeom prst="rect">
                                  <a:avLst/>
                                </a:prstGeom>
                                <a:solidFill>
                                  <a:srgbClr val="FFFFFF">
                                    <a:alpha val="0"/>
                                  </a:srgbClr>
                                </a:solidFill>
                                <a:ln>
                                  <a:noFill/>
                                </a:ln>
                              </wps:spPr>
                              <wps:txbx>
                                <w:txbxContent>
                                  <w:p w14:paraId="194E249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w:t>
                                    </w:r>
                                  </w:p>
                                </w:txbxContent>
                              </wps:txbx>
                              <wps:bodyPr wrap="square" lIns="0" tIns="0" rIns="0" bIns="0" upright="1"/>
                            </wps:wsp>
                          </wpg:wgp>
                        </a:graphicData>
                      </a:graphic>
                    </wp:anchor>
                  </w:drawing>
                </mc:Choice>
                <mc:Fallback>
                  <w:pict>
                    <v:group id="_x0000_s1026" o:spid="_x0000_s1026" o:spt="203" style="position:absolute;left:0pt;margin-left:48.6pt;margin-top:2.85pt;height:368.4pt;width:295.45pt;z-index:251661312;mso-width-relative:page;mso-height-relative:page;" coordorigin="6197,429705" coordsize="5909,7368" o:gfxdata="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YatjyNkAAAAIAQAADwAAAAAAAAAB&#10;ACAAAAAiAAAAZHJzL2Rvd25yZXYueG1sUEsBAhQAFAAAAAgAh07iQFqLN2KDBgAAyUAAAA4AAAAA&#10;AAAAAQAgAAAAKAEAAGRycy9lMm9Eb2MueG1sUEsFBgAAAAAGAAYAWQEAAB0KAAAAAA==&#10;">
                      <o:lock v:ext="edit" aspectratio="f"/>
                      <v:rect id="矩形 469" o:spid="_x0000_s1026" o:spt="1" style="position:absolute;left:8887;top:430558;height:433;width:1287;" fillcolor="#FFFFFF" filled="t" stroked="t" coordsize="21600,21600" o:gfxdata="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2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A65AEB">
                              <w:pPr>
                                <w:pStyle w:val="27"/>
                                <w:bidi w:val="0"/>
                                <w:rPr>
                                  <w:rFonts w:hint="eastAsia" w:eastAsia="宋体"/>
                                  <w:lang w:val="en-US" w:eastAsia="zh-CN"/>
                                </w:rPr>
                              </w:pPr>
                              <w:r>
                                <w:rPr>
                                  <w:rFonts w:hint="eastAsia"/>
                                  <w:lang w:val="en-US" w:eastAsia="zh-CN"/>
                                </w:rPr>
                                <w:t>样品取样</w:t>
                              </w:r>
                            </w:p>
                          </w:txbxContent>
                        </v:textbox>
                      </v:rect>
                      <v:rect id="矩形 470" o:spid="_x0000_s1026" o:spt="1" style="position:absolute;left:8860;top:429705;height:433;width:1287;" fillcolor="#FFFFFF" filled="t" stroked="f" coordsize="21600,21600" o:gfxdata="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pYYy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21B87D75">
                              <w:pPr>
                                <w:pStyle w:val="27"/>
                                <w:bidi w:val="0"/>
                              </w:pPr>
                              <w:r>
                                <w:rPr>
                                  <w:rFonts w:hint="eastAsia"/>
                                  <w:lang w:val="en-US" w:eastAsia="zh-CN"/>
                                </w:rPr>
                                <w:t>样品</w:t>
                              </w:r>
                            </w:p>
                          </w:txbxContent>
                        </v:textbox>
                      </v:rect>
                      <v:shape id="自选图形 471" o:spid="_x0000_s1026" o:spt="32" type="#_x0000_t32" style="position:absolute;left:9491;top:430057;height:447;width:0;" filled="f" stroked="t" coordsize="21600,21600" o:gfxdata="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oZ2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2" o:spid="_x0000_s1026" o:spt="32" type="#_x0000_t32" style="position:absolute;left:9509;top:430991;height:447;width:0;"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73" o:spid="_x0000_s1026" o:spt="1" style="position:absolute;left:8851;top:431438;height:433;width:1325;" fillcolor="#FFFFFF" filled="t" stroked="t" coordsize="21600,21600" o:gfxdata="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Dr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4FE40D">
                              <w:pPr>
                                <w:pStyle w:val="27"/>
                                <w:bidi w:val="0"/>
                                <w:rPr>
                                  <w:rFonts w:hint="eastAsia" w:eastAsia="宋体"/>
                                  <w:lang w:val="en-US" w:eastAsia="zh-CN"/>
                                </w:rPr>
                              </w:pPr>
                              <w:r>
                                <w:rPr>
                                  <w:rFonts w:hint="eastAsia"/>
                                  <w:lang w:val="en-US" w:eastAsia="zh-CN"/>
                                </w:rPr>
                                <w:t>加试剂</w:t>
                              </w:r>
                            </w:p>
                          </w:txbxContent>
                        </v:textbox>
                      </v:rect>
                      <v:shape id="自选图形 474" o:spid="_x0000_s1026" o:spt="32" type="#_x0000_t32" style="position:absolute;left:9543;top:431870;height:447;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78" o:spid="_x0000_s1026" o:spt="32" type="#_x0000_t32" style="position:absolute;left:9554;top:432716;flip:x;height:431;width:7;" filled="f" stroked="t" coordsize="21600,21600" o:gfxdata="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97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rect id="矩形 479" o:spid="_x0000_s1026" o:spt="1" style="position:absolute;left:9023;top:433152;height:433;width:1053;" fillcolor="#FFFFFF"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3BE8BA">
                              <w:pPr>
                                <w:pStyle w:val="27"/>
                                <w:bidi w:val="0"/>
                                <w:rPr>
                                  <w:rFonts w:hint="eastAsia" w:eastAsia="宋体"/>
                                  <w:lang w:eastAsia="zh-CN"/>
                                </w:rPr>
                              </w:pPr>
                              <w:r>
                                <w:rPr>
                                  <w:rFonts w:hint="eastAsia"/>
                                  <w:lang w:val="en-US" w:eastAsia="zh-CN"/>
                                </w:rPr>
                                <w:t>冷却</w:t>
                              </w:r>
                            </w:p>
                          </w:txbxContent>
                        </v:textbox>
                      </v:rect>
                      <v:rect id="矩形 479" o:spid="_x0000_s1026" o:spt="1" style="position:absolute;left:10772;top:434401;height:433;width:1053;"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0D89AB2">
                              <w:pPr>
                                <w:pStyle w:val="27"/>
                                <w:bidi w:val="0"/>
                                <w:rPr>
                                  <w:rFonts w:hint="eastAsia" w:eastAsia="宋体"/>
                                  <w:lang w:eastAsia="zh-CN"/>
                                </w:rPr>
                              </w:pPr>
                              <w:r>
                                <w:rPr>
                                  <w:rFonts w:hint="eastAsia"/>
                                  <w:lang w:val="en-US" w:eastAsia="zh-CN"/>
                                </w:rPr>
                                <w:t>清洗</w:t>
                              </w:r>
                            </w:p>
                          </w:txbxContent>
                        </v:textbox>
                      </v:rect>
                      <v:shape id="自选图形 478" o:spid="_x0000_s1026" o:spt="32" type="#_x0000_t32" style="position:absolute;left:11291;top:434838;height:439;width:4;" filled="f" stroked="t" coordsize="21600,21600" o:gfxdata="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kd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479" o:spid="_x0000_s1026" o:spt="1" style="position:absolute;left:8992;top:434917;height:433;width:1216;" fillcolor="#FFFFFF" filled="t" stroked="t" coordsize="21600,21600" o:gfxdata="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xH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A92B6C">
                              <w:pPr>
                                <w:pStyle w:val="27"/>
                                <w:bidi w:val="0"/>
                                <w:rPr>
                                  <w:rFonts w:hint="eastAsia" w:eastAsia="宋体"/>
                                  <w:lang w:eastAsia="zh-CN"/>
                                </w:rPr>
                              </w:pPr>
                              <w:r>
                                <w:rPr>
                                  <w:rFonts w:hint="eastAsia"/>
                                  <w:lang w:val="en-US" w:eastAsia="zh-CN"/>
                                </w:rPr>
                                <w:t>记录结果</w:t>
                              </w:r>
                            </w:p>
                          </w:txbxContent>
                        </v:textbox>
                      </v:rect>
                      <v:shape id="自选图形 478" o:spid="_x0000_s1026" o:spt="32" type="#_x0000_t32" style="position:absolute;left:9621;top:436212;height:436;width:4;" filled="f" stroked="t" coordsize="21600,21600" o:gfxdata="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Yyq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78" o:spid="_x0000_s1026" o:spt="32" type="#_x0000_t32" style="position:absolute;left:9601;top:434475;height:436;width:4;" filled="f" stroked="t" coordsize="21600,21600" o:gfxdata="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XM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470" o:spid="_x0000_s1026" o:spt="1" style="position:absolute;left:10637;top:435356;height:742;width:1265;" fillcolor="#FFFFFF" filled="t" stroked="f" coordsize="21600,21600" o:gfxdata="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cxNurgAAADc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14:paraId="70C3FE45">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v:textbox>
                      </v:rect>
                      <v:rect id="矩形 479" o:spid="_x0000_s1026" o:spt="1" style="position:absolute;left:9086;top:435787;height:433;width:1053;" fillcolor="#FFFFFF" filled="t" stroked="t" coordsize="21600,21600" o:gfxdata="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C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DC31D7">
                              <w:pPr>
                                <w:pStyle w:val="27"/>
                                <w:bidi w:val="0"/>
                                <w:rPr>
                                  <w:rFonts w:hint="eastAsia" w:eastAsia="宋体"/>
                                  <w:lang w:eastAsia="zh-CN"/>
                                </w:rPr>
                              </w:pPr>
                              <w:r>
                                <w:rPr>
                                  <w:rFonts w:hint="eastAsia"/>
                                  <w:lang w:val="en-US" w:eastAsia="zh-CN"/>
                                </w:rPr>
                                <w:t>计算</w:t>
                              </w:r>
                            </w:p>
                          </w:txbxContent>
                        </v:textbox>
                      </v:rect>
                      <v:rect id="矩形 479" o:spid="_x0000_s1026" o:spt="1" style="position:absolute;left:9055;top:434029;height:433;width:1053;" fillcolor="#FFFFFF" filled="t" stroked="t" coordsize="21600,21600" o:gfxdata="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629823E">
                              <w:pPr>
                                <w:pStyle w:val="27"/>
                                <w:bidi w:val="0"/>
                                <w:rPr>
                                  <w:rFonts w:hint="eastAsia" w:eastAsia="宋体"/>
                                  <w:lang w:eastAsia="zh-CN"/>
                                </w:rPr>
                              </w:pPr>
                              <w:r>
                                <w:rPr>
                                  <w:rFonts w:hint="eastAsia"/>
                                  <w:lang w:val="en-US" w:eastAsia="zh-CN"/>
                                </w:rPr>
                                <w:t>滴定</w:t>
                              </w:r>
                            </w:p>
                          </w:txbxContent>
                        </v:textbox>
                      </v:rect>
                      <v:shape id="自选图形 478" o:spid="_x0000_s1026" o:spt="32" type="#_x0000_t32" style="position:absolute;left:9616;top:435365;height:436;width:4;"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8399;top:431669;flip:y;height:5;width:477;" filled="f" stroked="t" coordsize="21600,21600" o:gfxdata="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g04r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rect id="矩形 479" o:spid="_x0000_s1026" o:spt="1" style="position:absolute;left:8857;top:436640;height:433;width:1522;" fillcolor="#FFFFFF" filled="t" stroked="t" coordsize="21600,21600" o:gfxdata="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k2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A059F8">
                              <w:pPr>
                                <w:pStyle w:val="27"/>
                                <w:bidi w:val="0"/>
                                <w:rPr>
                                  <w:rFonts w:hint="default" w:eastAsia="宋体"/>
                                  <w:lang w:val="en-US" w:eastAsia="zh-CN"/>
                                </w:rPr>
                              </w:pPr>
                              <w:r>
                                <w:rPr>
                                  <w:rFonts w:hint="eastAsia"/>
                                  <w:lang w:val="en-US" w:eastAsia="zh-CN"/>
                                </w:rPr>
                                <w:t>编制报告</w:t>
                              </w:r>
                            </w:p>
                          </w:txbxContent>
                        </v:textbox>
                      </v:rect>
                      <v:rect id="矩形 470" o:spid="_x0000_s1026" o:spt="1" style="position:absolute;left:6197;top:431388;height:577;width:2176;" fillcolor="#FFFFFF" filled="t" stroked="f" coordsize="21600,21600" o:gfxdata="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miL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6157902E">
                              <w:pPr>
                                <w:pStyle w:val="27"/>
                                <w:bidi w:val="0"/>
                                <w:rPr>
                                  <w:rFonts w:hint="eastAsia"/>
                                  <w:lang w:val="en-US" w:eastAsia="zh-CN"/>
                                </w:rPr>
                              </w:pPr>
                              <w:r>
                                <w:rPr>
                                  <w:rFonts w:hint="eastAsia"/>
                                  <w:lang w:val="en-US" w:eastAsia="zh-CN"/>
                                </w:rPr>
                                <w:t>硫酸汞、重铬酸钾、</w:t>
                              </w:r>
                            </w:p>
                            <w:p w14:paraId="484E949B">
                              <w:pPr>
                                <w:pStyle w:val="27"/>
                                <w:bidi w:val="0"/>
                              </w:pPr>
                              <w:r>
                                <w:rPr>
                                  <w:rFonts w:hint="eastAsia"/>
                                  <w:lang w:val="en-US" w:eastAsia="zh-CN"/>
                                </w:rPr>
                                <w:t>标准溶液</w:t>
                              </w:r>
                            </w:p>
                          </w:txbxContent>
                        </v:textbox>
                      </v:rect>
                      <v:rect id="矩形 473" o:spid="_x0000_s1026" o:spt="1" style="position:absolute;left:8884;top:432281;height:433;width:1325;" fillcolor="#FFFFFF" filled="t" stroked="t" coordsize="21600,21600" o:gfxdata="UEsDBAoAAAAAAIdO4kAAAAAAAAAAAAAAAAAEAAAAZHJzL1BLAwQUAAAACACHTuJAGlFLq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Xg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U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AF40E3">
                              <w:pPr>
                                <w:pStyle w:val="27"/>
                                <w:bidi w:val="0"/>
                                <w:rPr>
                                  <w:rFonts w:hint="eastAsia" w:eastAsia="宋体"/>
                                  <w:lang w:val="en-US" w:eastAsia="zh-CN"/>
                                </w:rPr>
                              </w:pPr>
                              <w:r>
                                <w:rPr>
                                  <w:rFonts w:hint="eastAsia"/>
                                  <w:lang w:val="en-US" w:eastAsia="zh-CN"/>
                                </w:rPr>
                                <w:t>回流加热</w:t>
                              </w:r>
                            </w:p>
                          </w:txbxContent>
                        </v:textbox>
                      </v:rect>
                      <v:shape id="自选图形 478" o:spid="_x0000_s1026" o:spt="32" type="#_x0000_t32" style="position:absolute;left:8574;top:434253;flip:y;height:5;width:477;" filled="f" stroked="t" coordsize="21600,21600" o:gfxdata="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Boj+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自选图形 478" o:spid="_x0000_s1026" o:spt="32" type="#_x0000_t32" style="position:absolute;left:9589;top:434605;flip:y;height:13;width:1164;" filled="f" stroked="t" coordsize="21600,21600" o:gfxdata="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NB6S/&#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自选图形 478" o:spid="_x0000_s1026" o:spt="32" type="#_x0000_t32" style="position:absolute;left:9576;top:433592;flip:x;height:431;width:7;" filled="f" stroked="t" coordsize="21600,21600" o:gfxdata="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NoobgAAADcAAAA&#10;DwAAAAAAAAABACAAAAAiAAAAZHJzL2Rvd25yZXYueG1sUEsBAhQAFAAAAAgAh07iQDMvBZ47AAAA&#10;OQAAABAAAAAAAAAAAQAgAAAABwEAAGRycy9zaGFwZXhtbC54bWxQSwUGAAAAAAYABgBbAQAAsQMA&#10;AAAA&#10;">
                        <v:fill on="f" focussize="0,0"/>
                        <v:stroke weight="0.5pt" color="#000000" joinstyle="round" endarrow="block"/>
                        <v:imagedata o:title=""/>
                        <o:lock v:ext="edit" aspectratio="f"/>
                      </v:shape>
                      <v:shape id="自选图形 478" o:spid="_x0000_s1026" o:spt="32" type="#_x0000_t32" style="position:absolute;left:8410;top:432490;flip:y;height:5;width:477;" filled="f" stroked="t" coordsize="21600,21600" o:gfxdata="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9eN+/&#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470" o:spid="_x0000_s1026" o:spt="1" style="position:absolute;left:6438;top:432341;height:380;width:2176;" fillcolor="#FFFFFF" filled="t" stroked="f" coordsize="21600,21600" o:gfxdata="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ZP2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13011084">
                              <w:pPr>
                                <w:pStyle w:val="27"/>
                                <w:bidi w:val="0"/>
                              </w:pPr>
                              <w:r>
                                <w:rPr>
                                  <w:rFonts w:hint="eastAsia"/>
                                  <w:lang w:val="en-US" w:eastAsia="zh-CN"/>
                                </w:rPr>
                                <w:t>硫酸银-硫酸溶液</w:t>
                              </w:r>
                            </w:p>
                          </w:txbxContent>
                        </v:textbox>
                      </v:rect>
                      <v:rect id="矩形 470" o:spid="_x0000_s1026" o:spt="1" style="position:absolute;left:6382;top:433981;height:533;width:2176;" fillcolor="#FFFFFF" filled="t" stroked="f" coordsize="21600,21600" o:gfxdata="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E2bb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0DB759FB">
                              <w:pPr>
                                <w:pStyle w:val="27"/>
                                <w:bidi w:val="0"/>
                                <w:rPr>
                                  <w:rFonts w:hint="eastAsia"/>
                                  <w:lang w:val="en-US" w:eastAsia="zh-CN"/>
                                </w:rPr>
                              </w:pPr>
                              <w:r>
                                <w:rPr>
                                  <w:rFonts w:hint="eastAsia"/>
                                  <w:lang w:val="en-US" w:eastAsia="zh-CN"/>
                                </w:rPr>
                                <w:t>亚铁灵指示剂溶液</w:t>
                              </w:r>
                            </w:p>
                            <w:p w14:paraId="056A8F17">
                              <w:pPr>
                                <w:pStyle w:val="27"/>
                                <w:bidi w:val="0"/>
                                <w:rPr>
                                  <w:rFonts w:hint="default"/>
                                  <w:lang w:val="en-US" w:eastAsia="zh-CN"/>
                                </w:rPr>
                              </w:pPr>
                              <w:r>
                                <w:rPr>
                                  <w:rFonts w:hint="eastAsia"/>
                                  <w:lang w:val="en-US" w:eastAsia="zh-CN"/>
                                </w:rPr>
                                <w:t>硫酸亚铁铵标准溶液</w:t>
                              </w:r>
                            </w:p>
                          </w:txbxContent>
                        </v:textbox>
                      </v:rect>
                      <v:shape id="自选图形 478" o:spid="_x0000_s1026" o:spt="32" type="#_x0000_t32" style="position:absolute;left:10206;top:432497;flip:y;height:9;width:638;" filled="f" stroked="t" coordsize="21600,21600" o:gfxdata="UEsDBAoAAAAAAIdO4kAAAAAAAAAAAAAAAAAEAAAAZHJzL1BLAwQUAAAACACHTuJA1ArbR74AAADc&#10;AAAADwAAAGRycy9kb3ducmV2LnhtbEWPT4vCMBTE78J+h/CEvYimFl2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rbR7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rect id="矩形 470" o:spid="_x0000_s1026" o:spt="1" style="position:absolute;left:10841;top:432343;height:372;width:1265;" fillcolor="#FFFFFF" filled="t" stroked="f" coordsize="21600,21600" o:gfxdata="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QLgr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194E249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w:t>
                              </w:r>
                            </w:p>
                          </w:txbxContent>
                        </v:textbox>
                      </v:rect>
                    </v:group>
                  </w:pict>
                </mc:Fallback>
              </mc:AlternateContent>
            </w:r>
          </w:p>
          <w:p w14:paraId="3EE64AC7">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3E6F93E6">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0E26481">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7EB2670A">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ABCE0AE">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4975781D">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2251256">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10B3EFBE">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8ED5DCE">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0888493">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2A23C8AB">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68D6A9CA">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7C12FF06">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3309A8B1">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71741488">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highlight w:val="none"/>
              </w:rPr>
            </w:pPr>
          </w:p>
          <w:p w14:paraId="7DDDD8D4">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p>
          <w:p w14:paraId="2E76D5FD">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p>
          <w:p w14:paraId="6C0CFEE8">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p>
          <w:p w14:paraId="164D0E83">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3</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default"/>
                <w:b/>
                <w:bCs/>
                <w:color w:val="auto"/>
                <w:sz w:val="24"/>
                <w:szCs w:val="24"/>
                <w:highlight w:val="none"/>
              </w:rPr>
              <w:t>重铬酸盐法</w:t>
            </w:r>
            <w:r>
              <w:rPr>
                <w:rFonts w:hint="eastAsia" w:ascii="宋体" w:hAnsi="宋体" w:eastAsia="宋体" w:cs="宋体"/>
                <w:b/>
                <w:bCs/>
                <w:color w:val="auto"/>
                <w:sz w:val="24"/>
                <w:szCs w:val="24"/>
                <w:highlight w:val="none"/>
                <w:lang w:val="en-US" w:eastAsia="zh-CN"/>
              </w:rPr>
              <w:t>检测</w:t>
            </w:r>
            <w:r>
              <w:rPr>
                <w:rFonts w:hint="default" w:ascii="宋体" w:hAnsi="宋体" w:eastAsia="宋体" w:cs="宋体"/>
                <w:b/>
                <w:bCs/>
                <w:color w:val="auto"/>
                <w:sz w:val="24"/>
                <w:szCs w:val="24"/>
                <w:highlight w:val="none"/>
              </w:rPr>
              <w:t>工艺流程及产污环节图</w:t>
            </w:r>
          </w:p>
          <w:p w14:paraId="6FAEDD83">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具体实验方法如下：</w:t>
            </w:r>
          </w:p>
          <w:p w14:paraId="6A78B58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样品取样：取</w:t>
            </w:r>
            <w:r>
              <w:rPr>
                <w:rFonts w:hint="default" w:ascii="Times New Roman" w:hAnsi="Times New Roman" w:eastAsia="宋体" w:cs="Times New Roman"/>
                <w:color w:val="auto"/>
                <w:kern w:val="2"/>
                <w:sz w:val="24"/>
                <w:szCs w:val="24"/>
                <w:highlight w:val="none"/>
                <w:lang w:val="en-US" w:eastAsia="zh-CN" w:bidi="ar-SA"/>
              </w:rPr>
              <w:t>10.00mL</w:t>
            </w:r>
            <w:r>
              <w:rPr>
                <w:rFonts w:hint="eastAsia" w:ascii="Times New Roman" w:hAnsi="Times New Roman" w:eastAsia="宋体" w:cs="Times New Roman"/>
                <w:color w:val="auto"/>
                <w:kern w:val="2"/>
                <w:sz w:val="24"/>
                <w:szCs w:val="24"/>
                <w:highlight w:val="none"/>
                <w:lang w:val="en-US" w:eastAsia="zh-CN" w:bidi="ar-SA"/>
              </w:rPr>
              <w:t>水样于锥形瓶中。</w:t>
            </w:r>
          </w:p>
          <w:p w14:paraId="4200CF40">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加试剂：在锥形瓶中依次加入硫酸汞溶液、重铬酸钾标准溶液</w:t>
            </w:r>
            <w:r>
              <w:rPr>
                <w:rFonts w:hint="default" w:ascii="Times New Roman" w:hAnsi="Times New Roman" w:eastAsia="宋体" w:cs="Times New Roman"/>
                <w:color w:val="auto"/>
                <w:kern w:val="2"/>
                <w:sz w:val="24"/>
                <w:szCs w:val="24"/>
                <w:highlight w:val="none"/>
                <w:lang w:val="en-US" w:eastAsia="zh-CN" w:bidi="ar-SA"/>
              </w:rPr>
              <w:t>5.00ml</w:t>
            </w:r>
            <w:r>
              <w:rPr>
                <w:rFonts w:hint="eastAsia" w:ascii="Times New Roman" w:hAnsi="Times New Roman" w:eastAsia="宋体" w:cs="Times New Roman"/>
                <w:color w:val="auto"/>
                <w:kern w:val="2"/>
                <w:sz w:val="24"/>
                <w:szCs w:val="24"/>
                <w:highlight w:val="none"/>
                <w:lang w:val="en-US" w:eastAsia="zh-CN" w:bidi="ar-SA"/>
              </w:rPr>
              <w:t>和几颗防爆沸玻璃珠后摇匀，硫酸汞溶液按质量比</w:t>
            </w:r>
            <w:r>
              <w:rPr>
                <w:rFonts w:hint="default" w:ascii="Times New Roman" w:hAnsi="Times New Roman" w:eastAsia="宋体" w:cs="Times New Roman"/>
                <w:color w:val="auto"/>
                <w:kern w:val="2"/>
                <w:sz w:val="24"/>
                <w:szCs w:val="24"/>
                <w:highlight w:val="none"/>
                <w:lang w:val="en-US" w:eastAsia="zh-CN" w:bidi="ar-SA"/>
              </w:rPr>
              <w:t>m</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HgSO</w:t>
            </w:r>
            <w:r>
              <w:rPr>
                <w:rFonts w:hint="default" w:ascii="Times New Roman" w:hAnsi="Times New Roman" w:eastAsia="宋体" w:cs="Times New Roman"/>
                <w:color w:val="auto"/>
                <w:kern w:val="2"/>
                <w:sz w:val="24"/>
                <w:szCs w:val="24"/>
                <w:highlight w:val="none"/>
                <w:vertAlign w:val="subscript"/>
                <w:lang w:val="en-US" w:eastAsia="zh-CN" w:bidi="ar-SA"/>
              </w:rPr>
              <w:t>4</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m</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CL</w:t>
            </w:r>
            <w:r>
              <w:rPr>
                <w:rFonts w:hint="default" w:ascii="Times New Roman" w:hAnsi="Times New Roman" w:eastAsia="宋体" w:cs="Times New Roman"/>
                <w:color w:val="auto"/>
                <w:kern w:val="2"/>
                <w:sz w:val="24"/>
                <w:szCs w:val="24"/>
                <w:highlight w:val="none"/>
                <w:vertAlign w:val="superscript"/>
                <w:lang w:val="en-US" w:eastAsia="zh-CN" w:bidi="ar-SA"/>
              </w:rPr>
              <w:t>-</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w:t>
            </w:r>
            <w:r>
              <w:rPr>
                <w:rFonts w:hint="eastAsia" w:ascii="Times New Roman" w:hAnsi="Times New Roman" w:eastAsia="宋体" w:cs="Times New Roman"/>
                <w:color w:val="auto"/>
                <w:kern w:val="2"/>
                <w:sz w:val="24"/>
                <w:szCs w:val="24"/>
                <w:highlight w:val="none"/>
                <w:lang w:val="en-US" w:eastAsia="zh-CN" w:bidi="ar-SA"/>
              </w:rPr>
              <w:t>的比例加入，最大加入量为</w:t>
            </w:r>
            <w:r>
              <w:rPr>
                <w:rFonts w:hint="default" w:ascii="Times New Roman" w:hAnsi="Times New Roman" w:eastAsia="宋体" w:cs="Times New Roman"/>
                <w:color w:val="auto"/>
                <w:kern w:val="2"/>
                <w:sz w:val="24"/>
                <w:szCs w:val="24"/>
                <w:highlight w:val="none"/>
                <w:lang w:val="en-US" w:eastAsia="zh-CN" w:bidi="ar-SA"/>
              </w:rPr>
              <w:t>2ml</w:t>
            </w:r>
            <w:r>
              <w:rPr>
                <w:rFonts w:hint="eastAsia" w:ascii="Times New Roman" w:hAnsi="Times New Roman" w:eastAsia="宋体" w:cs="Times New Roman"/>
                <w:color w:val="auto"/>
                <w:kern w:val="2"/>
                <w:sz w:val="24"/>
                <w:szCs w:val="24"/>
                <w:highlight w:val="none"/>
                <w:lang w:val="en-US" w:eastAsia="zh-CN" w:bidi="ar-SA"/>
              </w:rPr>
              <w:t>。</w:t>
            </w:r>
          </w:p>
          <w:p w14:paraId="776CC99C">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回流加热：将锥形瓶连接到锥形瓶的全玻璃回流装置冷凝管下端，从冷凝管上端缓慢加入</w:t>
            </w:r>
            <w:r>
              <w:rPr>
                <w:rFonts w:hint="default" w:ascii="Times New Roman" w:hAnsi="Times New Roman" w:eastAsia="宋体" w:cs="Times New Roman"/>
                <w:color w:val="auto"/>
                <w:kern w:val="2"/>
                <w:sz w:val="24"/>
                <w:szCs w:val="24"/>
                <w:highlight w:val="none"/>
                <w:lang w:val="en-US" w:eastAsia="zh-CN" w:bidi="ar-SA"/>
              </w:rPr>
              <w:t>15ml</w:t>
            </w:r>
            <w:r>
              <w:rPr>
                <w:rFonts w:hint="eastAsia" w:ascii="Times New Roman" w:hAnsi="Times New Roman" w:eastAsia="宋体" w:cs="Times New Roman"/>
                <w:color w:val="auto"/>
                <w:kern w:val="2"/>
                <w:sz w:val="24"/>
                <w:szCs w:val="24"/>
                <w:highlight w:val="none"/>
                <w:lang w:val="en-US" w:eastAsia="zh-CN" w:bidi="ar-SA"/>
              </w:rPr>
              <w:t>硫酸银</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硫酸溶液，以防止低沸点有机物逸出，加入硫酸银</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硫酸溶液之前，应先通入冷凝水，不断旋转锥形瓶使之混合均匀，混合后溶液开始沸腾，自溶液开始沸腾起保持微沸回流</w:t>
            </w:r>
            <w:r>
              <w:rPr>
                <w:rFonts w:hint="default" w:ascii="Times New Roman" w:hAnsi="Times New Roman" w:eastAsia="宋体" w:cs="Times New Roman"/>
                <w:color w:val="auto"/>
                <w:kern w:val="2"/>
                <w:sz w:val="24"/>
                <w:szCs w:val="24"/>
                <w:highlight w:val="none"/>
                <w:lang w:val="en-US" w:eastAsia="zh-CN" w:bidi="ar-SA"/>
              </w:rPr>
              <w:t>2h</w:t>
            </w:r>
            <w:r>
              <w:rPr>
                <w:rFonts w:hint="eastAsia" w:ascii="Times New Roman" w:hAnsi="Times New Roman" w:eastAsia="宋体" w:cs="Times New Roman"/>
                <w:color w:val="auto"/>
                <w:kern w:val="2"/>
                <w:sz w:val="24"/>
                <w:szCs w:val="24"/>
                <w:highlight w:val="none"/>
                <w:lang w:val="en-US" w:eastAsia="zh-CN" w:bidi="ar-SA"/>
              </w:rPr>
              <w:t>，在此期间会有</w:t>
            </w:r>
            <w:r>
              <w:rPr>
                <w:rFonts w:hint="eastAsia" w:cs="Times New Roman"/>
                <w:color w:val="auto"/>
                <w:kern w:val="2"/>
                <w:sz w:val="24"/>
                <w:szCs w:val="24"/>
                <w:highlight w:val="none"/>
                <w:lang w:val="en-US" w:eastAsia="zh-CN" w:bidi="ar-SA"/>
              </w:rPr>
              <w:t>酸雾</w:t>
            </w:r>
            <w:r>
              <w:rPr>
                <w:rFonts w:hint="eastAsia" w:ascii="Times New Roman" w:hAnsi="Times New Roman" w:eastAsia="宋体" w:cs="Times New Roman"/>
                <w:color w:val="auto"/>
                <w:kern w:val="2"/>
                <w:sz w:val="24"/>
                <w:szCs w:val="24"/>
                <w:highlight w:val="none"/>
                <w:lang w:val="en-US" w:eastAsia="zh-CN" w:bidi="ar-SA"/>
              </w:rPr>
              <w:t>产生。</w:t>
            </w:r>
          </w:p>
          <w:p w14:paraId="65C1AC4F">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冷却：</w:t>
            </w:r>
            <w:r>
              <w:rPr>
                <w:rFonts w:hint="default" w:ascii="Times New Roman" w:hAnsi="Times New Roman" w:eastAsia="宋体" w:cs="Times New Roman"/>
                <w:color w:val="auto"/>
                <w:kern w:val="2"/>
                <w:sz w:val="24"/>
                <w:szCs w:val="24"/>
                <w:highlight w:val="none"/>
                <w:lang w:val="en-US" w:eastAsia="zh-CN" w:bidi="ar-SA"/>
              </w:rPr>
              <w:t>2h</w:t>
            </w:r>
            <w:r>
              <w:rPr>
                <w:rFonts w:hint="eastAsia" w:ascii="Times New Roman" w:hAnsi="Times New Roman" w:eastAsia="宋体" w:cs="Times New Roman"/>
                <w:color w:val="auto"/>
                <w:kern w:val="2"/>
                <w:sz w:val="24"/>
                <w:szCs w:val="24"/>
                <w:highlight w:val="none"/>
                <w:lang w:val="en-US" w:eastAsia="zh-CN" w:bidi="ar-SA"/>
              </w:rPr>
              <w:t>回流后等待溶剂冷却至室温，冷却后在冷凝管上端加入</w:t>
            </w:r>
            <w:r>
              <w:rPr>
                <w:rFonts w:hint="default" w:ascii="Times New Roman" w:hAnsi="Times New Roman" w:eastAsia="宋体" w:cs="Times New Roman"/>
                <w:color w:val="auto"/>
                <w:kern w:val="2"/>
                <w:sz w:val="24"/>
                <w:szCs w:val="24"/>
                <w:highlight w:val="none"/>
                <w:lang w:val="en-US" w:eastAsia="zh-CN" w:bidi="ar-SA"/>
              </w:rPr>
              <w:t>45ml</w:t>
            </w:r>
            <w:r>
              <w:rPr>
                <w:rFonts w:hint="eastAsia" w:ascii="Times New Roman" w:hAnsi="Times New Roman" w:eastAsia="宋体" w:cs="Times New Roman"/>
                <w:color w:val="auto"/>
                <w:kern w:val="2"/>
                <w:sz w:val="24"/>
                <w:szCs w:val="24"/>
                <w:highlight w:val="none"/>
                <w:lang w:val="en-US" w:eastAsia="zh-CN" w:bidi="ar-SA"/>
              </w:rPr>
              <w:t>水冲洗冷凝管，使溶液体积在</w:t>
            </w:r>
            <w:r>
              <w:rPr>
                <w:rFonts w:hint="default" w:ascii="Times New Roman" w:hAnsi="Times New Roman" w:eastAsia="宋体" w:cs="Times New Roman"/>
                <w:color w:val="auto"/>
                <w:kern w:val="2"/>
                <w:sz w:val="24"/>
                <w:szCs w:val="24"/>
                <w:highlight w:val="none"/>
                <w:lang w:val="en-US" w:eastAsia="zh-CN" w:bidi="ar-SA"/>
              </w:rPr>
              <w:t>70ml</w:t>
            </w:r>
            <w:r>
              <w:rPr>
                <w:rFonts w:hint="eastAsia" w:ascii="Times New Roman" w:hAnsi="Times New Roman" w:eastAsia="宋体" w:cs="Times New Roman"/>
                <w:color w:val="auto"/>
                <w:kern w:val="2"/>
                <w:sz w:val="24"/>
                <w:szCs w:val="24"/>
                <w:highlight w:val="none"/>
                <w:lang w:val="en-US" w:eastAsia="zh-CN" w:bidi="ar-SA"/>
              </w:rPr>
              <w:t>左右，取下锥形瓶。</w:t>
            </w:r>
          </w:p>
          <w:p w14:paraId="7AD5026D">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滴定：加入</w:t>
            </w:r>
            <w:r>
              <w:rPr>
                <w:rFonts w:hint="default"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滴试亚铁灵指示剂溶液，用硫酸亚铁铵标准溶液滴定，溶液的颜色由黄色经蓝绿色变为红褐色即结束。</w:t>
            </w:r>
          </w:p>
          <w:p w14:paraId="3CEFD6FE">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6）</w:t>
            </w:r>
            <w:r>
              <w:rPr>
                <w:rFonts w:hint="eastAsia" w:ascii="Times New Roman" w:hAnsi="Times New Roman" w:eastAsia="宋体" w:cs="Times New Roman"/>
                <w:color w:val="auto"/>
                <w:kern w:val="2"/>
                <w:sz w:val="24"/>
                <w:szCs w:val="24"/>
                <w:highlight w:val="none"/>
                <w:lang w:val="en-US" w:eastAsia="zh-CN" w:bidi="ar-SA"/>
              </w:rPr>
              <w:t>记录结果：记下硫酸亚铁铵标准溶液的消耗体积。</w:t>
            </w:r>
          </w:p>
          <w:p w14:paraId="00544475">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空白样：以</w:t>
            </w:r>
            <w:r>
              <w:rPr>
                <w:rFonts w:hint="default" w:ascii="Times New Roman" w:hAnsi="Times New Roman" w:eastAsia="宋体" w:cs="Times New Roman"/>
                <w:color w:val="auto"/>
                <w:kern w:val="2"/>
                <w:sz w:val="24"/>
                <w:szCs w:val="24"/>
                <w:highlight w:val="none"/>
                <w:lang w:val="en-US" w:eastAsia="zh-CN" w:bidi="ar-SA"/>
              </w:rPr>
              <w:t>10.00mL</w:t>
            </w:r>
            <w:r>
              <w:rPr>
                <w:rFonts w:hint="eastAsia" w:ascii="Times New Roman" w:hAnsi="Times New Roman" w:eastAsia="宋体" w:cs="Times New Roman"/>
                <w:color w:val="auto"/>
                <w:kern w:val="2"/>
                <w:sz w:val="24"/>
                <w:szCs w:val="24"/>
                <w:highlight w:val="none"/>
                <w:lang w:val="en-US" w:eastAsia="zh-CN" w:bidi="ar-SA"/>
              </w:rPr>
              <w:t>蒸馏水，按同样操作步骤</w:t>
            </w:r>
            <w:r>
              <w:rPr>
                <w:rFonts w:hint="eastAsia" w:cs="Times New Roman"/>
                <w:color w:val="auto"/>
                <w:kern w:val="2"/>
                <w:sz w:val="24"/>
                <w:szCs w:val="24"/>
                <w:highlight w:val="none"/>
                <w:lang w:val="en-US" w:eastAsia="zh-CN" w:bidi="ar-SA"/>
              </w:rPr>
              <w:t>做</w:t>
            </w:r>
            <w:r>
              <w:rPr>
                <w:rFonts w:hint="eastAsia" w:ascii="Times New Roman" w:hAnsi="Times New Roman" w:eastAsia="宋体" w:cs="Times New Roman"/>
                <w:color w:val="auto"/>
                <w:kern w:val="2"/>
                <w:sz w:val="24"/>
                <w:szCs w:val="24"/>
                <w:highlight w:val="none"/>
                <w:lang w:val="en-US" w:eastAsia="zh-CN" w:bidi="ar-SA"/>
              </w:rPr>
              <w:t>测试空白试验。记录滴定空白是硫酸亚铁铵标准溶液的消耗体积，每批样品至少做两个空白试验。</w:t>
            </w:r>
          </w:p>
          <w:p w14:paraId="499942E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计算：根据《水质化学需氧量的测点重铬酸盐法》（</w:t>
            </w:r>
            <w:r>
              <w:rPr>
                <w:rFonts w:hint="default" w:ascii="Times New Roman" w:hAnsi="Times New Roman" w:eastAsia="宋体" w:cs="Times New Roman"/>
                <w:color w:val="auto"/>
                <w:kern w:val="2"/>
                <w:sz w:val="24"/>
                <w:szCs w:val="24"/>
                <w:highlight w:val="none"/>
                <w:lang w:val="en-US" w:eastAsia="zh-CN" w:bidi="ar-SA"/>
              </w:rPr>
              <w:t>HJ828-2017</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结果计算与表示，将硫酸亚铁铵标准溶液的消耗体积</w:t>
            </w:r>
            <w:r>
              <w:rPr>
                <w:rFonts w:hint="eastAsia" w:cs="Times New Roman"/>
                <w:color w:val="auto"/>
                <w:kern w:val="2"/>
                <w:sz w:val="24"/>
                <w:szCs w:val="24"/>
                <w:highlight w:val="none"/>
                <w:lang w:val="en-US" w:eastAsia="zh-CN" w:bidi="ar-SA"/>
              </w:rPr>
              <w:t>代入</w:t>
            </w:r>
            <w:r>
              <w:rPr>
                <w:rFonts w:hint="eastAsia" w:ascii="Times New Roman" w:hAnsi="Times New Roman" w:eastAsia="宋体" w:cs="Times New Roman"/>
                <w:color w:val="auto"/>
                <w:kern w:val="2"/>
                <w:sz w:val="24"/>
                <w:szCs w:val="24"/>
                <w:highlight w:val="none"/>
                <w:lang w:val="en-US" w:eastAsia="zh-CN" w:bidi="ar-SA"/>
              </w:rPr>
              <w:t>公式，计算出</w:t>
            </w:r>
            <w:r>
              <w:rPr>
                <w:rFonts w:hint="default" w:ascii="Times New Roman" w:hAnsi="Times New Roman" w:eastAsia="宋体" w:cs="Times New Roman"/>
                <w:color w:val="auto"/>
                <w:kern w:val="2"/>
                <w:sz w:val="24"/>
                <w:szCs w:val="24"/>
                <w:highlight w:val="none"/>
                <w:lang w:val="en-US" w:eastAsia="zh-CN" w:bidi="ar-SA"/>
              </w:rPr>
              <w:t>COD</w:t>
            </w:r>
            <w:r>
              <w:rPr>
                <w:rFonts w:hint="eastAsia" w:ascii="Times New Roman" w:hAnsi="Times New Roman" w:eastAsia="宋体" w:cs="Times New Roman"/>
                <w:color w:val="auto"/>
                <w:kern w:val="2"/>
                <w:sz w:val="24"/>
                <w:szCs w:val="24"/>
                <w:highlight w:val="none"/>
                <w:lang w:val="en-US" w:eastAsia="zh-CN" w:bidi="ar-SA"/>
              </w:rPr>
              <w:t>量。</w:t>
            </w:r>
          </w:p>
          <w:p w14:paraId="59E0A4F0">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编制报告：通过所得数据及相关材料编制监测报告</w:t>
            </w:r>
            <w:r>
              <w:rPr>
                <w:rFonts w:hint="eastAsia" w:cs="Times New Roman"/>
                <w:color w:val="auto"/>
                <w:kern w:val="2"/>
                <w:sz w:val="24"/>
                <w:szCs w:val="24"/>
                <w:highlight w:val="none"/>
                <w:lang w:val="en-US" w:eastAsia="zh-CN" w:bidi="ar-SA"/>
              </w:rPr>
              <w:t>。</w:t>
            </w:r>
          </w:p>
          <w:p w14:paraId="09AF14A0">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清洗：对锥形瓶、滴定管、移液管等试剂瓶进行清洗，本项目在实验室内设置废液桶，当实验过程涉及有毒有害或重金属成分时试剂瓶中的废溶液直接倒入废液桶后做危废处理，试剂瓶经自来</w:t>
            </w:r>
            <w:r>
              <w:rPr>
                <w:rFonts w:hint="eastAsia" w:cs="Times New Roman"/>
                <w:color w:val="auto"/>
                <w:kern w:val="2"/>
                <w:sz w:val="24"/>
                <w:szCs w:val="24"/>
                <w:highlight w:val="none"/>
                <w:lang w:val="en-US" w:eastAsia="zh-CN" w:bidi="ar-SA"/>
              </w:rPr>
              <w:t>水</w:t>
            </w:r>
            <w:r>
              <w:rPr>
                <w:rFonts w:hint="eastAsia" w:ascii="Times New Roman" w:hAnsi="Times New Roman" w:eastAsia="宋体" w:cs="Times New Roman"/>
                <w:color w:val="auto"/>
                <w:kern w:val="2"/>
                <w:sz w:val="24"/>
                <w:szCs w:val="24"/>
                <w:highlight w:val="none"/>
                <w:lang w:val="en-US" w:eastAsia="zh-CN" w:bidi="ar-SA"/>
              </w:rPr>
              <w:t>润洗一次后再经自来水冲洗三次，润洗水倒入废液桶后做危废处理。其余试剂同器皿冲洗水由排水管道排入厂区内污水处理设施内处理，在此期间会有实验室废液和清洗废水产生。</w:t>
            </w:r>
          </w:p>
          <w:p w14:paraId="70A52846">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bCs/>
                <w:color w:val="auto"/>
                <w:highlight w:val="none"/>
              </w:rPr>
            </w:pPr>
            <w:r>
              <w:rPr>
                <w:rFonts w:hint="default"/>
                <w:color w:val="auto"/>
                <w:sz w:val="24"/>
                <w:highlight w:val="none"/>
              </w:rPr>
              <mc:AlternateContent>
                <mc:Choice Requires="wpg">
                  <w:drawing>
                    <wp:anchor distT="0" distB="0" distL="114300" distR="114300" simplePos="0" relativeHeight="251662336" behindDoc="0" locked="0" layoutInCell="1" allowOverlap="1">
                      <wp:simplePos x="0" y="0"/>
                      <wp:positionH relativeFrom="column">
                        <wp:posOffset>-22860</wp:posOffset>
                      </wp:positionH>
                      <wp:positionV relativeFrom="paragraph">
                        <wp:posOffset>207645</wp:posOffset>
                      </wp:positionV>
                      <wp:extent cx="4182745" cy="4678045"/>
                      <wp:effectExtent l="0" t="0" r="0" b="8255"/>
                      <wp:wrapNone/>
                      <wp:docPr id="280" name="组合 280"/>
                      <wp:cNvGraphicFramePr/>
                      <a:graphic xmlns:a="http://schemas.openxmlformats.org/drawingml/2006/main">
                        <a:graphicData uri="http://schemas.microsoft.com/office/word/2010/wordprocessingGroup">
                          <wpg:wgp>
                            <wpg:cNvGrpSpPr/>
                            <wpg:grpSpPr>
                              <a:xfrm>
                                <a:off x="0" y="0"/>
                                <a:ext cx="4182745" cy="4678045"/>
                                <a:chOff x="19020" y="435687"/>
                                <a:chExt cx="6587" cy="7367"/>
                              </a:xfrm>
                            </wpg:grpSpPr>
                            <wps:wsp>
                              <wps:cNvPr id="249" name="矩形 469"/>
                              <wps:cNvSpPr/>
                              <wps:spPr>
                                <a:xfrm>
                                  <a:off x="22384" y="436540"/>
                                  <a:ext cx="1287"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91119">
                                    <w:pPr>
                                      <w:pStyle w:val="27"/>
                                      <w:bidi w:val="0"/>
                                      <w:rPr>
                                        <w:rFonts w:hint="eastAsia" w:eastAsia="宋体"/>
                                        <w:lang w:val="en-US" w:eastAsia="zh-CN"/>
                                      </w:rPr>
                                    </w:pPr>
                                    <w:r>
                                      <w:rPr>
                                        <w:rFonts w:hint="eastAsia"/>
                                        <w:lang w:val="en-US" w:eastAsia="zh-CN"/>
                                      </w:rPr>
                                      <w:t>样品取样</w:t>
                                    </w:r>
                                  </w:p>
                                </w:txbxContent>
                              </wps:txbx>
                              <wps:bodyPr wrap="square" upright="1"/>
                            </wps:wsp>
                            <wps:wsp>
                              <wps:cNvPr id="250" name="矩形 470"/>
                              <wps:cNvSpPr/>
                              <wps:spPr>
                                <a:xfrm>
                                  <a:off x="22357" y="435687"/>
                                  <a:ext cx="1287" cy="433"/>
                                </a:xfrm>
                                <a:prstGeom prst="rect">
                                  <a:avLst/>
                                </a:prstGeom>
                                <a:solidFill>
                                  <a:srgbClr val="FFFFFF">
                                    <a:alpha val="0"/>
                                  </a:srgbClr>
                                </a:solidFill>
                                <a:ln>
                                  <a:noFill/>
                                </a:ln>
                              </wps:spPr>
                              <wps:txbx>
                                <w:txbxContent>
                                  <w:p w14:paraId="7A72B423">
                                    <w:pPr>
                                      <w:pStyle w:val="27"/>
                                      <w:bidi w:val="0"/>
                                    </w:pPr>
                                    <w:r>
                                      <w:rPr>
                                        <w:rFonts w:hint="eastAsia"/>
                                        <w:lang w:val="en-US" w:eastAsia="zh-CN"/>
                                      </w:rPr>
                                      <w:t>样品</w:t>
                                    </w:r>
                                  </w:p>
                                </w:txbxContent>
                              </wps:txbx>
                              <wps:bodyPr wrap="square" upright="1"/>
                            </wps:wsp>
                            <wps:wsp>
                              <wps:cNvPr id="251" name="自选图形 471"/>
                              <wps:cNvCnPr/>
                              <wps:spPr>
                                <a:xfrm>
                                  <a:off x="22988" y="436039"/>
                                  <a:ext cx="0" cy="447"/>
                                </a:xfrm>
                                <a:prstGeom prst="straightConnector1">
                                  <a:avLst/>
                                </a:prstGeom>
                                <a:ln w="9525" cap="flat" cmpd="sng">
                                  <a:solidFill>
                                    <a:srgbClr val="000000"/>
                                  </a:solidFill>
                                  <a:prstDash val="solid"/>
                                  <a:headEnd type="none" w="med" len="med"/>
                                  <a:tailEnd type="triangle" w="med" len="med"/>
                                </a:ln>
                              </wps:spPr>
                              <wps:bodyPr/>
                            </wps:wsp>
                            <wps:wsp>
                              <wps:cNvPr id="252" name="自选图形 472"/>
                              <wps:cNvCnPr/>
                              <wps:spPr>
                                <a:xfrm>
                                  <a:off x="23006" y="436973"/>
                                  <a:ext cx="0" cy="447"/>
                                </a:xfrm>
                                <a:prstGeom prst="straightConnector1">
                                  <a:avLst/>
                                </a:prstGeom>
                                <a:ln w="9525" cap="flat" cmpd="sng">
                                  <a:solidFill>
                                    <a:srgbClr val="000000"/>
                                  </a:solidFill>
                                  <a:prstDash val="solid"/>
                                  <a:headEnd type="none" w="med" len="med"/>
                                  <a:tailEnd type="triangle" w="med" len="med"/>
                                </a:ln>
                              </wps:spPr>
                              <wps:bodyPr/>
                            </wps:wsp>
                            <wps:wsp>
                              <wps:cNvPr id="253" name="矩形 473"/>
                              <wps:cNvSpPr/>
                              <wps:spPr>
                                <a:xfrm>
                                  <a:off x="22348" y="437420"/>
                                  <a:ext cx="1325"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5C7E7">
                                    <w:pPr>
                                      <w:pStyle w:val="27"/>
                                      <w:bidi w:val="0"/>
                                      <w:rPr>
                                        <w:rFonts w:hint="eastAsia" w:eastAsia="宋体"/>
                                        <w:lang w:val="en-US" w:eastAsia="zh-CN"/>
                                      </w:rPr>
                                    </w:pPr>
                                    <w:r>
                                      <w:rPr>
                                        <w:rFonts w:hint="eastAsia"/>
                                        <w:lang w:val="en-US" w:eastAsia="zh-CN"/>
                                      </w:rPr>
                                      <w:t>絮凝沉淀</w:t>
                                    </w:r>
                                  </w:p>
                                </w:txbxContent>
                              </wps:txbx>
                              <wps:bodyPr wrap="square" upright="1"/>
                            </wps:wsp>
                            <wps:wsp>
                              <wps:cNvPr id="254" name="自选图形 474"/>
                              <wps:cNvCnPr/>
                              <wps:spPr>
                                <a:xfrm>
                                  <a:off x="23040" y="437852"/>
                                  <a:ext cx="0" cy="447"/>
                                </a:xfrm>
                                <a:prstGeom prst="straightConnector1">
                                  <a:avLst/>
                                </a:prstGeom>
                                <a:ln w="9525" cap="flat" cmpd="sng">
                                  <a:solidFill>
                                    <a:srgbClr val="000000"/>
                                  </a:solidFill>
                                  <a:prstDash val="solid"/>
                                  <a:headEnd type="none" w="med" len="med"/>
                                  <a:tailEnd type="triangle" w="med" len="med"/>
                                </a:ln>
                              </wps:spPr>
                              <wps:bodyPr/>
                            </wps:wsp>
                            <wps:wsp>
                              <wps:cNvPr id="255" name="自选图形 478"/>
                              <wps:cNvCnPr/>
                              <wps:spPr>
                                <a:xfrm flipH="1">
                                  <a:off x="23051" y="438698"/>
                                  <a:ext cx="7" cy="431"/>
                                </a:xfrm>
                                <a:prstGeom prst="straightConnector1">
                                  <a:avLst/>
                                </a:prstGeom>
                                <a:ln w="6350" cap="flat" cmpd="sng">
                                  <a:solidFill>
                                    <a:srgbClr val="000000"/>
                                  </a:solidFill>
                                  <a:prstDash val="solid"/>
                                  <a:headEnd type="none" w="med" len="med"/>
                                  <a:tailEnd type="triangle" w="med" len="med"/>
                                </a:ln>
                              </wps:spPr>
                              <wps:bodyPr/>
                            </wps:wsp>
                            <wps:wsp>
                              <wps:cNvPr id="256" name="矩形 479"/>
                              <wps:cNvSpPr/>
                              <wps:spPr>
                                <a:xfrm>
                                  <a:off x="22520" y="439134"/>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30DB0">
                                    <w:pPr>
                                      <w:pStyle w:val="27"/>
                                      <w:bidi w:val="0"/>
                                      <w:rPr>
                                        <w:rFonts w:hint="eastAsia" w:eastAsia="宋体"/>
                                        <w:lang w:eastAsia="zh-CN"/>
                                      </w:rPr>
                                    </w:pPr>
                                    <w:r>
                                      <w:rPr>
                                        <w:rFonts w:hint="eastAsia"/>
                                        <w:lang w:val="en-US" w:eastAsia="zh-CN"/>
                                      </w:rPr>
                                      <w:t>比色</w:t>
                                    </w:r>
                                  </w:p>
                                </w:txbxContent>
                              </wps:txbx>
                              <wps:bodyPr wrap="square" upright="1"/>
                            </wps:wsp>
                            <wps:wsp>
                              <wps:cNvPr id="257" name="矩形 479"/>
                              <wps:cNvSpPr/>
                              <wps:spPr>
                                <a:xfrm>
                                  <a:off x="24387" y="440383"/>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BFFDA5">
                                    <w:pPr>
                                      <w:pStyle w:val="27"/>
                                      <w:bidi w:val="0"/>
                                      <w:rPr>
                                        <w:rFonts w:hint="eastAsia" w:eastAsia="宋体"/>
                                        <w:lang w:eastAsia="zh-CN"/>
                                      </w:rPr>
                                    </w:pPr>
                                    <w:r>
                                      <w:rPr>
                                        <w:rFonts w:hint="eastAsia"/>
                                        <w:lang w:val="en-US" w:eastAsia="zh-CN"/>
                                      </w:rPr>
                                      <w:t>清洗</w:t>
                                    </w:r>
                                  </w:p>
                                </w:txbxContent>
                              </wps:txbx>
                              <wps:bodyPr wrap="square" upright="1"/>
                            </wps:wsp>
                            <wps:wsp>
                              <wps:cNvPr id="258" name="自选图形 478"/>
                              <wps:cNvCnPr/>
                              <wps:spPr>
                                <a:xfrm>
                                  <a:off x="24957" y="440820"/>
                                  <a:ext cx="4" cy="439"/>
                                </a:xfrm>
                                <a:prstGeom prst="straightConnector1">
                                  <a:avLst/>
                                </a:prstGeom>
                                <a:ln w="9525" cap="flat" cmpd="sng">
                                  <a:solidFill>
                                    <a:srgbClr val="000000"/>
                                  </a:solidFill>
                                  <a:prstDash val="solid"/>
                                  <a:headEnd type="none" w="med" len="med"/>
                                  <a:tailEnd type="triangle" w="med" len="med"/>
                                </a:ln>
                              </wps:spPr>
                              <wps:bodyPr/>
                            </wps:wsp>
                            <wps:wsp>
                              <wps:cNvPr id="259" name="矩形 479"/>
                              <wps:cNvSpPr/>
                              <wps:spPr>
                                <a:xfrm>
                                  <a:off x="22489" y="440899"/>
                                  <a:ext cx="1216"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8E661">
                                    <w:pPr>
                                      <w:pStyle w:val="27"/>
                                      <w:bidi w:val="0"/>
                                      <w:rPr>
                                        <w:rFonts w:hint="eastAsia" w:eastAsia="宋体"/>
                                        <w:lang w:eastAsia="zh-CN"/>
                                      </w:rPr>
                                    </w:pPr>
                                    <w:r>
                                      <w:rPr>
                                        <w:rFonts w:hint="eastAsia"/>
                                        <w:lang w:val="en-US" w:eastAsia="zh-CN"/>
                                      </w:rPr>
                                      <w:t>记录结果</w:t>
                                    </w:r>
                                  </w:p>
                                </w:txbxContent>
                              </wps:txbx>
                              <wps:bodyPr wrap="square" upright="1"/>
                            </wps:wsp>
                            <wps:wsp>
                              <wps:cNvPr id="260" name="自选图形 478"/>
                              <wps:cNvCnPr/>
                              <wps:spPr>
                                <a:xfrm>
                                  <a:off x="23118" y="442194"/>
                                  <a:ext cx="4" cy="436"/>
                                </a:xfrm>
                                <a:prstGeom prst="straightConnector1">
                                  <a:avLst/>
                                </a:prstGeom>
                                <a:ln w="9525" cap="flat" cmpd="sng">
                                  <a:solidFill>
                                    <a:srgbClr val="000000"/>
                                  </a:solidFill>
                                  <a:prstDash val="solid"/>
                                  <a:headEnd type="none" w="med" len="med"/>
                                  <a:tailEnd type="triangle" w="med" len="med"/>
                                </a:ln>
                              </wps:spPr>
                              <wps:bodyPr/>
                            </wps:wsp>
                            <wps:wsp>
                              <wps:cNvPr id="261" name="自选图形 478"/>
                              <wps:cNvCnPr/>
                              <wps:spPr>
                                <a:xfrm>
                                  <a:off x="23098" y="440457"/>
                                  <a:ext cx="4" cy="436"/>
                                </a:xfrm>
                                <a:prstGeom prst="straightConnector1">
                                  <a:avLst/>
                                </a:prstGeom>
                                <a:ln w="9525" cap="flat" cmpd="sng">
                                  <a:solidFill>
                                    <a:srgbClr val="000000"/>
                                  </a:solidFill>
                                  <a:prstDash val="solid"/>
                                  <a:headEnd type="none" w="med" len="med"/>
                                  <a:tailEnd type="triangle" w="med" len="med"/>
                                </a:ln>
                              </wps:spPr>
                              <wps:bodyPr/>
                            </wps:wsp>
                            <wps:wsp>
                              <wps:cNvPr id="262" name="矩形 470"/>
                              <wps:cNvSpPr/>
                              <wps:spPr>
                                <a:xfrm>
                                  <a:off x="24343" y="441282"/>
                                  <a:ext cx="1265" cy="742"/>
                                </a:xfrm>
                                <a:prstGeom prst="rect">
                                  <a:avLst/>
                                </a:prstGeom>
                                <a:solidFill>
                                  <a:srgbClr val="FFFFFF">
                                    <a:alpha val="0"/>
                                  </a:srgbClr>
                                </a:solidFill>
                                <a:ln>
                                  <a:noFill/>
                                </a:ln>
                              </wps:spPr>
                              <wps:txbx>
                                <w:txbxContent>
                                  <w:p w14:paraId="70B1FCB6">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wps:txbx>
                              <wps:bodyPr wrap="square" lIns="0" tIns="0" rIns="0" bIns="0" upright="1"/>
                            </wps:wsp>
                            <wps:wsp>
                              <wps:cNvPr id="263" name="矩形 479"/>
                              <wps:cNvSpPr/>
                              <wps:spPr>
                                <a:xfrm>
                                  <a:off x="22583" y="441769"/>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C2E866">
                                    <w:pPr>
                                      <w:pStyle w:val="27"/>
                                      <w:bidi w:val="0"/>
                                      <w:rPr>
                                        <w:rFonts w:hint="eastAsia" w:eastAsia="宋体"/>
                                        <w:lang w:eastAsia="zh-CN"/>
                                      </w:rPr>
                                    </w:pPr>
                                    <w:r>
                                      <w:rPr>
                                        <w:rFonts w:hint="eastAsia"/>
                                        <w:lang w:val="en-US" w:eastAsia="zh-CN"/>
                                      </w:rPr>
                                      <w:t>计算</w:t>
                                    </w:r>
                                  </w:p>
                                </w:txbxContent>
                              </wps:txbx>
                              <wps:bodyPr wrap="square" upright="1"/>
                            </wps:wsp>
                            <wps:wsp>
                              <wps:cNvPr id="264" name="矩形 479"/>
                              <wps:cNvSpPr/>
                              <wps:spPr>
                                <a:xfrm>
                                  <a:off x="22469" y="440011"/>
                                  <a:ext cx="1388"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C44126">
                                    <w:pPr>
                                      <w:pStyle w:val="27"/>
                                      <w:bidi w:val="0"/>
                                      <w:rPr>
                                        <w:rFonts w:hint="eastAsia" w:eastAsia="宋体"/>
                                        <w:lang w:eastAsia="zh-CN"/>
                                      </w:rPr>
                                    </w:pPr>
                                    <w:r>
                                      <w:rPr>
                                        <w:rFonts w:hint="eastAsia"/>
                                        <w:lang w:val="en-US" w:eastAsia="zh-CN"/>
                                      </w:rPr>
                                      <w:t>绘制曲线图</w:t>
                                    </w:r>
                                  </w:p>
                                </w:txbxContent>
                              </wps:txbx>
                              <wps:bodyPr wrap="square" upright="1"/>
                            </wps:wsp>
                            <wps:wsp>
                              <wps:cNvPr id="265" name="自选图形 478"/>
                              <wps:cNvCnPr/>
                              <wps:spPr>
                                <a:xfrm>
                                  <a:off x="23113" y="441347"/>
                                  <a:ext cx="4" cy="436"/>
                                </a:xfrm>
                                <a:prstGeom prst="straightConnector1">
                                  <a:avLst/>
                                </a:prstGeom>
                                <a:ln w="9525" cap="flat" cmpd="sng">
                                  <a:solidFill>
                                    <a:srgbClr val="000000"/>
                                  </a:solidFill>
                                  <a:prstDash val="solid"/>
                                  <a:headEnd type="none" w="med" len="med"/>
                                  <a:tailEnd type="triangle" w="med" len="med"/>
                                </a:ln>
                              </wps:spPr>
                              <wps:bodyPr/>
                            </wps:wsp>
                            <wps:wsp>
                              <wps:cNvPr id="266" name="自选图形 478"/>
                              <wps:cNvCnPr/>
                              <wps:spPr>
                                <a:xfrm flipV="1">
                                  <a:off x="21914" y="436771"/>
                                  <a:ext cx="477" cy="5"/>
                                </a:xfrm>
                                <a:prstGeom prst="straightConnector1">
                                  <a:avLst/>
                                </a:prstGeom>
                                <a:ln w="9525" cap="flat" cmpd="sng">
                                  <a:solidFill>
                                    <a:schemeClr val="tx1"/>
                                  </a:solidFill>
                                  <a:prstDash val="solid"/>
                                  <a:headEnd type="none" w="med" len="med"/>
                                  <a:tailEnd type="triangle" w="med" len="med"/>
                                </a:ln>
                              </wps:spPr>
                              <wps:bodyPr/>
                            </wps:wsp>
                            <wps:wsp>
                              <wps:cNvPr id="267" name="矩形 479"/>
                              <wps:cNvSpPr/>
                              <wps:spPr>
                                <a:xfrm>
                                  <a:off x="22354" y="442622"/>
                                  <a:ext cx="1522"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7E5898">
                                    <w:pPr>
                                      <w:pStyle w:val="27"/>
                                      <w:bidi w:val="0"/>
                                      <w:rPr>
                                        <w:rFonts w:hint="default" w:eastAsia="宋体"/>
                                        <w:lang w:val="en-US" w:eastAsia="zh-CN"/>
                                      </w:rPr>
                                    </w:pPr>
                                    <w:r>
                                      <w:rPr>
                                        <w:rFonts w:hint="eastAsia"/>
                                        <w:lang w:val="en-US" w:eastAsia="zh-CN"/>
                                      </w:rPr>
                                      <w:t>编制报告</w:t>
                                    </w:r>
                                  </w:p>
                                </w:txbxContent>
                              </wps:txbx>
                              <wps:bodyPr wrap="square" upright="1"/>
                            </wps:wsp>
                            <wps:wsp>
                              <wps:cNvPr id="268" name="矩形 470"/>
                              <wps:cNvSpPr/>
                              <wps:spPr>
                                <a:xfrm>
                                  <a:off x="19795" y="436594"/>
                                  <a:ext cx="2176" cy="577"/>
                                </a:xfrm>
                                <a:prstGeom prst="rect">
                                  <a:avLst/>
                                </a:prstGeom>
                                <a:solidFill>
                                  <a:srgbClr val="FFFFFF">
                                    <a:alpha val="0"/>
                                  </a:srgbClr>
                                </a:solidFill>
                                <a:ln>
                                  <a:noFill/>
                                </a:ln>
                              </wps:spPr>
                              <wps:txbx>
                                <w:txbxContent>
                                  <w:p w14:paraId="2C9C853C">
                                    <w:pPr>
                                      <w:keepNext w:val="0"/>
                                      <w:keepLines w:val="0"/>
                                      <w:pageBreakBefore w:val="0"/>
                                      <w:widowControl w:val="0"/>
                                      <w:kinsoku/>
                                      <w:wordWrap/>
                                      <w:overflowPunct/>
                                      <w:topLinePunct w:val="0"/>
                                      <w:bidi w:val="0"/>
                                      <w:adjustRightInd/>
                                      <w:snapToGrid/>
                                      <w:spacing w:line="240" w:lineRule="atLeast"/>
                                      <w:ind w:left="0" w:leftChars="0" w:firstLine="0" w:firstLineChars="0"/>
                                      <w:jc w:val="left"/>
                                      <w:textAlignment w:val="auto"/>
                                      <w:rPr>
                                        <w:rFonts w:hint="eastAsia"/>
                                        <w:sz w:val="21"/>
                                        <w:szCs w:val="21"/>
                                        <w:lang w:val="en-US" w:eastAsia="zh-CN"/>
                                      </w:rPr>
                                    </w:pPr>
                                    <w:r>
                                      <w:rPr>
                                        <w:rFonts w:hint="eastAsia"/>
                                        <w:sz w:val="21"/>
                                        <w:szCs w:val="21"/>
                                        <w:lang w:val="en-US" w:eastAsia="zh-CN"/>
                                      </w:rPr>
                                      <w:t>硫代硫酸钠溶液淀粉、碘化钾试纸</w:t>
                                    </w:r>
                                  </w:p>
                                </w:txbxContent>
                              </wps:txbx>
                              <wps:bodyPr wrap="square" lIns="0" tIns="0" rIns="0" bIns="0" upright="1"/>
                            </wps:wsp>
                            <wps:wsp>
                              <wps:cNvPr id="269" name="矩形 473"/>
                              <wps:cNvSpPr/>
                              <wps:spPr>
                                <a:xfrm>
                                  <a:off x="22381" y="438263"/>
                                  <a:ext cx="1325"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A632A">
                                    <w:pPr>
                                      <w:pStyle w:val="27"/>
                                      <w:bidi w:val="0"/>
                                      <w:rPr>
                                        <w:rFonts w:hint="eastAsia" w:eastAsia="宋体"/>
                                        <w:lang w:val="en-US" w:eastAsia="zh-CN"/>
                                      </w:rPr>
                                    </w:pPr>
                                    <w:r>
                                      <w:rPr>
                                        <w:rFonts w:hint="eastAsia"/>
                                        <w:lang w:val="en-US" w:eastAsia="zh-CN"/>
                                      </w:rPr>
                                      <w:t>预蒸馏</w:t>
                                    </w:r>
                                  </w:p>
                                </w:txbxContent>
                              </wps:txbx>
                              <wps:bodyPr wrap="square" upright="1"/>
                            </wps:wsp>
                            <wps:wsp>
                              <wps:cNvPr id="270" name="自选图形 478"/>
                              <wps:cNvCnPr/>
                              <wps:spPr>
                                <a:xfrm flipV="1">
                                  <a:off x="21840" y="439364"/>
                                  <a:ext cx="679" cy="2"/>
                                </a:xfrm>
                                <a:prstGeom prst="straightConnector1">
                                  <a:avLst/>
                                </a:prstGeom>
                                <a:ln w="9525" cap="flat" cmpd="sng">
                                  <a:solidFill>
                                    <a:schemeClr val="tx1"/>
                                  </a:solidFill>
                                  <a:prstDash val="solid"/>
                                  <a:headEnd type="none" w="med" len="med"/>
                                  <a:tailEnd type="triangle" w="med" len="med"/>
                                </a:ln>
                              </wps:spPr>
                              <wps:bodyPr/>
                            </wps:wsp>
                            <wps:wsp>
                              <wps:cNvPr id="271" name="自选图形 478"/>
                              <wps:cNvCnPr/>
                              <wps:spPr>
                                <a:xfrm>
                                  <a:off x="23103" y="440622"/>
                                  <a:ext cx="1299" cy="0"/>
                                </a:xfrm>
                                <a:prstGeom prst="straightConnector1">
                                  <a:avLst/>
                                </a:prstGeom>
                                <a:ln w="9525" cap="flat" cmpd="sng">
                                  <a:solidFill>
                                    <a:schemeClr val="tx1"/>
                                  </a:solidFill>
                                  <a:prstDash val="solid"/>
                                  <a:headEnd type="none" w="med" len="med"/>
                                  <a:tailEnd type="triangle" w="med" len="med"/>
                                </a:ln>
                              </wps:spPr>
                              <wps:bodyPr/>
                            </wps:wsp>
                            <wps:wsp>
                              <wps:cNvPr id="272" name="自选图形 478"/>
                              <wps:cNvCnPr/>
                              <wps:spPr>
                                <a:xfrm flipH="1">
                                  <a:off x="23073" y="439574"/>
                                  <a:ext cx="7" cy="431"/>
                                </a:xfrm>
                                <a:prstGeom prst="straightConnector1">
                                  <a:avLst/>
                                </a:prstGeom>
                                <a:ln w="6350" cap="flat" cmpd="sng">
                                  <a:solidFill>
                                    <a:srgbClr val="000000"/>
                                  </a:solidFill>
                                  <a:prstDash val="solid"/>
                                  <a:headEnd type="none" w="med" len="med"/>
                                  <a:tailEnd type="triangle" w="med" len="med"/>
                                </a:ln>
                              </wps:spPr>
                              <wps:bodyPr/>
                            </wps:wsp>
                            <wps:wsp>
                              <wps:cNvPr id="273" name="自选图形 478"/>
                              <wps:cNvCnPr/>
                              <wps:spPr>
                                <a:xfrm flipV="1">
                                  <a:off x="21873" y="437663"/>
                                  <a:ext cx="477" cy="5"/>
                                </a:xfrm>
                                <a:prstGeom prst="straightConnector1">
                                  <a:avLst/>
                                </a:prstGeom>
                                <a:ln w="9525" cap="flat" cmpd="sng">
                                  <a:solidFill>
                                    <a:schemeClr val="tx1"/>
                                  </a:solidFill>
                                  <a:prstDash val="solid"/>
                                  <a:headEnd type="none" w="med" len="med"/>
                                  <a:tailEnd type="triangle" w="med" len="med"/>
                                </a:ln>
                              </wps:spPr>
                              <wps:bodyPr/>
                            </wps:wsp>
                            <wps:wsp>
                              <wps:cNvPr id="274" name="矩形 470"/>
                              <wps:cNvSpPr/>
                              <wps:spPr>
                                <a:xfrm>
                                  <a:off x="19960" y="437372"/>
                                  <a:ext cx="1707" cy="548"/>
                                </a:xfrm>
                                <a:prstGeom prst="rect">
                                  <a:avLst/>
                                </a:prstGeom>
                                <a:solidFill>
                                  <a:srgbClr val="FFFFFF">
                                    <a:alpha val="0"/>
                                  </a:srgbClr>
                                </a:solidFill>
                                <a:ln>
                                  <a:noFill/>
                                </a:ln>
                              </wps:spPr>
                              <wps:txbx>
                                <w:txbxContent>
                                  <w:p w14:paraId="4DCB23C5">
                                    <w:pPr>
                                      <w:pStyle w:val="27"/>
                                      <w:bidi w:val="0"/>
                                      <w:rPr>
                                        <w:rFonts w:hint="eastAsia"/>
                                        <w:lang w:val="en-US" w:eastAsia="zh-CN"/>
                                      </w:rPr>
                                    </w:pPr>
                                    <w:r>
                                      <w:rPr>
                                        <w:rFonts w:hint="eastAsia"/>
                                        <w:lang w:val="en-US" w:eastAsia="zh-CN"/>
                                      </w:rPr>
                                      <w:t>硫酸锌溶液、</w:t>
                                    </w:r>
                                  </w:p>
                                  <w:p w14:paraId="448F7B36">
                                    <w:pPr>
                                      <w:pStyle w:val="27"/>
                                      <w:bidi w:val="0"/>
                                    </w:pPr>
                                    <w:r>
                                      <w:rPr>
                                        <w:rFonts w:hint="eastAsia"/>
                                        <w:lang w:val="en-US" w:eastAsia="zh-CN"/>
                                      </w:rPr>
                                      <w:t>氢氧化钠溶液</w:t>
                                    </w:r>
                                  </w:p>
                                </w:txbxContent>
                              </wps:txbx>
                              <wps:bodyPr wrap="square" lIns="0" tIns="0" rIns="0" bIns="0" upright="1"/>
                            </wps:wsp>
                            <wps:wsp>
                              <wps:cNvPr id="275" name="矩形 470"/>
                              <wps:cNvSpPr/>
                              <wps:spPr>
                                <a:xfrm>
                                  <a:off x="19020" y="438227"/>
                                  <a:ext cx="2898" cy="533"/>
                                </a:xfrm>
                                <a:prstGeom prst="rect">
                                  <a:avLst/>
                                </a:prstGeom>
                                <a:solidFill>
                                  <a:srgbClr val="FFFFFF">
                                    <a:alpha val="0"/>
                                  </a:srgbClr>
                                </a:solidFill>
                                <a:ln>
                                  <a:noFill/>
                                </a:ln>
                              </wps:spPr>
                              <wps:txbx>
                                <w:txbxContent>
                                  <w:p w14:paraId="7EADACA5">
                                    <w:pPr>
                                      <w:pStyle w:val="27"/>
                                      <w:bidi w:val="0"/>
                                      <w:rPr>
                                        <w:rFonts w:hint="default"/>
                                        <w:lang w:val="en-US" w:eastAsia="zh-CN"/>
                                      </w:rPr>
                                    </w:pPr>
                                    <w:r>
                                      <w:rPr>
                                        <w:rFonts w:hint="eastAsia"/>
                                        <w:lang w:val="en-US" w:eastAsia="zh-CN"/>
                                      </w:rPr>
                                      <w:t>硼酸溶液、溴百里酚益指示剂、氢氧化钠溶液等</w:t>
                                    </w:r>
                                  </w:p>
                                </w:txbxContent>
                              </wps:txbx>
                              <wps:bodyPr wrap="square" lIns="0" tIns="0" rIns="0" bIns="0" upright="1"/>
                            </wps:wsp>
                            <wps:wsp>
                              <wps:cNvPr id="276" name="自选图形 478"/>
                              <wps:cNvCnPr/>
                              <wps:spPr>
                                <a:xfrm flipV="1">
                                  <a:off x="23703" y="438479"/>
                                  <a:ext cx="638" cy="9"/>
                                </a:xfrm>
                                <a:prstGeom prst="straightConnector1">
                                  <a:avLst/>
                                </a:prstGeom>
                                <a:ln w="9525" cap="flat" cmpd="sng">
                                  <a:solidFill>
                                    <a:schemeClr val="tx1"/>
                                  </a:solidFill>
                                  <a:prstDash val="solid"/>
                                  <a:headEnd type="none" w="med" len="med"/>
                                  <a:tailEnd type="triangle" w="med" len="med"/>
                                </a:ln>
                              </wps:spPr>
                              <wps:bodyPr/>
                            </wps:wsp>
                            <wps:wsp>
                              <wps:cNvPr id="277" name="矩形 470"/>
                              <wps:cNvSpPr/>
                              <wps:spPr>
                                <a:xfrm>
                                  <a:off x="24338" y="438325"/>
                                  <a:ext cx="1265" cy="372"/>
                                </a:xfrm>
                                <a:prstGeom prst="rect">
                                  <a:avLst/>
                                </a:prstGeom>
                                <a:solidFill>
                                  <a:srgbClr val="FFFFFF">
                                    <a:alpha val="0"/>
                                  </a:srgbClr>
                                </a:solidFill>
                                <a:ln>
                                  <a:noFill/>
                                </a:ln>
                              </wps:spPr>
                              <wps:txbx>
                                <w:txbxContent>
                                  <w:p w14:paraId="7403DFD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w:t>
                                    </w:r>
                                  </w:p>
                                </w:txbxContent>
                              </wps:txbx>
                              <wps:bodyPr wrap="square" lIns="0" tIns="0" rIns="0" bIns="0" upright="1"/>
                            </wps:wsp>
                            <wps:wsp>
                              <wps:cNvPr id="278" name="自选图形 478"/>
                              <wps:cNvCnPr/>
                              <wps:spPr>
                                <a:xfrm flipV="1">
                                  <a:off x="21904" y="438498"/>
                                  <a:ext cx="477" cy="5"/>
                                </a:xfrm>
                                <a:prstGeom prst="straightConnector1">
                                  <a:avLst/>
                                </a:prstGeom>
                                <a:ln w="9525" cap="flat" cmpd="sng">
                                  <a:solidFill>
                                    <a:schemeClr val="tx1"/>
                                  </a:solidFill>
                                  <a:prstDash val="solid"/>
                                  <a:headEnd type="none" w="med" len="med"/>
                                  <a:tailEnd type="triangle" w="med" len="med"/>
                                </a:ln>
                              </wps:spPr>
                              <wps:bodyPr/>
                            </wps:wsp>
                            <wps:wsp>
                              <wps:cNvPr id="279" name="矩形 470"/>
                              <wps:cNvSpPr/>
                              <wps:spPr>
                                <a:xfrm>
                                  <a:off x="19837" y="439112"/>
                                  <a:ext cx="1994" cy="533"/>
                                </a:xfrm>
                                <a:prstGeom prst="rect">
                                  <a:avLst/>
                                </a:prstGeom>
                                <a:solidFill>
                                  <a:srgbClr val="FFFFFF">
                                    <a:alpha val="0"/>
                                  </a:srgbClr>
                                </a:solidFill>
                                <a:ln>
                                  <a:noFill/>
                                </a:ln>
                              </wps:spPr>
                              <wps:txbx>
                                <w:txbxContent>
                                  <w:p w14:paraId="532C8900">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氨氮标准工作溶液、</w:t>
                                    </w:r>
                                  </w:p>
                                  <w:p w14:paraId="22CFFEA9">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水、酒石酸钾钠溶液</w:t>
                                    </w:r>
                                  </w:p>
                                </w:txbxContent>
                              </wps:txbx>
                              <wps:bodyPr wrap="square" lIns="0" tIns="0" rIns="0" bIns="0" upright="1"/>
                            </wps:wsp>
                          </wpg:wgp>
                        </a:graphicData>
                      </a:graphic>
                    </wp:anchor>
                  </w:drawing>
                </mc:Choice>
                <mc:Fallback>
                  <w:pict>
                    <v:group id="_x0000_s1026" o:spid="_x0000_s1026" o:spt="203" style="position:absolute;left:0pt;margin-left:-1.8pt;margin-top:16.35pt;height:368.35pt;width:329.35pt;z-index:251662336;mso-width-relative:page;mso-height-relative:page;" coordorigin="19020,435687" coordsize="6587,7367" o:gfxdata="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OI0Rb3aAAAACQEAAA8AAAAAAAAAAQAgAAAAIgAAAGRycy9kb3ducmV2LnhtbFBLAQIUABQAAAAI&#10;AIdO4kDnIxoT0QYAANVEAAAOAAAAAAAAAAEAIAAAACkBAABkcnMvZTJvRG9jLnhtbFBLBQYAAAAA&#10;BgAGAFkBAABsCgAAAAA=&#10;">
                      <o:lock v:ext="edit" aspectratio="f"/>
                      <v:rect id="矩形 469" o:spid="_x0000_s1026" o:spt="1" style="position:absolute;left:22384;top:436540;height:433;width:1287;" fillcolor="#FFFFFF" filled="t" stroked="t" coordsize="21600,21600" o:gfxdata="UEsDBAoAAAAAAIdO4kAAAAAAAAAAAAAAAAAEAAAAZHJzL1BLAwQUAAAACACHTuJAXIQJPr4AAADc&#10;AAAADwAAAGRycy9kb3ducmV2LnhtbEWPwW7CMBBE70j8g7VIvYFNWqE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J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691119">
                              <w:pPr>
                                <w:pStyle w:val="27"/>
                                <w:bidi w:val="0"/>
                                <w:rPr>
                                  <w:rFonts w:hint="eastAsia" w:eastAsia="宋体"/>
                                  <w:lang w:val="en-US" w:eastAsia="zh-CN"/>
                                </w:rPr>
                              </w:pPr>
                              <w:r>
                                <w:rPr>
                                  <w:rFonts w:hint="eastAsia"/>
                                  <w:lang w:val="en-US" w:eastAsia="zh-CN"/>
                                </w:rPr>
                                <w:t>样品取样</w:t>
                              </w:r>
                            </w:p>
                          </w:txbxContent>
                        </v:textbox>
                      </v:rect>
                      <v:rect id="矩形 470" o:spid="_x0000_s1026" o:spt="1" style="position:absolute;left:22357;top:435687;height:433;width:1287;" fillcolor="#FFFFFF" filled="t" stroked="f" coordsize="21600,21600" o:gfxdata="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xugAAANw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14:paraId="7A72B423">
                              <w:pPr>
                                <w:pStyle w:val="27"/>
                                <w:bidi w:val="0"/>
                              </w:pPr>
                              <w:r>
                                <w:rPr>
                                  <w:rFonts w:hint="eastAsia"/>
                                  <w:lang w:val="en-US" w:eastAsia="zh-CN"/>
                                </w:rPr>
                                <w:t>样品</w:t>
                              </w:r>
                            </w:p>
                          </w:txbxContent>
                        </v:textbox>
                      </v:rect>
                      <v:shape id="自选图形 471" o:spid="_x0000_s1026" o:spt="32" type="#_x0000_t32" style="position:absolute;left:22988;top:436039;height:447;width:0;" filled="f" stroked="t" coordsize="21600,21600" o:gfxdata="UEsDBAoAAAAAAIdO4kAAAAAAAAAAAAAAAAAEAAAAZHJzL1BLAwQUAAAACACHTuJAbaYi9b8AAADc&#10;AAAADwAAAGRycy9kb3ducmV2LnhtbEWPS2vDMBCE74H+B7GF3hLZgZr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mI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2" o:spid="_x0000_s1026" o:spt="32" type="#_x0000_t32" style="position:absolute;left:23006;top:436973;height:447;width:0;" filled="f" stroked="t" coordsize="21600,21600" o:gfxdata="UEsDBAoAAAAAAIdO4kAAAAAAAAAAAAAAAAAEAAAAZHJzL1BLAwQUAAAACACHTuJAnXS8gr8AAADc&#10;AAAADwAAAGRycy9kb3ducmV2LnhtbEWPT2sCMRTE74V+h/AKvdWsC13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0vI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73" o:spid="_x0000_s1026" o:spt="1" style="position:absolute;left:22348;top:437420;height:433;width:1325;" fillcolor="#FFFFFF" filled="t" stroked="t" coordsize="21600,21600" o:gfxdata="UEsDBAoAAAAAAIdO4kAAAAAAAAAAAAAAAAAEAAAAZHJzL1BLAwQUAAAACACHTuJAuLWoCb0AAADc&#10;AAAADwAAAGRycy9kb3ducmV2LnhtbEWPwW7CMBBE75X4B2uRuBWboKI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ag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05C7E7">
                              <w:pPr>
                                <w:pStyle w:val="27"/>
                                <w:bidi w:val="0"/>
                                <w:rPr>
                                  <w:rFonts w:hint="eastAsia" w:eastAsia="宋体"/>
                                  <w:lang w:val="en-US" w:eastAsia="zh-CN"/>
                                </w:rPr>
                              </w:pPr>
                              <w:r>
                                <w:rPr>
                                  <w:rFonts w:hint="eastAsia"/>
                                  <w:lang w:val="en-US" w:eastAsia="zh-CN"/>
                                </w:rPr>
                                <w:t>絮凝沉淀</w:t>
                              </w:r>
                            </w:p>
                          </w:txbxContent>
                        </v:textbox>
                      </v:rect>
                      <v:shape id="自选图形 474" o:spid="_x0000_s1026" o:spt="32" type="#_x0000_t32" style="position:absolute;left:23040;top:437852;height:447;width:0;" filled="f" stroked="t" coordsize="21600,21600" o:gfxdata="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Rg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23051;top:438698;flip:x;height:431;width:7;" filled="f" stroked="t" coordsize="21600,21600" o:gfxdata="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1d5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rect id="矩形 479" o:spid="_x0000_s1026" o:spt="1" style="position:absolute;left:22520;top:439134;height:433;width:1053;" fillcolor="#FFFFFF" filled="t" stroked="t" coordsize="21600,21600" o:gfxdata="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IL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830DB0">
                              <w:pPr>
                                <w:pStyle w:val="27"/>
                                <w:bidi w:val="0"/>
                                <w:rPr>
                                  <w:rFonts w:hint="eastAsia" w:eastAsia="宋体"/>
                                  <w:lang w:eastAsia="zh-CN"/>
                                </w:rPr>
                              </w:pPr>
                              <w:r>
                                <w:rPr>
                                  <w:rFonts w:hint="eastAsia"/>
                                  <w:lang w:val="en-US" w:eastAsia="zh-CN"/>
                                </w:rPr>
                                <w:t>比色</w:t>
                              </w:r>
                            </w:p>
                          </w:txbxContent>
                        </v:textbox>
                      </v:rect>
                      <v:rect id="矩形 479" o:spid="_x0000_s1026" o:spt="1" style="position:absolute;left:24387;top:440383;height:433;width:1053;" fillcolor="#FFFFFF" filled="t" stroked="t" coordsize="21600,21600" o:gfxdata="UEsDBAoAAAAAAIdO4kAAAAAAAAAAAAAAAAAEAAAAZHJzL1BLAwQUAAAACACHTuJAx46uC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Mw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6u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BFFDA5">
                              <w:pPr>
                                <w:pStyle w:val="27"/>
                                <w:bidi w:val="0"/>
                                <w:rPr>
                                  <w:rFonts w:hint="eastAsia" w:eastAsia="宋体"/>
                                  <w:lang w:eastAsia="zh-CN"/>
                                </w:rPr>
                              </w:pPr>
                              <w:r>
                                <w:rPr>
                                  <w:rFonts w:hint="eastAsia"/>
                                  <w:lang w:val="en-US" w:eastAsia="zh-CN"/>
                                </w:rPr>
                                <w:t>清洗</w:t>
                              </w:r>
                            </w:p>
                          </w:txbxContent>
                        </v:textbox>
                      </v:rect>
                      <v:shape id="自选图形 478" o:spid="_x0000_s1026" o:spt="32" type="#_x0000_t32" style="position:absolute;left:24957;top:440820;height:439;width:4;" filled="f" stroked="t" coordsize="21600,21600" o:gfxdata="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ci2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79" o:spid="_x0000_s1026" o:spt="1" style="position:absolute;left:22489;top:440899;height:433;width:1216;" fillcolor="#FFFFFF" filled="t" stroked="t" coordsize="21600,21600" o:gfxdata="UEsDBAoAAAAAAIdO4kAAAAAAAAAAAAAAAAAEAAAAZHJzL1BLAwQUAAAACACHTuJA2V2f474AAADc&#10;AAAADwAAAGRycy9kb3ducmV2LnhtbEWPwW7CMBBE70j8g7VIvYFNqqI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2f4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38E661">
                              <w:pPr>
                                <w:pStyle w:val="27"/>
                                <w:bidi w:val="0"/>
                                <w:rPr>
                                  <w:rFonts w:hint="eastAsia" w:eastAsia="宋体"/>
                                  <w:lang w:eastAsia="zh-CN"/>
                                </w:rPr>
                              </w:pPr>
                              <w:r>
                                <w:rPr>
                                  <w:rFonts w:hint="eastAsia"/>
                                  <w:lang w:val="en-US" w:eastAsia="zh-CN"/>
                                </w:rPr>
                                <w:t>记录结果</w:t>
                              </w:r>
                            </w:p>
                          </w:txbxContent>
                        </v:textbox>
                      </v:rect>
                      <v:shape id="自选图形 478" o:spid="_x0000_s1026" o:spt="32" type="#_x0000_t32" style="position:absolute;left:23118;top:442194;height:436;width:4;" filled="f" stroked="t" coordsize="21600,21600" o:gfxdata="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hk3T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478" o:spid="_x0000_s1026" o:spt="32" type="#_x0000_t32" style="position:absolute;left:23098;top:440457;height:436;width:4;" filled="f" stroked="t" coordsize="21600,21600" o:gfxdata="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roS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470" o:spid="_x0000_s1026" o:spt="1" style="position:absolute;left:24343;top:441282;height:742;width:1265;" fillcolor="#FFFFFF" filled="t" stroked="f" coordsize="21600,21600" o:gfxdata="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M+W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70B1FCB6">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v:textbox>
                      </v:rect>
                      <v:rect id="矩形 479" o:spid="_x0000_s1026" o:spt="1" style="position:absolute;left:22583;top:441769;height:433;width:1053;" fillcolor="#FFFFFF" filled="t" stroked="t" coordsize="21600,21600" o:gfxdata="UEsDBAoAAAAAAIdO4kAAAAAAAAAAAAAAAAAEAAAAZHJzL1BLAwQUAAAACACHTuJAdtlitL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1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l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3C2E866">
                              <w:pPr>
                                <w:pStyle w:val="27"/>
                                <w:bidi w:val="0"/>
                                <w:rPr>
                                  <w:rFonts w:hint="eastAsia" w:eastAsia="宋体"/>
                                  <w:lang w:eastAsia="zh-CN"/>
                                </w:rPr>
                              </w:pPr>
                              <w:r>
                                <w:rPr>
                                  <w:rFonts w:hint="eastAsia"/>
                                  <w:lang w:val="en-US" w:eastAsia="zh-CN"/>
                                </w:rPr>
                                <w:t>计算</w:t>
                              </w:r>
                            </w:p>
                          </w:txbxContent>
                        </v:textbox>
                      </v:rect>
                      <v:rect id="矩形 479" o:spid="_x0000_s1026" o:spt="1" style="position:absolute;left:22469;top:440011;height:433;width:1388;" fillcolor="#FFFFFF" filled="t" stroked="t" coordsize="21600,21600" o:gfxdata="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C44126">
                              <w:pPr>
                                <w:pStyle w:val="27"/>
                                <w:bidi w:val="0"/>
                                <w:rPr>
                                  <w:rFonts w:hint="eastAsia" w:eastAsia="宋体"/>
                                  <w:lang w:eastAsia="zh-CN"/>
                                </w:rPr>
                              </w:pPr>
                              <w:r>
                                <w:rPr>
                                  <w:rFonts w:hint="eastAsia"/>
                                  <w:lang w:val="en-US" w:eastAsia="zh-CN"/>
                                </w:rPr>
                                <w:t>绘制曲线图</w:t>
                              </w:r>
                            </w:p>
                          </w:txbxContent>
                        </v:textbox>
                      </v:rect>
                      <v:shape id="自选图形 478" o:spid="_x0000_s1026" o:spt="32" type="#_x0000_t32" style="position:absolute;left:23113;top:441347;height:436;width:4;" filled="f" stroked="t" coordsize="21600,21600" o:gfxdata="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21914;top:436771;flip:y;height:5;width:477;" filled="f" stroked="t" coordsize="21600,21600" o:gfxdata="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bzL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rect id="矩形 479" o:spid="_x0000_s1026" o:spt="1" style="position:absolute;left:22354;top:442622;height:433;width:1522;" fillcolor="#FFFFFF" filled="t" stroked="t" coordsize="21600,21600" o:gfxdata="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Jk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7E5898">
                              <w:pPr>
                                <w:pStyle w:val="27"/>
                                <w:bidi w:val="0"/>
                                <w:rPr>
                                  <w:rFonts w:hint="default" w:eastAsia="宋体"/>
                                  <w:lang w:val="en-US" w:eastAsia="zh-CN"/>
                                </w:rPr>
                              </w:pPr>
                              <w:r>
                                <w:rPr>
                                  <w:rFonts w:hint="eastAsia"/>
                                  <w:lang w:val="en-US" w:eastAsia="zh-CN"/>
                                </w:rPr>
                                <w:t>编制报告</w:t>
                              </w:r>
                            </w:p>
                          </w:txbxContent>
                        </v:textbox>
                      </v:rect>
                      <v:rect id="矩形 470" o:spid="_x0000_s1026" o:spt="1" style="position:absolute;left:19795;top:436594;height:577;width:2176;" fillcolor="#FFFFFF" filled="t" stroked="f" coordsize="21600,21600" o:gfxdata="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0Ph8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2C9C853C">
                              <w:pPr>
                                <w:keepNext w:val="0"/>
                                <w:keepLines w:val="0"/>
                                <w:pageBreakBefore w:val="0"/>
                                <w:widowControl w:val="0"/>
                                <w:kinsoku/>
                                <w:wordWrap/>
                                <w:overflowPunct/>
                                <w:topLinePunct w:val="0"/>
                                <w:bidi w:val="0"/>
                                <w:adjustRightInd/>
                                <w:snapToGrid/>
                                <w:spacing w:line="240" w:lineRule="atLeast"/>
                                <w:ind w:left="0" w:leftChars="0" w:firstLine="0" w:firstLineChars="0"/>
                                <w:jc w:val="left"/>
                                <w:textAlignment w:val="auto"/>
                                <w:rPr>
                                  <w:rFonts w:hint="eastAsia"/>
                                  <w:sz w:val="21"/>
                                  <w:szCs w:val="21"/>
                                  <w:lang w:val="en-US" w:eastAsia="zh-CN"/>
                                </w:rPr>
                              </w:pPr>
                              <w:r>
                                <w:rPr>
                                  <w:rFonts w:hint="eastAsia"/>
                                  <w:sz w:val="21"/>
                                  <w:szCs w:val="21"/>
                                  <w:lang w:val="en-US" w:eastAsia="zh-CN"/>
                                </w:rPr>
                                <w:t>硫代硫酸钠溶液淀粉、碘化钾试纸</w:t>
                              </w:r>
                            </w:p>
                          </w:txbxContent>
                        </v:textbox>
                      </v:rect>
                      <v:rect id="矩形 473" o:spid="_x0000_s1026" o:spt="1" style="position:absolute;left:22381;top:438263;height:433;width:1325;" fillcolor="#FFFFFF" filled="t" stroked="t" coordsize="21600,21600" o:gfxdata="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VV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09A632A">
                              <w:pPr>
                                <w:pStyle w:val="27"/>
                                <w:bidi w:val="0"/>
                                <w:rPr>
                                  <w:rFonts w:hint="eastAsia" w:eastAsia="宋体"/>
                                  <w:lang w:val="en-US" w:eastAsia="zh-CN"/>
                                </w:rPr>
                              </w:pPr>
                              <w:r>
                                <w:rPr>
                                  <w:rFonts w:hint="eastAsia"/>
                                  <w:lang w:val="en-US" w:eastAsia="zh-CN"/>
                                </w:rPr>
                                <w:t>预蒸馏</w:t>
                              </w:r>
                            </w:p>
                          </w:txbxContent>
                        </v:textbox>
                      </v:rect>
                      <v:shape id="自选图形 478" o:spid="_x0000_s1026" o:spt="32" type="#_x0000_t32" style="position:absolute;left:21840;top:439364;flip:y;height:2;width:679;" filled="f" stroked="t" coordsize="21600,21600" o:gfxdata="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dF/m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自选图形 478" o:spid="_x0000_s1026" o:spt="32" type="#_x0000_t32" style="position:absolute;left:23103;top:440622;height:0;width:1299;" filled="f" stroked="t" coordsize="21600,21600" o:gfxdata="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TfpW/&#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自选图形 478" o:spid="_x0000_s1026" o:spt="32" type="#_x0000_t32" style="position:absolute;left:23073;top:439574;flip:x;height:431;width:7;" filled="f" stroked="t" coordsize="21600,21600" o:gfxdata="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Znw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自选图形 478" o:spid="_x0000_s1026" o:spt="32" type="#_x0000_t32" style="position:absolute;left:21873;top:437663;flip:y;height:5;width:477;" filled="f" stroked="t" coordsize="21600,21600" o:gfxdata="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iY6/&#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470" o:spid="_x0000_s1026" o:spt="1" style="position:absolute;left:19960;top:437372;height:548;width:1707;" fillcolor="#FFFFFF" filled="t" stroked="f" coordsize="21600,21600" o:gfxdata="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EZKS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4DCB23C5">
                              <w:pPr>
                                <w:pStyle w:val="27"/>
                                <w:bidi w:val="0"/>
                                <w:rPr>
                                  <w:rFonts w:hint="eastAsia"/>
                                  <w:lang w:val="en-US" w:eastAsia="zh-CN"/>
                                </w:rPr>
                              </w:pPr>
                              <w:r>
                                <w:rPr>
                                  <w:rFonts w:hint="eastAsia"/>
                                  <w:lang w:val="en-US" w:eastAsia="zh-CN"/>
                                </w:rPr>
                                <w:t>硫酸锌溶液、</w:t>
                              </w:r>
                            </w:p>
                            <w:p w14:paraId="448F7B36">
                              <w:pPr>
                                <w:pStyle w:val="27"/>
                                <w:bidi w:val="0"/>
                              </w:pPr>
                              <w:r>
                                <w:rPr>
                                  <w:rFonts w:hint="eastAsia"/>
                                  <w:lang w:val="en-US" w:eastAsia="zh-CN"/>
                                </w:rPr>
                                <w:t>氢氧化钠溶液</w:t>
                              </w:r>
                            </w:p>
                          </w:txbxContent>
                        </v:textbox>
                      </v:rect>
                      <v:rect id="矩形 470" o:spid="_x0000_s1026" o:spt="1" style="position:absolute;left:19020;top:438227;height:533;width:2898;" fillcolor="#FFFFFF" filled="t" stroked="f" coordsize="21600,21600" o:gfxdata="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IwT+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7EADACA5">
                              <w:pPr>
                                <w:pStyle w:val="27"/>
                                <w:bidi w:val="0"/>
                                <w:rPr>
                                  <w:rFonts w:hint="default"/>
                                  <w:lang w:val="en-US" w:eastAsia="zh-CN"/>
                                </w:rPr>
                              </w:pPr>
                              <w:r>
                                <w:rPr>
                                  <w:rFonts w:hint="eastAsia"/>
                                  <w:lang w:val="en-US" w:eastAsia="zh-CN"/>
                                </w:rPr>
                                <w:t>硼酸溶液、溴百里酚益指示剂、氢氧化钠溶液等</w:t>
                              </w:r>
                            </w:p>
                          </w:txbxContent>
                        </v:textbox>
                      </v:rect>
                      <v:shape id="自选图形 478" o:spid="_x0000_s1026" o:spt="32" type="#_x0000_t32" style="position:absolute;left:23703;top:438479;flip:y;height:9;width:638;" filled="f" stroked="t" coordsize="21600,21600" o:gfxdata="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gqF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rect id="矩形 470" o:spid="_x0000_s1026" o:spt="1" style="position:absolute;left:24338;top:438325;height:372;width:1265;" fillcolor="#FFFFFF" filled="t" stroked="f" coordsize="21600,21600" o:gfxdata="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tO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7403DFD9">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硫酸雾</w:t>
                              </w:r>
                            </w:p>
                          </w:txbxContent>
                        </v:textbox>
                      </v:rect>
                      <v:shape id="自选图形 478" o:spid="_x0000_s1026" o:spt="32" type="#_x0000_t32" style="position:absolute;left:21904;top:438498;flip:y;height:5;width:477;" filled="f" stroked="t" coordsize="21600,21600" o:gfxdata="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rG/+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rect id="矩形 470" o:spid="_x0000_s1026" o:spt="1" style="position:absolute;left:19837;top:439112;height:533;width:1994;" fillcolor="#FFFFFF" filled="t" stroked="f" coordsize="21600,21600" o:gfxdata="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XLOr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532C8900">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氨氮标准工作溶液、</w:t>
                              </w:r>
                            </w:p>
                            <w:p w14:paraId="22CFFEA9">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水、酒石酸钾钠溶液</w:t>
                              </w:r>
                            </w:p>
                          </w:txbxContent>
                        </v:textbox>
                      </v:rect>
                    </v:group>
                  </w:pict>
                </mc:Fallback>
              </mc:AlternateContent>
            </w:r>
            <w:r>
              <w:rPr>
                <w:rFonts w:hint="default"/>
                <w:b/>
                <w:bCs/>
                <w:color w:val="auto"/>
                <w:highlight w:val="none"/>
              </w:rPr>
              <w:t>（2）水质氨氮的测点钠氏试剂分光光度法</w:t>
            </w:r>
          </w:p>
          <w:p w14:paraId="128DAD57">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5EEE4C3F">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7FCEE372">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57002E16">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069704C0">
            <w:pPr>
              <w:pStyle w:val="8"/>
              <w:keepNext w:val="0"/>
              <w:keepLines w:val="0"/>
              <w:suppressLineNumbers w:val="0"/>
              <w:spacing w:beforeAutospacing="0" w:afterAutospacing="0"/>
              <w:ind w:left="0"/>
              <w:rPr>
                <w:rFonts w:hint="default"/>
                <w:b/>
                <w:bCs/>
                <w:color w:val="auto"/>
                <w:highlight w:val="none"/>
              </w:rPr>
            </w:pPr>
          </w:p>
          <w:p w14:paraId="39950AB5">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46E66E50">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7792254F">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4A2D5301">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A97C839">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6896AECB">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3B0FED97">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7821BF8A">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467CE2EB">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37F00532">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028E3EBD">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653A6FAC">
            <w:pPr>
              <w:pStyle w:val="9"/>
              <w:keepNext w:val="0"/>
              <w:keepLines w:val="0"/>
              <w:widowControl w:val="0"/>
              <w:numPr>
                <w:ilvl w:val="0"/>
                <w:numId w:val="0"/>
              </w:numPr>
              <w:suppressLineNumbers w:val="0"/>
              <w:spacing w:before="0" w:beforeAutospacing="0" w:after="0" w:afterAutospacing="0" w:line="360" w:lineRule="auto"/>
              <w:ind w:left="0" w:right="0"/>
              <w:jc w:val="both"/>
              <w:rPr>
                <w:rFonts w:hint="default"/>
                <w:b/>
                <w:bCs/>
                <w:color w:val="auto"/>
                <w:highlight w:val="none"/>
              </w:rPr>
            </w:pPr>
          </w:p>
          <w:p w14:paraId="2FBB6B5E">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p>
          <w:p w14:paraId="0D0CFE62">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4</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default"/>
                <w:b/>
                <w:bCs/>
                <w:color w:val="auto"/>
                <w:sz w:val="24"/>
                <w:szCs w:val="24"/>
                <w:highlight w:val="none"/>
              </w:rPr>
              <w:t>钠氏试剂分光光度法</w:t>
            </w:r>
            <w:r>
              <w:rPr>
                <w:rFonts w:hint="eastAsia" w:ascii="宋体" w:hAnsi="宋体" w:eastAsia="宋体" w:cs="宋体"/>
                <w:b/>
                <w:bCs/>
                <w:color w:val="auto"/>
                <w:sz w:val="24"/>
                <w:szCs w:val="24"/>
                <w:highlight w:val="none"/>
                <w:lang w:val="en-US" w:eastAsia="zh-CN"/>
              </w:rPr>
              <w:t>检测</w:t>
            </w:r>
            <w:r>
              <w:rPr>
                <w:rFonts w:hint="default" w:ascii="宋体" w:hAnsi="宋体" w:eastAsia="宋体" w:cs="宋体"/>
                <w:b/>
                <w:bCs/>
                <w:color w:val="auto"/>
                <w:sz w:val="24"/>
                <w:szCs w:val="24"/>
                <w:highlight w:val="none"/>
              </w:rPr>
              <w:t>工艺流程及产污环节图</w:t>
            </w:r>
          </w:p>
          <w:p w14:paraId="19C98744">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default"/>
                <w:b w:val="0"/>
                <w:bCs w:val="0"/>
                <w:color w:val="auto"/>
                <w:highlight w:val="none"/>
              </w:rPr>
              <w:t>具体实验方法如下：</w:t>
            </w:r>
          </w:p>
          <w:p w14:paraId="0A7AD529">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1）</w:t>
            </w:r>
            <w:r>
              <w:rPr>
                <w:rFonts w:hint="default"/>
                <w:b w:val="0"/>
                <w:bCs w:val="0"/>
                <w:color w:val="auto"/>
                <w:highlight w:val="none"/>
              </w:rPr>
              <w:t>样品取样：取少量水样</w:t>
            </w:r>
            <w:r>
              <w:rPr>
                <w:rFonts w:hint="eastAsia"/>
                <w:b w:val="0"/>
                <w:bCs w:val="0"/>
                <w:color w:val="auto"/>
                <w:highlight w:val="none"/>
                <w:lang w:eastAsia="zh-CN"/>
              </w:rPr>
              <w:t>于</w:t>
            </w:r>
            <w:r>
              <w:rPr>
                <w:rFonts w:hint="default"/>
                <w:b w:val="0"/>
                <w:bCs w:val="0"/>
                <w:color w:val="auto"/>
                <w:highlight w:val="none"/>
              </w:rPr>
              <w:t>玻璃瓶内，用于备用，若样品中存有余氯，可加入适量硫代硫酸钠溶液去除，每加0.5ml可去除0.25mg余氯，可用淀粉-碘化钾试纸检验余氯是否除尽。</w:t>
            </w:r>
          </w:p>
          <w:p w14:paraId="01DAF586">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2）</w:t>
            </w:r>
            <w:r>
              <w:rPr>
                <w:rFonts w:hint="default"/>
                <w:b w:val="0"/>
                <w:bCs w:val="0"/>
                <w:color w:val="auto"/>
                <w:highlight w:val="none"/>
              </w:rPr>
              <w:t>絮凝沉淀：100ml样品中加入1ml硫酸锌溶液和0.1ml~0.2ml氢氧化钠溶液，调节</w:t>
            </w:r>
            <w:r>
              <w:rPr>
                <w:rFonts w:hint="eastAsia"/>
                <w:b w:val="0"/>
                <w:bCs w:val="0"/>
                <w:color w:val="auto"/>
                <w:highlight w:val="none"/>
                <w:lang w:val="en-US" w:eastAsia="zh-CN"/>
              </w:rPr>
              <w:t>p</w:t>
            </w:r>
            <w:r>
              <w:rPr>
                <w:rFonts w:hint="default"/>
                <w:b w:val="0"/>
                <w:bCs w:val="0"/>
                <w:color w:val="auto"/>
                <w:highlight w:val="none"/>
              </w:rPr>
              <w:t>H约为10.5，混匀，形成氢氧化锌沉淀，倾取上清液分析，必要时，用中速滤纸过滤，弃去初滤液20ml。</w:t>
            </w:r>
          </w:p>
          <w:p w14:paraId="083E14E4">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3）</w:t>
            </w:r>
            <w:r>
              <w:rPr>
                <w:rFonts w:hint="default"/>
                <w:b w:val="0"/>
                <w:bCs w:val="0"/>
                <w:color w:val="auto"/>
                <w:highlight w:val="none"/>
              </w:rPr>
              <w:t>预蒸馏：将50ml硼酸溶液移入接收瓶内，确保冷凝管出口在硼酸溶液液面下，分取250ml样品移入烧瓶内，加几滴溴百里酚蓝指示剂，必要时，用氢氧化钠溶液或盐酸溶液调整</w:t>
            </w:r>
            <w:r>
              <w:rPr>
                <w:rFonts w:hint="eastAsia"/>
                <w:b w:val="0"/>
                <w:bCs w:val="0"/>
                <w:color w:val="auto"/>
                <w:highlight w:val="none"/>
                <w:lang w:val="en-US" w:eastAsia="zh-CN"/>
              </w:rPr>
              <w:t>p</w:t>
            </w:r>
            <w:r>
              <w:rPr>
                <w:rFonts w:hint="default"/>
                <w:b w:val="0"/>
                <w:bCs w:val="0"/>
                <w:color w:val="auto"/>
                <w:highlight w:val="none"/>
              </w:rPr>
              <w:t>H至6.0~7.4之间，加入0.25g氧化镁及数粒玻璃珠，立即连接氮气球和冷凝管，在酒精台上加热蒸馏，控制馏出液速率约为10ml/min左右，待馏出液达200ml时，停止蒸馏，加水定容至250ml，在此期间会有</w:t>
            </w:r>
            <w:r>
              <w:rPr>
                <w:rFonts w:hint="eastAsia"/>
                <w:b w:val="0"/>
                <w:bCs w:val="0"/>
                <w:color w:val="auto"/>
                <w:highlight w:val="none"/>
                <w:lang w:val="en-US" w:eastAsia="zh-CN"/>
              </w:rPr>
              <w:t>酸雾等</w:t>
            </w:r>
            <w:r>
              <w:rPr>
                <w:rFonts w:hint="default"/>
                <w:b w:val="0"/>
                <w:bCs w:val="0"/>
                <w:color w:val="auto"/>
                <w:highlight w:val="none"/>
              </w:rPr>
              <w:t>废气产生。</w:t>
            </w:r>
          </w:p>
          <w:p w14:paraId="6418D3FE">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4）</w:t>
            </w:r>
            <w:r>
              <w:rPr>
                <w:rFonts w:hint="default"/>
                <w:b w:val="0"/>
                <w:bCs w:val="0"/>
                <w:color w:val="auto"/>
                <w:highlight w:val="none"/>
              </w:rPr>
              <w:t>比色：取8个50ml比色管，在比色管中分别加入0.00ml、0.50ml、1.00ml、2.00ml、4.00ml、6.00ml、8.00ml和10.00ml氨氮标准工作溶液，其所对应的氨氮含量分别为0.0μg、5.0μg、10.0μg、20.0μg、40.0μg、60.0μg、80.0μg和100μg，加水至比色管标线，加入1.0ml酒石酸钾钠溶液摇匀，再加入纳氏试剂1.5ml或1.0ml摇匀，放置10min后，与分光光度计上在波长420nm下，用20mm比色皿，以水作参比，测量吸光度。</w:t>
            </w:r>
          </w:p>
          <w:p w14:paraId="00019373">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5）</w:t>
            </w:r>
            <w:r>
              <w:rPr>
                <w:rFonts w:hint="default"/>
                <w:b w:val="0"/>
                <w:bCs w:val="0"/>
                <w:color w:val="auto"/>
                <w:highlight w:val="none"/>
              </w:rPr>
              <w:t>绘制曲线图：以空白校正后的吸光度为纵坐标，以其对应的氨氮含量为横坐标，绘制曲线图。</w:t>
            </w:r>
          </w:p>
          <w:p w14:paraId="2F33BDC9">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6）</w:t>
            </w:r>
            <w:r>
              <w:rPr>
                <w:rFonts w:hint="default"/>
                <w:b w:val="0"/>
                <w:bCs w:val="0"/>
                <w:color w:val="auto"/>
                <w:highlight w:val="none"/>
              </w:rPr>
              <w:t>空白样：以蒸馏水代作水样，按同样操作步骤</w:t>
            </w:r>
            <w:r>
              <w:rPr>
                <w:rFonts w:hint="eastAsia"/>
                <w:b w:val="0"/>
                <w:bCs w:val="0"/>
                <w:color w:val="auto"/>
                <w:highlight w:val="none"/>
                <w:lang w:eastAsia="zh-CN"/>
              </w:rPr>
              <w:t>做</w:t>
            </w:r>
            <w:r>
              <w:rPr>
                <w:rFonts w:hint="default"/>
                <w:b w:val="0"/>
                <w:bCs w:val="0"/>
                <w:color w:val="auto"/>
                <w:highlight w:val="none"/>
              </w:rPr>
              <w:t>测试空白试验。记录吸光度，绘制曲线图</w:t>
            </w:r>
          </w:p>
          <w:p w14:paraId="5A922CCC">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7）</w:t>
            </w:r>
            <w:r>
              <w:rPr>
                <w:rFonts w:hint="default"/>
                <w:b w:val="0"/>
                <w:bCs w:val="0"/>
                <w:color w:val="auto"/>
                <w:highlight w:val="none"/>
              </w:rPr>
              <w:t>计算：根据《水质氨氮的测定纳氏试剂风光光度法》（HJ535-2009）8结果计算，将8个水样的吸光度</w:t>
            </w:r>
            <w:r>
              <w:rPr>
                <w:rFonts w:hint="eastAsia"/>
                <w:b w:val="0"/>
                <w:bCs w:val="0"/>
                <w:color w:val="auto"/>
                <w:highlight w:val="none"/>
                <w:lang w:eastAsia="zh-CN"/>
              </w:rPr>
              <w:t>代入</w:t>
            </w:r>
            <w:r>
              <w:rPr>
                <w:rFonts w:hint="default"/>
                <w:b w:val="0"/>
                <w:bCs w:val="0"/>
                <w:color w:val="auto"/>
                <w:highlight w:val="none"/>
              </w:rPr>
              <w:t>公式，计算出氨氮量，去除最小值和最大值后，根据平均值，得出结果。</w:t>
            </w:r>
          </w:p>
          <w:p w14:paraId="689F47EE">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8）</w:t>
            </w:r>
            <w:r>
              <w:rPr>
                <w:rFonts w:hint="default"/>
                <w:b w:val="0"/>
                <w:bCs w:val="0"/>
                <w:color w:val="auto"/>
                <w:highlight w:val="none"/>
              </w:rPr>
              <w:t>编制报告：通过所得数据及相关材料编制监测报告</w:t>
            </w:r>
          </w:p>
          <w:p w14:paraId="2B162913">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eastAsia"/>
                <w:b w:val="0"/>
                <w:bCs w:val="0"/>
                <w:color w:val="auto"/>
                <w:highlight w:val="none"/>
                <w:lang w:val="en-US" w:eastAsia="zh-CN"/>
              </w:rPr>
              <w:t>9）</w:t>
            </w:r>
            <w:r>
              <w:rPr>
                <w:rFonts w:hint="default"/>
                <w:b w:val="0"/>
                <w:bCs w:val="0"/>
                <w:color w:val="auto"/>
                <w:highlight w:val="none"/>
              </w:rPr>
              <w:t>清洗：对聚乙烯瓶、玻璃瓶、比色管滴定管、移液管等试剂瓶进行清洗，清洗原理同上，在此期间会有实验室废液（该废液</w:t>
            </w:r>
            <w:r>
              <w:rPr>
                <w:rFonts w:hint="eastAsia"/>
                <w:b w:val="0"/>
                <w:bCs w:val="0"/>
                <w:color w:val="auto"/>
                <w:highlight w:val="none"/>
                <w:lang w:eastAsia="zh-CN"/>
              </w:rPr>
              <w:t>含有</w:t>
            </w:r>
            <w:r>
              <w:rPr>
                <w:rFonts w:hint="default"/>
                <w:b w:val="0"/>
                <w:bCs w:val="0"/>
                <w:color w:val="auto"/>
                <w:highlight w:val="none"/>
              </w:rPr>
              <w:t>重金属，作为危废处置）和清洗废水产生。</w:t>
            </w:r>
          </w:p>
          <w:p w14:paraId="006A75C2">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b/>
                <w:bCs/>
                <w:color w:val="auto"/>
                <w:highlight w:val="none"/>
                <w:lang w:val="en-US" w:eastAsia="zh-CN"/>
              </w:rPr>
            </w:pPr>
            <w:r>
              <w:rPr>
                <w:rFonts w:hint="default"/>
                <w:color w:val="auto"/>
                <w:sz w:val="24"/>
                <w:highlight w:val="none"/>
              </w:rPr>
              <mc:AlternateContent>
                <mc:Choice Requires="wpg">
                  <w:drawing>
                    <wp:anchor distT="0" distB="0" distL="114300" distR="114300" simplePos="0" relativeHeight="251664384" behindDoc="0" locked="0" layoutInCell="1" allowOverlap="1">
                      <wp:simplePos x="0" y="0"/>
                      <wp:positionH relativeFrom="column">
                        <wp:posOffset>1835785</wp:posOffset>
                      </wp:positionH>
                      <wp:positionV relativeFrom="paragraph">
                        <wp:posOffset>204470</wp:posOffset>
                      </wp:positionV>
                      <wp:extent cx="2586990" cy="3548380"/>
                      <wp:effectExtent l="4445" t="0" r="0" b="13335"/>
                      <wp:wrapNone/>
                      <wp:docPr id="332" name="组合 332"/>
                      <wp:cNvGraphicFramePr/>
                      <a:graphic xmlns:a="http://schemas.openxmlformats.org/drawingml/2006/main">
                        <a:graphicData uri="http://schemas.microsoft.com/office/word/2010/wordprocessingGroup">
                          <wpg:wgp>
                            <wpg:cNvGrpSpPr/>
                            <wpg:grpSpPr>
                              <a:xfrm>
                                <a:off x="0" y="0"/>
                                <a:ext cx="2586990" cy="3548380"/>
                                <a:chOff x="23366" y="447667"/>
                                <a:chExt cx="4074" cy="5588"/>
                              </a:xfrm>
                            </wpg:grpSpPr>
                            <wps:wsp>
                              <wps:cNvPr id="317" name="矩形 469"/>
                              <wps:cNvSpPr/>
                              <wps:spPr>
                                <a:xfrm>
                                  <a:off x="23366" y="448520"/>
                                  <a:ext cx="2238"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286B9">
                                    <w:pPr>
                                      <w:pStyle w:val="27"/>
                                      <w:bidi w:val="0"/>
                                      <w:rPr>
                                        <w:rFonts w:hint="eastAsia" w:eastAsia="宋体"/>
                                        <w:lang w:val="en-US" w:eastAsia="zh-CN"/>
                                      </w:rPr>
                                    </w:pPr>
                                    <w:r>
                                      <w:rPr>
                                        <w:rFonts w:hint="eastAsia"/>
                                        <w:lang w:val="en-US" w:eastAsia="zh-CN"/>
                                      </w:rPr>
                                      <w:t>二硫化碳解析</w:t>
                                    </w:r>
                                  </w:p>
                                </w:txbxContent>
                              </wps:txbx>
                              <wps:bodyPr wrap="square" upright="1"/>
                            </wps:wsp>
                            <wps:wsp>
                              <wps:cNvPr id="318" name="矩形 470"/>
                              <wps:cNvSpPr/>
                              <wps:spPr>
                                <a:xfrm>
                                  <a:off x="23831" y="447667"/>
                                  <a:ext cx="1496" cy="433"/>
                                </a:xfrm>
                                <a:prstGeom prst="rect">
                                  <a:avLst/>
                                </a:prstGeom>
                                <a:solidFill>
                                  <a:srgbClr val="FFFFFF">
                                    <a:alpha val="0"/>
                                  </a:srgbClr>
                                </a:solidFill>
                                <a:ln>
                                  <a:noFill/>
                                </a:ln>
                              </wps:spPr>
                              <wps:txbx>
                                <w:txbxContent>
                                  <w:p w14:paraId="242E8A9F">
                                    <w:pPr>
                                      <w:pStyle w:val="27"/>
                                      <w:bidi w:val="0"/>
                                    </w:pPr>
                                    <w:r>
                                      <w:rPr>
                                        <w:rFonts w:hint="eastAsia"/>
                                        <w:lang w:val="en-US" w:eastAsia="zh-CN"/>
                                      </w:rPr>
                                      <w:t>采集的碳管</w:t>
                                    </w:r>
                                  </w:p>
                                </w:txbxContent>
                              </wps:txbx>
                              <wps:bodyPr wrap="square" upright="1"/>
                            </wps:wsp>
                            <wps:wsp>
                              <wps:cNvPr id="319" name="自选图形 471"/>
                              <wps:cNvCnPr/>
                              <wps:spPr>
                                <a:xfrm>
                                  <a:off x="24477" y="448075"/>
                                  <a:ext cx="0" cy="447"/>
                                </a:xfrm>
                                <a:prstGeom prst="straightConnector1">
                                  <a:avLst/>
                                </a:prstGeom>
                                <a:ln w="9525" cap="flat" cmpd="sng">
                                  <a:solidFill>
                                    <a:srgbClr val="000000"/>
                                  </a:solidFill>
                                  <a:prstDash val="solid"/>
                                  <a:headEnd type="none" w="med" len="med"/>
                                  <a:tailEnd type="triangle" w="med" len="med"/>
                                </a:ln>
                              </wps:spPr>
                              <wps:bodyPr/>
                            </wps:wsp>
                            <wps:wsp>
                              <wps:cNvPr id="320" name="自选图形 472"/>
                              <wps:cNvCnPr/>
                              <wps:spPr>
                                <a:xfrm>
                                  <a:off x="24496" y="448960"/>
                                  <a:ext cx="0" cy="447"/>
                                </a:xfrm>
                                <a:prstGeom prst="straightConnector1">
                                  <a:avLst/>
                                </a:prstGeom>
                                <a:ln w="9525" cap="flat" cmpd="sng">
                                  <a:solidFill>
                                    <a:srgbClr val="000000"/>
                                  </a:solidFill>
                                  <a:prstDash val="solid"/>
                                  <a:headEnd type="none" w="med" len="med"/>
                                  <a:tailEnd type="triangle" w="med" len="med"/>
                                </a:ln>
                              </wps:spPr>
                              <wps:bodyPr/>
                            </wps:wsp>
                            <wps:wsp>
                              <wps:cNvPr id="321" name="矩形 473"/>
                              <wps:cNvSpPr/>
                              <wps:spPr>
                                <a:xfrm>
                                  <a:off x="23393" y="449406"/>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46E2A5">
                                    <w:pPr>
                                      <w:pStyle w:val="27"/>
                                      <w:bidi w:val="0"/>
                                      <w:rPr>
                                        <w:rFonts w:hint="default" w:eastAsia="宋体"/>
                                        <w:lang w:val="en-US" w:eastAsia="zh-CN"/>
                                      </w:rPr>
                                    </w:pPr>
                                    <w:r>
                                      <w:rPr>
                                        <w:rFonts w:hint="eastAsia"/>
                                        <w:lang w:val="en-US" w:eastAsia="zh-CN"/>
                                      </w:rPr>
                                      <w:t>分析</w:t>
                                    </w:r>
                                  </w:p>
                                </w:txbxContent>
                              </wps:txbx>
                              <wps:bodyPr wrap="square" upright="1"/>
                            </wps:wsp>
                            <wps:wsp>
                              <wps:cNvPr id="322" name="自选图形 474"/>
                              <wps:cNvCnPr/>
                              <wps:spPr>
                                <a:xfrm>
                                  <a:off x="24514" y="449832"/>
                                  <a:ext cx="0" cy="447"/>
                                </a:xfrm>
                                <a:prstGeom prst="straightConnector1">
                                  <a:avLst/>
                                </a:prstGeom>
                                <a:ln w="9525" cap="flat" cmpd="sng">
                                  <a:solidFill>
                                    <a:srgbClr val="000000"/>
                                  </a:solidFill>
                                  <a:prstDash val="solid"/>
                                  <a:headEnd type="none" w="med" len="med"/>
                                  <a:tailEnd type="triangle" w="med" len="med"/>
                                </a:ln>
                              </wps:spPr>
                              <wps:bodyPr/>
                            </wps:wsp>
                            <wps:wsp>
                              <wps:cNvPr id="323" name="自选图形 478"/>
                              <wps:cNvCnPr/>
                              <wps:spPr>
                                <a:xfrm>
                                  <a:off x="24519" y="451546"/>
                                  <a:ext cx="1" cy="396"/>
                                </a:xfrm>
                                <a:prstGeom prst="straightConnector1">
                                  <a:avLst/>
                                </a:prstGeom>
                                <a:ln w="6350" cap="flat" cmpd="sng">
                                  <a:solidFill>
                                    <a:srgbClr val="000000"/>
                                  </a:solidFill>
                                  <a:prstDash val="solid"/>
                                  <a:headEnd type="none" w="med" len="med"/>
                                  <a:tailEnd type="triangle" w="med" len="med"/>
                                </a:ln>
                              </wps:spPr>
                              <wps:bodyPr/>
                            </wps:wsp>
                            <wps:wsp>
                              <wps:cNvPr id="324" name="矩形 473"/>
                              <wps:cNvSpPr/>
                              <wps:spPr>
                                <a:xfrm>
                                  <a:off x="23409" y="451158"/>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5E70E">
                                    <w:pPr>
                                      <w:pStyle w:val="27"/>
                                      <w:bidi w:val="0"/>
                                      <w:rPr>
                                        <w:rFonts w:hint="eastAsia" w:eastAsia="宋体"/>
                                        <w:lang w:val="en-US" w:eastAsia="zh-CN"/>
                                      </w:rPr>
                                    </w:pPr>
                                    <w:r>
                                      <w:rPr>
                                        <w:rFonts w:hint="eastAsia"/>
                                        <w:lang w:val="en-US" w:eastAsia="zh-CN"/>
                                      </w:rPr>
                                      <w:t>整理检测数据</w:t>
                                    </w:r>
                                  </w:p>
                                </w:txbxContent>
                              </wps:txbx>
                              <wps:bodyPr wrap="square" upright="1"/>
                            </wps:wsp>
                            <wps:wsp>
                              <wps:cNvPr id="325" name="自选图形 478"/>
                              <wps:cNvCnPr/>
                              <wps:spPr>
                                <a:xfrm>
                                  <a:off x="24520" y="452375"/>
                                  <a:ext cx="7" cy="448"/>
                                </a:xfrm>
                                <a:prstGeom prst="straightConnector1">
                                  <a:avLst/>
                                </a:prstGeom>
                                <a:ln w="6350" cap="flat" cmpd="sng">
                                  <a:solidFill>
                                    <a:srgbClr val="000000"/>
                                  </a:solidFill>
                                  <a:prstDash val="solid"/>
                                  <a:headEnd type="none" w="med" len="med"/>
                                  <a:tailEnd type="triangle" w="med" len="med"/>
                                </a:ln>
                              </wps:spPr>
                              <wps:bodyPr/>
                            </wps:wsp>
                            <wps:wsp>
                              <wps:cNvPr id="326" name="自选图形 478"/>
                              <wps:cNvCnPr/>
                              <wps:spPr>
                                <a:xfrm>
                                  <a:off x="25615" y="448730"/>
                                  <a:ext cx="517" cy="2"/>
                                </a:xfrm>
                                <a:prstGeom prst="straightConnector1">
                                  <a:avLst/>
                                </a:prstGeom>
                                <a:ln w="9525" cap="flat" cmpd="sng">
                                  <a:solidFill>
                                    <a:schemeClr val="tx1"/>
                                  </a:solidFill>
                                  <a:prstDash val="solid"/>
                                  <a:headEnd type="none" w="med" len="med"/>
                                  <a:tailEnd type="triangle" w="med" len="med"/>
                                </a:ln>
                              </wps:spPr>
                              <wps:bodyPr/>
                            </wps:wsp>
                            <wps:wsp>
                              <wps:cNvPr id="327" name="矩形 470"/>
                              <wps:cNvSpPr/>
                              <wps:spPr>
                                <a:xfrm>
                                  <a:off x="26176" y="448537"/>
                                  <a:ext cx="1265" cy="372"/>
                                </a:xfrm>
                                <a:prstGeom prst="rect">
                                  <a:avLst/>
                                </a:prstGeom>
                                <a:solidFill>
                                  <a:srgbClr val="FFFFFF">
                                    <a:alpha val="0"/>
                                  </a:srgbClr>
                                </a:solidFill>
                                <a:ln>
                                  <a:noFill/>
                                </a:ln>
                              </wps:spPr>
                              <wps:txbx>
                                <w:txbxContent>
                                  <w:p w14:paraId="340866E3">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废气</w:t>
                                    </w:r>
                                  </w:p>
                                </w:txbxContent>
                              </wps:txbx>
                              <wps:bodyPr wrap="square" lIns="0" tIns="0" rIns="0" bIns="0" upright="1"/>
                            </wps:wsp>
                            <wps:wsp>
                              <wps:cNvPr id="328" name="矩形 473"/>
                              <wps:cNvSpPr/>
                              <wps:spPr>
                                <a:xfrm>
                                  <a:off x="23410" y="451942"/>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43315C">
                                    <w:pPr>
                                      <w:pStyle w:val="27"/>
                                      <w:bidi w:val="0"/>
                                      <w:rPr>
                                        <w:rFonts w:hint="eastAsia" w:eastAsia="宋体"/>
                                        <w:lang w:val="en-US" w:eastAsia="zh-CN"/>
                                      </w:rPr>
                                    </w:pPr>
                                    <w:r>
                                      <w:rPr>
                                        <w:rFonts w:hint="eastAsia"/>
                                        <w:lang w:val="en-US" w:eastAsia="zh-CN"/>
                                      </w:rPr>
                                      <w:t>编制检测报告</w:t>
                                    </w:r>
                                  </w:p>
                                </w:txbxContent>
                              </wps:txbx>
                              <wps:bodyPr wrap="square" upright="1"/>
                            </wps:wsp>
                            <wps:wsp>
                              <wps:cNvPr id="329" name="矩形 473"/>
                              <wps:cNvSpPr/>
                              <wps:spPr>
                                <a:xfrm>
                                  <a:off x="23417" y="452823"/>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A8098">
                                    <w:pPr>
                                      <w:pStyle w:val="27"/>
                                      <w:bidi w:val="0"/>
                                      <w:rPr>
                                        <w:rFonts w:hint="eastAsia" w:eastAsia="宋体"/>
                                        <w:lang w:val="en-US" w:eastAsia="zh-CN"/>
                                      </w:rPr>
                                    </w:pPr>
                                    <w:r>
                                      <w:rPr>
                                        <w:rFonts w:hint="eastAsia"/>
                                        <w:lang w:val="en-US" w:eastAsia="zh-CN"/>
                                      </w:rPr>
                                      <w:t>发送检测报告</w:t>
                                    </w:r>
                                  </w:p>
                                </w:txbxContent>
                              </wps:txbx>
                              <wps:bodyPr wrap="square" upright="1"/>
                            </wps:wsp>
                            <wps:wsp>
                              <wps:cNvPr id="330" name="矩形 473"/>
                              <wps:cNvSpPr/>
                              <wps:spPr>
                                <a:xfrm>
                                  <a:off x="23409" y="450288"/>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A59656">
                                    <w:pPr>
                                      <w:pStyle w:val="27"/>
                                      <w:bidi w:val="0"/>
                                      <w:rPr>
                                        <w:rFonts w:hint="eastAsia" w:eastAsia="宋体"/>
                                        <w:lang w:val="en-US" w:eastAsia="zh-CN"/>
                                      </w:rPr>
                                    </w:pPr>
                                    <w:r>
                                      <w:rPr>
                                        <w:rFonts w:hint="eastAsia"/>
                                        <w:lang w:val="en-US" w:eastAsia="zh-CN"/>
                                      </w:rPr>
                                      <w:t>绘制曲线图</w:t>
                                    </w:r>
                                  </w:p>
                                </w:txbxContent>
                              </wps:txbx>
                              <wps:bodyPr wrap="square" upright="1"/>
                            </wps:wsp>
                            <wps:wsp>
                              <wps:cNvPr id="331" name="自选图形 474"/>
                              <wps:cNvCnPr/>
                              <wps:spPr>
                                <a:xfrm>
                                  <a:off x="24514" y="450732"/>
                                  <a:ext cx="0" cy="44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44.55pt;margin-top:16.1pt;height:279.4pt;width:203.7pt;z-index:251664384;mso-width-relative:page;mso-height-relative:page;" coordorigin="23366,447667" coordsize="4074,5588" o:gfxdata="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4Cki&#10;1doAAAAKAQAADwAAAAAAAAABACAAAAAiAAAAZHJzL2Rvd25yZXYueG1sUEsBAhQAFAAAAAgAh07i&#10;QDOru+zMBAAAdCMAAA4AAAAAAAAAAQAgAAAAKQEAAGRycy9lMm9Eb2MueG1sUEsFBgAAAAAGAAYA&#10;WQEAAGcIAAAAAA==&#10;">
                      <o:lock v:ext="edit" aspectratio="f"/>
                      <v:rect id="矩形 469" o:spid="_x0000_s1026" o:spt="1" style="position:absolute;left:23366;top:448520;height:433;width:2238;"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9286B9">
                              <w:pPr>
                                <w:pStyle w:val="27"/>
                                <w:bidi w:val="0"/>
                                <w:rPr>
                                  <w:rFonts w:hint="eastAsia" w:eastAsia="宋体"/>
                                  <w:lang w:val="en-US" w:eastAsia="zh-CN"/>
                                </w:rPr>
                              </w:pPr>
                              <w:r>
                                <w:rPr>
                                  <w:rFonts w:hint="eastAsia"/>
                                  <w:lang w:val="en-US" w:eastAsia="zh-CN"/>
                                </w:rPr>
                                <w:t>二硫化碳解析</w:t>
                              </w:r>
                            </w:p>
                          </w:txbxContent>
                        </v:textbox>
                      </v:rect>
                      <v:rect id="矩形 470" o:spid="_x0000_s1026" o:spt="1" style="position:absolute;left:23831;top:447667;height:433;width:1496;" fillcolor="#FFFFFF" filled="t" stroked="f" coordsize="21600,21600" o:gfxdata="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Epaq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242E8A9F">
                              <w:pPr>
                                <w:pStyle w:val="27"/>
                                <w:bidi w:val="0"/>
                              </w:pPr>
                              <w:r>
                                <w:rPr>
                                  <w:rFonts w:hint="eastAsia"/>
                                  <w:lang w:val="en-US" w:eastAsia="zh-CN"/>
                                </w:rPr>
                                <w:t>采集的碳管</w:t>
                              </w:r>
                            </w:p>
                          </w:txbxContent>
                        </v:textbox>
                      </v:rect>
                      <v:shape id="自选图形 471" o:spid="_x0000_s1026" o:spt="32" type="#_x0000_t32" style="position:absolute;left:24477;top:448075;height:447;width:0;" filled="f" stroked="t" coordsize="21600,21600" o:gfxdata="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bm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2" o:spid="_x0000_s1026" o:spt="32" type="#_x0000_t32" style="position:absolute;left:24496;top:448960;height:447;width:0;" filled="f" stroked="t" coordsize="21600,21600" o:gfxdata="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N+4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473" o:spid="_x0000_s1026" o:spt="1" style="position:absolute;left:23393;top:449406;height:433;width:2220;"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46E2A5">
                              <w:pPr>
                                <w:pStyle w:val="27"/>
                                <w:bidi w:val="0"/>
                                <w:rPr>
                                  <w:rFonts w:hint="default" w:eastAsia="宋体"/>
                                  <w:lang w:val="en-US" w:eastAsia="zh-CN"/>
                                </w:rPr>
                              </w:pPr>
                              <w:r>
                                <w:rPr>
                                  <w:rFonts w:hint="eastAsia"/>
                                  <w:lang w:val="en-US" w:eastAsia="zh-CN"/>
                                </w:rPr>
                                <w:t>分析</w:t>
                              </w:r>
                            </w:p>
                          </w:txbxContent>
                        </v:textbox>
                      </v:rect>
                      <v:shape id="自选图形 474" o:spid="_x0000_s1026" o:spt="32" type="#_x0000_t32" style="position:absolute;left:24514;top:449832;height:447;width:0;" filled="f" stroked="t" coordsize="21600,21600" o:gfxdata="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Tw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24519;top:451546;height:396;width:1;" filled="f" stroked="t" coordsize="21600,21600" o:gfxdata="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pY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rect id="矩形 473" o:spid="_x0000_s1026" o:spt="1" style="position:absolute;left:23409;top:451158;height:433;width:2220;" fillcolor="#FFFFFF" filled="t" stroked="t" coordsize="21600,21600" o:gfxdata="UEsDBAoAAAAAAIdO4kAAAAAAAAAAAAAAAAAEAAAAZHJzL1BLAwQUAAAACACHTuJAGbtMnb0AAADc&#10;AAAADwAAAGRycy9kb3ducmV2LnhtbEWPwW7CMBBE75X4B2uRuBWbUKE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0y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D5E70E">
                              <w:pPr>
                                <w:pStyle w:val="27"/>
                                <w:bidi w:val="0"/>
                                <w:rPr>
                                  <w:rFonts w:hint="eastAsia" w:eastAsia="宋体"/>
                                  <w:lang w:val="en-US" w:eastAsia="zh-CN"/>
                                </w:rPr>
                              </w:pPr>
                              <w:r>
                                <w:rPr>
                                  <w:rFonts w:hint="eastAsia"/>
                                  <w:lang w:val="en-US" w:eastAsia="zh-CN"/>
                                </w:rPr>
                                <w:t>整理检测数据</w:t>
                              </w:r>
                            </w:p>
                          </w:txbxContent>
                        </v:textbox>
                      </v:rect>
                      <v:shape id="自选图形 478" o:spid="_x0000_s1026" o:spt="32" type="#_x0000_t32" style="position:absolute;left:24520;top:452375;height:448;width:7;" filled="f" stroked="t" coordsize="21600,21600" o:gfxdata="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zUj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自选图形 478" o:spid="_x0000_s1026" o:spt="32" type="#_x0000_t32" style="position:absolute;left:25615;top:448730;height:2;width:517;" filled="f" stroked="t" coordsize="21600,21600" o:gfxdata="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oxmG/&#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470" o:spid="_x0000_s1026" o:spt="1" style="position:absolute;left:26176;top:448537;height:372;width:1265;" fillcolor="#FFFFFF" filled="t" stroked="f" coordsize="21600,21600" o:gfxdata="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E2lO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340866E3">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废气</w:t>
                              </w:r>
                            </w:p>
                          </w:txbxContent>
                        </v:textbox>
                      </v:rect>
                      <v:rect id="矩形 473" o:spid="_x0000_s1026" o:spt="1" style="position:absolute;left:23410;top:451942;height:433;width:222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543315C">
                              <w:pPr>
                                <w:pStyle w:val="27"/>
                                <w:bidi w:val="0"/>
                                <w:rPr>
                                  <w:rFonts w:hint="eastAsia" w:eastAsia="宋体"/>
                                  <w:lang w:val="en-US" w:eastAsia="zh-CN"/>
                                </w:rPr>
                              </w:pPr>
                              <w:r>
                                <w:rPr>
                                  <w:rFonts w:hint="eastAsia"/>
                                  <w:lang w:val="en-US" w:eastAsia="zh-CN"/>
                                </w:rPr>
                                <w:t>编制检测报告</w:t>
                              </w:r>
                            </w:p>
                          </w:txbxContent>
                        </v:textbox>
                      </v:rect>
                      <v:rect id="矩形 473" o:spid="_x0000_s1026" o:spt="1" style="position:absolute;left:23417;top:452823;height:433;width:2220;"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76A8098">
                              <w:pPr>
                                <w:pStyle w:val="27"/>
                                <w:bidi w:val="0"/>
                                <w:rPr>
                                  <w:rFonts w:hint="eastAsia" w:eastAsia="宋体"/>
                                  <w:lang w:val="en-US" w:eastAsia="zh-CN"/>
                                </w:rPr>
                              </w:pPr>
                              <w:r>
                                <w:rPr>
                                  <w:rFonts w:hint="eastAsia"/>
                                  <w:lang w:val="en-US" w:eastAsia="zh-CN"/>
                                </w:rPr>
                                <w:t>发送检测报告</w:t>
                              </w:r>
                            </w:p>
                          </w:txbxContent>
                        </v:textbox>
                      </v:rect>
                      <v:rect id="矩形 473" o:spid="_x0000_s1026" o:spt="1" style="position:absolute;left:23409;top:450288;height:433;width:2220;" fillcolor="#FFFFFF" filled="t" stroked="t" coordsize="21600,21600" o:gfxdata="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dx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2A59656">
                              <w:pPr>
                                <w:pStyle w:val="27"/>
                                <w:bidi w:val="0"/>
                                <w:rPr>
                                  <w:rFonts w:hint="eastAsia" w:eastAsia="宋体"/>
                                  <w:lang w:val="en-US" w:eastAsia="zh-CN"/>
                                </w:rPr>
                              </w:pPr>
                              <w:r>
                                <w:rPr>
                                  <w:rFonts w:hint="eastAsia"/>
                                  <w:lang w:val="en-US" w:eastAsia="zh-CN"/>
                                </w:rPr>
                                <w:t>绘制曲线图</w:t>
                              </w:r>
                            </w:p>
                          </w:txbxContent>
                        </v:textbox>
                      </v:rect>
                      <v:shape id="自选图形 474" o:spid="_x0000_s1026" o:spt="32" type="#_x0000_t32" style="position:absolute;left:24514;top:450732;height:447;width:0;" filled="f" stroked="t" coordsize="21600,21600" o:gfxdata="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yM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空气中苯系物测定（气相色谱法）</w:t>
            </w:r>
            <w:r>
              <w:rPr>
                <w:rFonts w:hint="eastAsia"/>
                <w:b/>
                <w:bCs/>
                <w:color w:val="auto"/>
                <w:highlight w:val="none"/>
                <w:lang w:val="en-US" w:eastAsia="zh-CN"/>
              </w:rPr>
              <w:t>：</w:t>
            </w:r>
          </w:p>
          <w:p w14:paraId="2A8B0368">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6350B62B">
            <w:pPr>
              <w:pStyle w:val="8"/>
              <w:keepNext w:val="0"/>
              <w:keepLines w:val="0"/>
              <w:suppressLineNumbers w:val="0"/>
              <w:spacing w:beforeAutospacing="0" w:afterAutospacing="0"/>
              <w:ind w:left="0"/>
              <w:rPr>
                <w:rFonts w:hint="default"/>
                <w:b/>
                <w:bCs/>
                <w:color w:val="auto"/>
                <w:highlight w:val="none"/>
              </w:rPr>
            </w:pPr>
          </w:p>
          <w:p w14:paraId="6A378D49">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29B77FF5">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716EFC0A">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39C7A488">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360EC3A3">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378E63FF">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26A4F599">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47D6014A">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627984C7">
            <w:pPr>
              <w:pStyle w:val="9"/>
              <w:keepNext w:val="0"/>
              <w:keepLines w:val="0"/>
              <w:numPr>
                <w:ilvl w:val="0"/>
                <w:numId w:val="0"/>
              </w:numPr>
              <w:suppressLineNumbers w:val="0"/>
              <w:spacing w:before="0" w:beforeAutospacing="0" w:after="0" w:afterAutospacing="0"/>
              <w:ind w:left="480" w:leftChars="200" w:right="0"/>
              <w:rPr>
                <w:rFonts w:hint="default"/>
                <w:color w:val="auto"/>
                <w:highlight w:val="none"/>
              </w:rPr>
            </w:pPr>
          </w:p>
          <w:p w14:paraId="77356BDC">
            <w:pPr>
              <w:keepNext w:val="0"/>
              <w:keepLines w:val="0"/>
              <w:numPr>
                <w:ilvl w:val="0"/>
                <w:numId w:val="0"/>
              </w:numPr>
              <w:suppressLineNumbers w:val="0"/>
              <w:bidi w:val="0"/>
              <w:spacing w:before="0" w:beforeAutospacing="0" w:after="0" w:afterAutospacing="0"/>
              <w:ind w:left="0" w:leftChars="0" w:right="0" w:rightChars="0" w:firstLine="482" w:firstLineChars="200"/>
              <w:rPr>
                <w:rFonts w:hint="eastAsia" w:ascii="Times New Roman" w:hAnsi="Times New Roman" w:eastAsia="宋体" w:cs="Times New Roman"/>
                <w:b/>
                <w:bCs/>
                <w:color w:val="auto"/>
                <w:kern w:val="2"/>
                <w:sz w:val="24"/>
                <w:szCs w:val="24"/>
                <w:highlight w:val="none"/>
                <w:lang w:val="en-US" w:eastAsia="zh-CN" w:bidi="ar-SA"/>
              </w:rPr>
            </w:pPr>
          </w:p>
          <w:p w14:paraId="6B5EC0EC">
            <w:pPr>
              <w:pStyle w:val="8"/>
              <w:keepNext w:val="0"/>
              <w:keepLines w:val="0"/>
              <w:suppressLineNumbers w:val="0"/>
              <w:spacing w:beforeAutospacing="0" w:afterAutospacing="0"/>
              <w:ind w:left="0"/>
              <w:rPr>
                <w:rFonts w:hint="eastAsia" w:ascii="Times New Roman" w:hAnsi="Times New Roman" w:eastAsia="宋体" w:cs="Times New Roman"/>
                <w:b/>
                <w:bCs/>
                <w:color w:val="auto"/>
                <w:kern w:val="2"/>
                <w:sz w:val="24"/>
                <w:szCs w:val="24"/>
                <w:highlight w:val="none"/>
                <w:lang w:val="en-US" w:eastAsia="zh-CN" w:bidi="ar-SA"/>
              </w:rPr>
            </w:pPr>
          </w:p>
          <w:p w14:paraId="64E60000">
            <w:pPr>
              <w:pStyle w:val="9"/>
              <w:keepNext w:val="0"/>
              <w:keepLines w:val="0"/>
              <w:numPr>
                <w:ilvl w:val="0"/>
                <w:numId w:val="0"/>
              </w:numPr>
              <w:suppressLineNumbers w:val="0"/>
              <w:spacing w:before="0" w:beforeAutospacing="0" w:after="0" w:afterAutospacing="0"/>
              <w:ind w:left="0" w:right="0"/>
              <w:rPr>
                <w:rFonts w:hint="eastAsia"/>
                <w:color w:val="auto"/>
                <w:highlight w:val="none"/>
                <w:lang w:val="en-US" w:eastAsia="zh-CN"/>
              </w:rPr>
            </w:pPr>
          </w:p>
          <w:p w14:paraId="71F7D35A">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 xml:space="preserve">5 </w:t>
            </w:r>
            <w:r>
              <w:rPr>
                <w:rFonts w:hint="eastAsia"/>
                <w:color w:val="auto"/>
                <w:sz w:val="24"/>
                <w:szCs w:val="24"/>
                <w:highlight w:val="none"/>
              </w:rPr>
              <w:t xml:space="preserve"> </w:t>
            </w:r>
            <w:r>
              <w:rPr>
                <w:rFonts w:hint="eastAsia"/>
                <w:color w:val="auto"/>
                <w:sz w:val="24"/>
                <w:szCs w:val="24"/>
                <w:highlight w:val="none"/>
                <w:lang w:val="en-US" w:eastAsia="zh-CN"/>
              </w:rPr>
              <w:t>空气中苯系物的测定</w:t>
            </w:r>
            <w:r>
              <w:rPr>
                <w:rFonts w:hint="default" w:ascii="宋体" w:hAnsi="宋体" w:eastAsia="宋体" w:cs="宋体"/>
                <w:b/>
                <w:bCs/>
                <w:color w:val="auto"/>
                <w:sz w:val="24"/>
                <w:szCs w:val="24"/>
                <w:highlight w:val="none"/>
              </w:rPr>
              <w:t>工艺流程及产污环节图</w:t>
            </w:r>
          </w:p>
          <w:p w14:paraId="0DAB8C8E">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val="0"/>
                <w:bCs w:val="0"/>
                <w:color w:val="auto"/>
                <w:highlight w:val="none"/>
              </w:rPr>
            </w:pPr>
            <w:r>
              <w:rPr>
                <w:rFonts w:hint="default"/>
                <w:b w:val="0"/>
                <w:bCs w:val="0"/>
                <w:color w:val="auto"/>
                <w:highlight w:val="none"/>
              </w:rPr>
              <w:t>具体实验方法如下：</w:t>
            </w:r>
          </w:p>
          <w:p w14:paraId="7D33BF80">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1）</w:t>
            </w:r>
            <w:r>
              <w:rPr>
                <w:rFonts w:hint="eastAsia"/>
                <w:color w:val="auto"/>
                <w:highlight w:val="none"/>
                <w:lang w:val="en-US" w:eastAsia="zh-CN"/>
              </w:rPr>
              <w:t>样品采集：采样前应对采样器进行流量校准。在采样现场，将一只采样管与空气采样装置相连，调整采样装置流量，此采样管仅作为调节流量用，不用作采样分析；敲开活性炭采样管的两端，与采样器相连(A段为气体入口)，检查采样系统的气密性。以0.2~0.6L/min的流量采气1~2h(废气采样时间5~10min)。若现场大气中含有较多颗粒物，可在采样管前连接过滤头。同时记录采样器流量当前温度、气压及采样时间和地点；采样完毕前，再次记录采样流量，取下采样管，立即用聚四氟乙烯帽密封；</w:t>
            </w:r>
          </w:p>
          <w:p w14:paraId="1F0430B4">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2）二硫化碳解析：将活性炭采样管中A段和B段取出，分别放入磨口具塞试管中，每个试管中各加入1.00m二硫化碳，密闭轻轻振动，在室温下解析1h后，待测。</w:t>
            </w:r>
          </w:p>
          <w:p w14:paraId="7511E4FA">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default" w:ascii="Times New Roman" w:hAnsi="Times New Roman" w:cs="Times New Roman"/>
                <w:color w:val="auto"/>
                <w:highlight w:val="none"/>
                <w:lang w:val="en-US" w:eastAsia="zh-CN"/>
              </w:rPr>
              <w:t>3）仪器分析：毛细管柱气相色谱法条件：柱箱温度65℃保持10min，以5℃/min速率升温到90℃保持2min；柱流量:2.6ml/min；进样口温度：150℃；检测器温度:250℃；尾吹气流量：30ml/min；氢气流量：40ml/min；空气流量：</w:t>
            </w:r>
            <w:r>
              <w:rPr>
                <w:rFonts w:hint="eastAsia"/>
                <w:color w:val="auto"/>
                <w:highlight w:val="none"/>
                <w:lang w:val="en-US" w:eastAsia="zh-CN"/>
              </w:rPr>
              <w:t>400ml/min；</w:t>
            </w:r>
          </w:p>
          <w:p w14:paraId="258937F7">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校准曲线的绘制：分别取适量的标准贮备液，稀释到1.00ml的二硫化碳中，配制质量浓度依次为0.5、1.0、10、20和50ug/ml的校准系列。分别取标准系列溶液1.0m注射到气相色谱仪进样口。根据各目标组分质量和响应值绘制校准曲线，根据《环境空气 苯系物的测定</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固体吸附/热脱附-气相色谱法》（HJ583-2010）7进行计算、编制检验报告。</w:t>
            </w:r>
          </w:p>
          <w:p w14:paraId="7B1DBDE0">
            <w:pPr>
              <w:keepNext w:val="0"/>
              <w:keepLines w:val="0"/>
              <w:numPr>
                <w:ilvl w:val="0"/>
                <w:numId w:val="0"/>
              </w:numPr>
              <w:suppressLineNumbers w:val="0"/>
              <w:bidi w:val="0"/>
              <w:spacing w:before="0" w:beforeAutospacing="0" w:after="0" w:afterAutospacing="0"/>
              <w:ind w:left="0" w:leftChars="0" w:right="0" w:rightChars="0" w:firstLine="482" w:firstLineChars="200"/>
              <w:rPr>
                <w:rFonts w:hint="eastAsia"/>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土壤中总磷的测定碱熔-钼锑抗分光光度法</w:t>
            </w:r>
            <w:r>
              <w:rPr>
                <w:rFonts w:hint="eastAsia"/>
                <w:b/>
                <w:bCs/>
                <w:color w:val="auto"/>
                <w:highlight w:val="none"/>
                <w:lang w:val="en-US" w:eastAsia="zh-CN"/>
              </w:rPr>
              <w:t>：</w:t>
            </w:r>
          </w:p>
          <w:p w14:paraId="5C4AF810">
            <w:pPr>
              <w:keepNext w:val="0"/>
              <w:keepLines w:val="0"/>
              <w:numPr>
                <w:ilvl w:val="0"/>
                <w:numId w:val="0"/>
              </w:numPr>
              <w:suppressLineNumbers w:val="0"/>
              <w:tabs>
                <w:tab w:val="left" w:pos="622"/>
              </w:tabs>
              <w:bidi w:val="0"/>
              <w:spacing w:before="0" w:beforeAutospacing="0" w:after="0" w:afterAutospacing="0"/>
              <w:ind w:left="0" w:leftChars="0" w:right="0" w:rightChars="0" w:firstLine="480" w:firstLineChars="200"/>
              <w:rPr>
                <w:rFonts w:hint="eastAsia"/>
                <w:color w:val="auto"/>
                <w:highlight w:val="none"/>
                <w:lang w:val="en-US" w:eastAsia="zh-CN"/>
              </w:rPr>
            </w:pPr>
            <w:r>
              <w:rPr>
                <w:rFonts w:hint="default"/>
                <w:color w:val="auto"/>
                <w:sz w:val="24"/>
                <w:highlight w:val="none"/>
              </w:rPr>
              <mc:AlternateContent>
                <mc:Choice Requires="wpg">
                  <w:drawing>
                    <wp:anchor distT="0" distB="0" distL="114300" distR="114300" simplePos="0" relativeHeight="251665408" behindDoc="0" locked="0" layoutInCell="1" allowOverlap="1">
                      <wp:simplePos x="0" y="0"/>
                      <wp:positionH relativeFrom="column">
                        <wp:posOffset>260350</wp:posOffset>
                      </wp:positionH>
                      <wp:positionV relativeFrom="paragraph">
                        <wp:posOffset>55245</wp:posOffset>
                      </wp:positionV>
                      <wp:extent cx="4246880" cy="5215890"/>
                      <wp:effectExtent l="0" t="0" r="0" b="22860"/>
                      <wp:wrapNone/>
                      <wp:docPr id="369" name="组合 369"/>
                      <wp:cNvGraphicFramePr/>
                      <a:graphic xmlns:a="http://schemas.openxmlformats.org/drawingml/2006/main">
                        <a:graphicData uri="http://schemas.microsoft.com/office/word/2010/wordprocessingGroup">
                          <wpg:wgp>
                            <wpg:cNvGrpSpPr/>
                            <wpg:grpSpPr>
                              <a:xfrm>
                                <a:off x="0" y="0"/>
                                <a:ext cx="4246880" cy="5215890"/>
                                <a:chOff x="6915" y="466888"/>
                                <a:chExt cx="6688" cy="8214"/>
                              </a:xfrm>
                            </wpg:grpSpPr>
                            <wps:wsp>
                              <wps:cNvPr id="334" name="矩形 469"/>
                              <wps:cNvSpPr/>
                              <wps:spPr>
                                <a:xfrm>
                                  <a:off x="10347" y="467741"/>
                                  <a:ext cx="1287"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45CBC9">
                                    <w:pPr>
                                      <w:pStyle w:val="27"/>
                                      <w:bidi w:val="0"/>
                                      <w:rPr>
                                        <w:rFonts w:hint="eastAsia" w:eastAsia="宋体"/>
                                        <w:lang w:val="en-US" w:eastAsia="zh-CN"/>
                                      </w:rPr>
                                    </w:pPr>
                                    <w:r>
                                      <w:rPr>
                                        <w:rFonts w:hint="eastAsia"/>
                                        <w:lang w:val="en-US" w:eastAsia="zh-CN"/>
                                      </w:rPr>
                                      <w:t>样品制备取样</w:t>
                                    </w:r>
                                  </w:p>
                                </w:txbxContent>
                              </wps:txbx>
                              <wps:bodyPr wrap="square" upright="1"/>
                            </wps:wsp>
                            <wps:wsp>
                              <wps:cNvPr id="335" name="矩形 470"/>
                              <wps:cNvSpPr/>
                              <wps:spPr>
                                <a:xfrm>
                                  <a:off x="10320" y="466888"/>
                                  <a:ext cx="1287" cy="433"/>
                                </a:xfrm>
                                <a:prstGeom prst="rect">
                                  <a:avLst/>
                                </a:prstGeom>
                                <a:solidFill>
                                  <a:srgbClr val="FFFFFF">
                                    <a:alpha val="0"/>
                                  </a:srgbClr>
                                </a:solidFill>
                                <a:ln>
                                  <a:noFill/>
                                </a:ln>
                              </wps:spPr>
                              <wps:txbx>
                                <w:txbxContent>
                                  <w:p w14:paraId="21E08C65">
                                    <w:pPr>
                                      <w:pStyle w:val="27"/>
                                      <w:bidi w:val="0"/>
                                    </w:pPr>
                                    <w:r>
                                      <w:rPr>
                                        <w:rFonts w:hint="eastAsia"/>
                                        <w:lang w:val="en-US" w:eastAsia="zh-CN"/>
                                      </w:rPr>
                                      <w:t>样品</w:t>
                                    </w:r>
                                  </w:p>
                                </w:txbxContent>
                              </wps:txbx>
                              <wps:bodyPr wrap="square" upright="1"/>
                            </wps:wsp>
                            <wps:wsp>
                              <wps:cNvPr id="336" name="自选图形 471"/>
                              <wps:cNvCnPr/>
                              <wps:spPr>
                                <a:xfrm>
                                  <a:off x="10951" y="467240"/>
                                  <a:ext cx="0" cy="447"/>
                                </a:xfrm>
                                <a:prstGeom prst="straightConnector1">
                                  <a:avLst/>
                                </a:prstGeom>
                                <a:ln w="9525" cap="flat" cmpd="sng">
                                  <a:solidFill>
                                    <a:srgbClr val="000000"/>
                                  </a:solidFill>
                                  <a:prstDash val="solid"/>
                                  <a:headEnd type="none" w="med" len="med"/>
                                  <a:tailEnd type="triangle" w="med" len="med"/>
                                </a:ln>
                              </wps:spPr>
                              <wps:bodyPr/>
                            </wps:wsp>
                            <wps:wsp>
                              <wps:cNvPr id="337" name="自选图形 472"/>
                              <wps:cNvCnPr/>
                              <wps:spPr>
                                <a:xfrm>
                                  <a:off x="10969" y="468174"/>
                                  <a:ext cx="0" cy="447"/>
                                </a:xfrm>
                                <a:prstGeom prst="straightConnector1">
                                  <a:avLst/>
                                </a:prstGeom>
                                <a:ln w="9525" cap="flat" cmpd="sng">
                                  <a:solidFill>
                                    <a:srgbClr val="000000"/>
                                  </a:solidFill>
                                  <a:prstDash val="solid"/>
                                  <a:headEnd type="none" w="med" len="med"/>
                                  <a:tailEnd type="triangle" w="med" len="med"/>
                                </a:ln>
                              </wps:spPr>
                              <wps:bodyPr/>
                            </wps:wsp>
                            <wps:wsp>
                              <wps:cNvPr id="338" name="矩形 473"/>
                              <wps:cNvSpPr/>
                              <wps:spPr>
                                <a:xfrm>
                                  <a:off x="10231" y="468621"/>
                                  <a:ext cx="1778"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4E4E01">
                                    <w:pPr>
                                      <w:pStyle w:val="27"/>
                                      <w:bidi w:val="0"/>
                                      <w:rPr>
                                        <w:rFonts w:hint="eastAsia" w:eastAsia="宋体"/>
                                        <w:lang w:val="en-US" w:eastAsia="zh-CN"/>
                                      </w:rPr>
                                    </w:pPr>
                                    <w:r>
                                      <w:rPr>
                                        <w:rFonts w:hint="eastAsia"/>
                                        <w:lang w:val="en-US" w:eastAsia="zh-CN"/>
                                      </w:rPr>
                                      <w:t>干物质含量测定絮凝沉淀</w:t>
                                    </w:r>
                                  </w:p>
                                </w:txbxContent>
                              </wps:txbx>
                              <wps:bodyPr wrap="square" upright="1"/>
                            </wps:wsp>
                            <wps:wsp>
                              <wps:cNvPr id="339" name="自选图形 474"/>
                              <wps:cNvCnPr/>
                              <wps:spPr>
                                <a:xfrm>
                                  <a:off x="11003" y="469053"/>
                                  <a:ext cx="0" cy="447"/>
                                </a:xfrm>
                                <a:prstGeom prst="straightConnector1">
                                  <a:avLst/>
                                </a:prstGeom>
                                <a:ln w="9525" cap="flat" cmpd="sng">
                                  <a:solidFill>
                                    <a:srgbClr val="000000"/>
                                  </a:solidFill>
                                  <a:prstDash val="solid"/>
                                  <a:headEnd type="none" w="med" len="med"/>
                                  <a:tailEnd type="triangle" w="med" len="med"/>
                                </a:ln>
                              </wps:spPr>
                              <wps:bodyPr/>
                            </wps:wsp>
                            <wps:wsp>
                              <wps:cNvPr id="340" name="自选图形 478"/>
                              <wps:cNvCnPr/>
                              <wps:spPr>
                                <a:xfrm flipH="1">
                                  <a:off x="11014" y="469899"/>
                                  <a:ext cx="7" cy="431"/>
                                </a:xfrm>
                                <a:prstGeom prst="straightConnector1">
                                  <a:avLst/>
                                </a:prstGeom>
                                <a:ln w="6350" cap="flat" cmpd="sng">
                                  <a:solidFill>
                                    <a:srgbClr val="000000"/>
                                  </a:solidFill>
                                  <a:prstDash val="solid"/>
                                  <a:headEnd type="none" w="med" len="med"/>
                                  <a:tailEnd type="triangle" w="med" len="med"/>
                                </a:ln>
                              </wps:spPr>
                              <wps:bodyPr/>
                            </wps:wsp>
                            <wps:wsp>
                              <wps:cNvPr id="341" name="矩形 479"/>
                              <wps:cNvSpPr/>
                              <wps:spPr>
                                <a:xfrm>
                                  <a:off x="10364" y="470335"/>
                                  <a:ext cx="1307"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71F9D">
                                    <w:pPr>
                                      <w:pStyle w:val="27"/>
                                      <w:bidi w:val="0"/>
                                      <w:rPr>
                                        <w:rFonts w:hint="eastAsia" w:eastAsia="宋体"/>
                                        <w:lang w:eastAsia="zh-CN"/>
                                      </w:rPr>
                                    </w:pPr>
                                    <w:r>
                                      <w:rPr>
                                        <w:rFonts w:hint="eastAsia"/>
                                        <w:lang w:val="en-US" w:eastAsia="zh-CN"/>
                                      </w:rPr>
                                      <w:t>仪器校准比色</w:t>
                                    </w:r>
                                  </w:p>
                                </w:txbxContent>
                              </wps:txbx>
                              <wps:bodyPr wrap="square" upright="1"/>
                            </wps:wsp>
                            <wps:wsp>
                              <wps:cNvPr id="342" name="矩形 479"/>
                              <wps:cNvSpPr/>
                              <wps:spPr>
                                <a:xfrm>
                                  <a:off x="12350" y="472424"/>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F51CC">
                                    <w:pPr>
                                      <w:pStyle w:val="27"/>
                                      <w:bidi w:val="0"/>
                                      <w:rPr>
                                        <w:rFonts w:hint="eastAsia" w:eastAsia="宋体"/>
                                        <w:lang w:eastAsia="zh-CN"/>
                                      </w:rPr>
                                    </w:pPr>
                                    <w:r>
                                      <w:rPr>
                                        <w:rFonts w:hint="eastAsia"/>
                                        <w:lang w:val="en-US" w:eastAsia="zh-CN"/>
                                      </w:rPr>
                                      <w:t>清洗</w:t>
                                    </w:r>
                                  </w:p>
                                </w:txbxContent>
                              </wps:txbx>
                              <wps:bodyPr wrap="square" upright="1"/>
                            </wps:wsp>
                            <wps:wsp>
                              <wps:cNvPr id="343" name="自选图形 478"/>
                              <wps:cNvCnPr/>
                              <wps:spPr>
                                <a:xfrm>
                                  <a:off x="12920" y="472861"/>
                                  <a:ext cx="4" cy="439"/>
                                </a:xfrm>
                                <a:prstGeom prst="straightConnector1">
                                  <a:avLst/>
                                </a:prstGeom>
                                <a:ln w="9525" cap="flat" cmpd="sng">
                                  <a:solidFill>
                                    <a:srgbClr val="000000"/>
                                  </a:solidFill>
                                  <a:prstDash val="solid"/>
                                  <a:headEnd type="none" w="med" len="med"/>
                                  <a:tailEnd type="triangle" w="med" len="med"/>
                                </a:ln>
                              </wps:spPr>
                              <wps:bodyPr/>
                            </wps:wsp>
                            <wps:wsp>
                              <wps:cNvPr id="344" name="矩形 479"/>
                              <wps:cNvSpPr/>
                              <wps:spPr>
                                <a:xfrm>
                                  <a:off x="10452" y="472940"/>
                                  <a:ext cx="1216"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F59B4A">
                                    <w:pPr>
                                      <w:pStyle w:val="27"/>
                                      <w:bidi w:val="0"/>
                                      <w:rPr>
                                        <w:rFonts w:hint="eastAsia" w:eastAsia="宋体"/>
                                        <w:lang w:eastAsia="zh-CN"/>
                                      </w:rPr>
                                    </w:pPr>
                                    <w:r>
                                      <w:rPr>
                                        <w:rFonts w:hint="eastAsia"/>
                                        <w:lang w:val="en-US" w:eastAsia="zh-CN"/>
                                      </w:rPr>
                                      <w:t>记录结果</w:t>
                                    </w:r>
                                  </w:p>
                                </w:txbxContent>
                              </wps:txbx>
                              <wps:bodyPr wrap="square" upright="1"/>
                            </wps:wsp>
                            <wps:wsp>
                              <wps:cNvPr id="345" name="自选图形 478"/>
                              <wps:cNvCnPr/>
                              <wps:spPr>
                                <a:xfrm>
                                  <a:off x="11081" y="474235"/>
                                  <a:ext cx="4" cy="436"/>
                                </a:xfrm>
                                <a:prstGeom prst="straightConnector1">
                                  <a:avLst/>
                                </a:prstGeom>
                                <a:ln w="9525" cap="flat" cmpd="sng">
                                  <a:solidFill>
                                    <a:srgbClr val="000000"/>
                                  </a:solidFill>
                                  <a:prstDash val="solid"/>
                                  <a:headEnd type="none" w="med" len="med"/>
                                  <a:tailEnd type="triangle" w="med" len="med"/>
                                </a:ln>
                              </wps:spPr>
                              <wps:bodyPr/>
                            </wps:wsp>
                            <wps:wsp>
                              <wps:cNvPr id="346" name="自选图形 478"/>
                              <wps:cNvCnPr/>
                              <wps:spPr>
                                <a:xfrm>
                                  <a:off x="11061" y="472498"/>
                                  <a:ext cx="4" cy="436"/>
                                </a:xfrm>
                                <a:prstGeom prst="straightConnector1">
                                  <a:avLst/>
                                </a:prstGeom>
                                <a:ln w="9525" cap="flat" cmpd="sng">
                                  <a:solidFill>
                                    <a:srgbClr val="000000"/>
                                  </a:solidFill>
                                  <a:prstDash val="solid"/>
                                  <a:headEnd type="none" w="med" len="med"/>
                                  <a:tailEnd type="triangle" w="med" len="med"/>
                                </a:ln>
                              </wps:spPr>
                              <wps:bodyPr/>
                            </wps:wsp>
                            <wps:wsp>
                              <wps:cNvPr id="347" name="矩形 470"/>
                              <wps:cNvSpPr/>
                              <wps:spPr>
                                <a:xfrm>
                                  <a:off x="12338" y="473285"/>
                                  <a:ext cx="1265" cy="742"/>
                                </a:xfrm>
                                <a:prstGeom prst="rect">
                                  <a:avLst/>
                                </a:prstGeom>
                                <a:solidFill>
                                  <a:srgbClr val="FFFFFF">
                                    <a:alpha val="0"/>
                                  </a:srgbClr>
                                </a:solidFill>
                                <a:ln>
                                  <a:noFill/>
                                </a:ln>
                              </wps:spPr>
                              <wps:txbx>
                                <w:txbxContent>
                                  <w:p w14:paraId="35D03C1B">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wps:txbx>
                              <wps:bodyPr wrap="square" lIns="0" tIns="0" rIns="0" bIns="0" upright="1"/>
                            </wps:wsp>
                            <wps:wsp>
                              <wps:cNvPr id="348" name="矩形 479"/>
                              <wps:cNvSpPr/>
                              <wps:spPr>
                                <a:xfrm>
                                  <a:off x="10546" y="473810"/>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61434">
                                    <w:pPr>
                                      <w:pStyle w:val="27"/>
                                      <w:bidi w:val="0"/>
                                      <w:rPr>
                                        <w:rFonts w:hint="eastAsia" w:eastAsia="宋体"/>
                                        <w:lang w:eastAsia="zh-CN"/>
                                      </w:rPr>
                                    </w:pPr>
                                    <w:r>
                                      <w:rPr>
                                        <w:rFonts w:hint="eastAsia"/>
                                        <w:lang w:val="en-US" w:eastAsia="zh-CN"/>
                                      </w:rPr>
                                      <w:t>计算</w:t>
                                    </w:r>
                                  </w:p>
                                </w:txbxContent>
                              </wps:txbx>
                              <wps:bodyPr wrap="square" upright="1"/>
                            </wps:wsp>
                            <wps:wsp>
                              <wps:cNvPr id="349" name="矩形 479"/>
                              <wps:cNvSpPr/>
                              <wps:spPr>
                                <a:xfrm>
                                  <a:off x="10432" y="472052"/>
                                  <a:ext cx="1388"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EC0EB1">
                                    <w:pPr>
                                      <w:pStyle w:val="27"/>
                                      <w:bidi w:val="0"/>
                                      <w:rPr>
                                        <w:rFonts w:hint="eastAsia" w:eastAsia="宋体"/>
                                        <w:lang w:eastAsia="zh-CN"/>
                                      </w:rPr>
                                    </w:pPr>
                                    <w:r>
                                      <w:rPr>
                                        <w:rFonts w:hint="eastAsia"/>
                                        <w:lang w:val="en-US" w:eastAsia="zh-CN"/>
                                      </w:rPr>
                                      <w:t>绘制曲线图</w:t>
                                    </w:r>
                                  </w:p>
                                </w:txbxContent>
                              </wps:txbx>
                              <wps:bodyPr wrap="square" upright="1"/>
                            </wps:wsp>
                            <wps:wsp>
                              <wps:cNvPr id="350" name="自选图形 478"/>
                              <wps:cNvCnPr/>
                              <wps:spPr>
                                <a:xfrm>
                                  <a:off x="11076" y="473388"/>
                                  <a:ext cx="4" cy="436"/>
                                </a:xfrm>
                                <a:prstGeom prst="straightConnector1">
                                  <a:avLst/>
                                </a:prstGeom>
                                <a:ln w="9525" cap="flat" cmpd="sng">
                                  <a:solidFill>
                                    <a:srgbClr val="000000"/>
                                  </a:solidFill>
                                  <a:prstDash val="solid"/>
                                  <a:headEnd type="none" w="med" len="med"/>
                                  <a:tailEnd type="triangle" w="med" len="med"/>
                                </a:ln>
                              </wps:spPr>
                              <wps:bodyPr/>
                            </wps:wsp>
                            <wps:wsp>
                              <wps:cNvPr id="351" name="自选图形 478"/>
                              <wps:cNvCnPr/>
                              <wps:spPr>
                                <a:xfrm flipV="1">
                                  <a:off x="9877" y="467972"/>
                                  <a:ext cx="477" cy="5"/>
                                </a:xfrm>
                                <a:prstGeom prst="straightConnector1">
                                  <a:avLst/>
                                </a:prstGeom>
                                <a:ln w="9525" cap="flat" cmpd="sng">
                                  <a:solidFill>
                                    <a:schemeClr val="tx1"/>
                                  </a:solidFill>
                                  <a:prstDash val="solid"/>
                                  <a:headEnd type="none" w="med" len="med"/>
                                  <a:tailEnd type="triangle" w="med" len="med"/>
                                </a:ln>
                              </wps:spPr>
                              <wps:bodyPr/>
                            </wps:wsp>
                            <wps:wsp>
                              <wps:cNvPr id="352" name="矩形 479"/>
                              <wps:cNvSpPr/>
                              <wps:spPr>
                                <a:xfrm>
                                  <a:off x="10333" y="474669"/>
                                  <a:ext cx="1522"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5C580">
                                    <w:pPr>
                                      <w:pStyle w:val="27"/>
                                      <w:bidi w:val="0"/>
                                      <w:rPr>
                                        <w:rFonts w:hint="default" w:eastAsia="宋体"/>
                                        <w:lang w:val="en-US" w:eastAsia="zh-CN"/>
                                      </w:rPr>
                                    </w:pPr>
                                    <w:r>
                                      <w:rPr>
                                        <w:rFonts w:hint="eastAsia"/>
                                        <w:lang w:val="en-US" w:eastAsia="zh-CN"/>
                                      </w:rPr>
                                      <w:t>编制报告</w:t>
                                    </w:r>
                                  </w:p>
                                </w:txbxContent>
                              </wps:txbx>
                              <wps:bodyPr wrap="square" upright="1"/>
                            </wps:wsp>
                            <wps:wsp>
                              <wps:cNvPr id="353" name="矩形 470"/>
                              <wps:cNvSpPr/>
                              <wps:spPr>
                                <a:xfrm>
                                  <a:off x="7758" y="467795"/>
                                  <a:ext cx="2176" cy="577"/>
                                </a:xfrm>
                                <a:prstGeom prst="rect">
                                  <a:avLst/>
                                </a:prstGeom>
                                <a:solidFill>
                                  <a:srgbClr val="FFFFFF">
                                    <a:alpha val="0"/>
                                  </a:srgbClr>
                                </a:solidFill>
                                <a:ln>
                                  <a:noFill/>
                                </a:ln>
                              </wps:spPr>
                              <wps:txbx>
                                <w:txbxContent>
                                  <w:p w14:paraId="354E282D">
                                    <w:pPr>
                                      <w:keepNext w:val="0"/>
                                      <w:keepLines w:val="0"/>
                                      <w:pageBreakBefore w:val="0"/>
                                      <w:widowControl w:val="0"/>
                                      <w:kinsoku/>
                                      <w:wordWrap/>
                                      <w:overflowPunct/>
                                      <w:topLinePunct w:val="0"/>
                                      <w:bidi w:val="0"/>
                                      <w:adjustRightInd/>
                                      <w:snapToGrid/>
                                      <w:spacing w:line="240" w:lineRule="atLeast"/>
                                      <w:ind w:left="0" w:leftChars="0" w:firstLine="0" w:firstLineChars="0"/>
                                      <w:jc w:val="left"/>
                                      <w:textAlignment w:val="auto"/>
                                      <w:rPr>
                                        <w:rFonts w:hint="eastAsia"/>
                                        <w:sz w:val="21"/>
                                        <w:szCs w:val="21"/>
                                        <w:lang w:val="en-US" w:eastAsia="zh-CN"/>
                                      </w:rPr>
                                    </w:pPr>
                                    <w:r>
                                      <w:rPr>
                                        <w:rFonts w:hint="eastAsia"/>
                                        <w:sz w:val="21"/>
                                        <w:szCs w:val="21"/>
                                        <w:lang w:val="en-US" w:eastAsia="zh-CN"/>
                                      </w:rPr>
                                      <w:t>硫代硫酸钠溶液淀粉、碘化钾试纸</w:t>
                                    </w:r>
                                  </w:p>
                                </w:txbxContent>
                              </wps:txbx>
                              <wps:bodyPr wrap="square" lIns="0" tIns="0" rIns="0" bIns="0" upright="1"/>
                            </wps:wsp>
                            <wps:wsp>
                              <wps:cNvPr id="354" name="矩形 473"/>
                              <wps:cNvSpPr/>
                              <wps:spPr>
                                <a:xfrm>
                                  <a:off x="10344" y="469464"/>
                                  <a:ext cx="1325"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594A79">
                                    <w:pPr>
                                      <w:pStyle w:val="27"/>
                                      <w:bidi w:val="0"/>
                                      <w:rPr>
                                        <w:rFonts w:hint="eastAsia" w:eastAsia="宋体"/>
                                        <w:lang w:val="en-US" w:eastAsia="zh-CN"/>
                                      </w:rPr>
                                    </w:pPr>
                                    <w:r>
                                      <w:rPr>
                                        <w:rFonts w:hint="eastAsia"/>
                                        <w:lang w:val="en-US" w:eastAsia="zh-CN"/>
                                      </w:rPr>
                                      <w:t>加试剂</w:t>
                                    </w:r>
                                  </w:p>
                                </w:txbxContent>
                              </wps:txbx>
                              <wps:bodyPr wrap="square" upright="1"/>
                            </wps:wsp>
                            <wps:wsp>
                              <wps:cNvPr id="355" name="自选图形 478"/>
                              <wps:cNvCnPr/>
                              <wps:spPr>
                                <a:xfrm>
                                  <a:off x="9803" y="470567"/>
                                  <a:ext cx="534" cy="1"/>
                                </a:xfrm>
                                <a:prstGeom prst="straightConnector1">
                                  <a:avLst/>
                                </a:prstGeom>
                                <a:ln w="9525" cap="flat" cmpd="sng">
                                  <a:solidFill>
                                    <a:schemeClr val="tx1"/>
                                  </a:solidFill>
                                  <a:prstDash val="solid"/>
                                  <a:headEnd type="none" w="med" len="med"/>
                                  <a:tailEnd type="triangle" w="med" len="med"/>
                                </a:ln>
                              </wps:spPr>
                              <wps:bodyPr/>
                            </wps:wsp>
                            <wps:wsp>
                              <wps:cNvPr id="356" name="自选图形 478"/>
                              <wps:cNvCnPr/>
                              <wps:spPr>
                                <a:xfrm>
                                  <a:off x="11066" y="472663"/>
                                  <a:ext cx="1299" cy="0"/>
                                </a:xfrm>
                                <a:prstGeom prst="straightConnector1">
                                  <a:avLst/>
                                </a:prstGeom>
                                <a:ln w="9525" cap="flat" cmpd="sng">
                                  <a:solidFill>
                                    <a:schemeClr val="tx1"/>
                                  </a:solidFill>
                                  <a:prstDash val="solid"/>
                                  <a:headEnd type="none" w="med" len="med"/>
                                  <a:tailEnd type="triangle" w="med" len="med"/>
                                </a:ln>
                              </wps:spPr>
                              <wps:bodyPr/>
                            </wps:wsp>
                            <wps:wsp>
                              <wps:cNvPr id="357" name="自选图形 478"/>
                              <wps:cNvCnPr/>
                              <wps:spPr>
                                <a:xfrm flipH="1">
                                  <a:off x="11015" y="470775"/>
                                  <a:ext cx="7" cy="431"/>
                                </a:xfrm>
                                <a:prstGeom prst="straightConnector1">
                                  <a:avLst/>
                                </a:prstGeom>
                                <a:ln w="6350" cap="flat" cmpd="sng">
                                  <a:solidFill>
                                    <a:srgbClr val="000000"/>
                                  </a:solidFill>
                                  <a:prstDash val="solid"/>
                                  <a:headEnd type="none" w="med" len="med"/>
                                  <a:tailEnd type="triangle" w="med" len="med"/>
                                </a:ln>
                              </wps:spPr>
                              <wps:bodyPr/>
                            </wps:wsp>
                            <wps:wsp>
                              <wps:cNvPr id="358" name="自选图形 478"/>
                              <wps:cNvCnPr/>
                              <wps:spPr>
                                <a:xfrm flipV="1">
                                  <a:off x="9630" y="468838"/>
                                  <a:ext cx="601" cy="9"/>
                                </a:xfrm>
                                <a:prstGeom prst="straightConnector1">
                                  <a:avLst/>
                                </a:prstGeom>
                                <a:ln w="9525" cap="flat" cmpd="sng">
                                  <a:solidFill>
                                    <a:schemeClr val="tx1"/>
                                  </a:solidFill>
                                  <a:prstDash val="solid"/>
                                  <a:headEnd type="none" w="med" len="med"/>
                                  <a:tailEnd type="triangle" w="med" len="med"/>
                                </a:ln>
                              </wps:spPr>
                              <wps:bodyPr/>
                            </wps:wsp>
                            <wps:wsp>
                              <wps:cNvPr id="359" name="矩形 470"/>
                              <wps:cNvSpPr/>
                              <wps:spPr>
                                <a:xfrm>
                                  <a:off x="7923" y="468573"/>
                                  <a:ext cx="1707" cy="548"/>
                                </a:xfrm>
                                <a:prstGeom prst="rect">
                                  <a:avLst/>
                                </a:prstGeom>
                                <a:solidFill>
                                  <a:srgbClr val="FFFFFF">
                                    <a:alpha val="0"/>
                                  </a:srgbClr>
                                </a:solidFill>
                                <a:ln>
                                  <a:noFill/>
                                </a:ln>
                              </wps:spPr>
                              <wps:txbx>
                                <w:txbxContent>
                                  <w:p w14:paraId="5E912021">
                                    <w:pPr>
                                      <w:pStyle w:val="27"/>
                                      <w:bidi w:val="0"/>
                                      <w:rPr>
                                        <w:rFonts w:hint="eastAsia"/>
                                        <w:lang w:val="en-US" w:eastAsia="zh-CN"/>
                                      </w:rPr>
                                    </w:pPr>
                                    <w:r>
                                      <w:rPr>
                                        <w:rFonts w:hint="eastAsia"/>
                                        <w:lang w:val="en-US" w:eastAsia="zh-CN"/>
                                      </w:rPr>
                                      <w:t>硫酸锌溶液、</w:t>
                                    </w:r>
                                  </w:p>
                                  <w:p w14:paraId="05BBDD05">
                                    <w:pPr>
                                      <w:pStyle w:val="27"/>
                                      <w:bidi w:val="0"/>
                                    </w:pPr>
                                    <w:r>
                                      <w:rPr>
                                        <w:rFonts w:hint="eastAsia"/>
                                        <w:lang w:val="en-US" w:eastAsia="zh-CN"/>
                                      </w:rPr>
                                      <w:t>氢氧化钠溶液</w:t>
                                    </w:r>
                                  </w:p>
                                </w:txbxContent>
                              </wps:txbx>
                              <wps:bodyPr wrap="square" lIns="0" tIns="0" rIns="0" bIns="0" upright="1"/>
                            </wps:wsp>
                            <wps:wsp>
                              <wps:cNvPr id="360" name="矩形 470"/>
                              <wps:cNvSpPr/>
                              <wps:spPr>
                                <a:xfrm>
                                  <a:off x="6983" y="469533"/>
                                  <a:ext cx="2898" cy="533"/>
                                </a:xfrm>
                                <a:prstGeom prst="rect">
                                  <a:avLst/>
                                </a:prstGeom>
                                <a:solidFill>
                                  <a:srgbClr val="FFFFFF">
                                    <a:alpha val="0"/>
                                  </a:srgbClr>
                                </a:solidFill>
                                <a:ln>
                                  <a:noFill/>
                                </a:ln>
                              </wps:spPr>
                              <wps:txbx>
                                <w:txbxContent>
                                  <w:p w14:paraId="05FDBD59">
                                    <w:pPr>
                                      <w:pStyle w:val="27"/>
                                      <w:bidi w:val="0"/>
                                      <w:rPr>
                                        <w:rFonts w:hint="default"/>
                                        <w:lang w:val="en-US" w:eastAsia="zh-CN"/>
                                      </w:rPr>
                                    </w:pPr>
                                    <w:r>
                                      <w:rPr>
                                        <w:rFonts w:hint="eastAsia"/>
                                        <w:lang w:val="en-US" w:eastAsia="zh-CN"/>
                                      </w:rPr>
                                      <w:t>无水乙醇、氢氧化钠、硫酸溶液</w:t>
                                    </w:r>
                                  </w:p>
                                </w:txbxContent>
                              </wps:txbx>
                              <wps:bodyPr wrap="square" lIns="0" tIns="0" rIns="0" bIns="0" upright="1"/>
                            </wps:wsp>
                            <wps:wsp>
                              <wps:cNvPr id="363" name="自选图形 478"/>
                              <wps:cNvCnPr/>
                              <wps:spPr>
                                <a:xfrm flipV="1">
                                  <a:off x="9867" y="469699"/>
                                  <a:ext cx="477" cy="5"/>
                                </a:xfrm>
                                <a:prstGeom prst="straightConnector1">
                                  <a:avLst/>
                                </a:prstGeom>
                                <a:ln w="9525" cap="flat" cmpd="sng">
                                  <a:solidFill>
                                    <a:schemeClr val="tx1"/>
                                  </a:solidFill>
                                  <a:prstDash val="solid"/>
                                  <a:headEnd type="none" w="med" len="med"/>
                                  <a:tailEnd type="triangle" w="med" len="med"/>
                                </a:ln>
                              </wps:spPr>
                              <wps:bodyPr/>
                            </wps:wsp>
                            <wps:wsp>
                              <wps:cNvPr id="364" name="矩形 470"/>
                              <wps:cNvSpPr/>
                              <wps:spPr>
                                <a:xfrm>
                                  <a:off x="6915" y="470148"/>
                                  <a:ext cx="2895" cy="820"/>
                                </a:xfrm>
                                <a:prstGeom prst="rect">
                                  <a:avLst/>
                                </a:prstGeom>
                                <a:solidFill>
                                  <a:srgbClr val="FFFFFF">
                                    <a:alpha val="0"/>
                                  </a:srgbClr>
                                </a:solidFill>
                                <a:ln>
                                  <a:noFill/>
                                </a:ln>
                              </wps:spPr>
                              <wps:txbx>
                                <w:txbxContent>
                                  <w:p w14:paraId="241CD7DB">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磷标准使用液、2,6-二硝基酚、硫酸溶液、碳酸钠溶液、抗坏血酸溶液、钼酸盐</w:t>
                                    </w:r>
                                  </w:p>
                                  <w:p w14:paraId="0E942D7E">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溶液</w:t>
                                    </w:r>
                                  </w:p>
                                </w:txbxContent>
                              </wps:txbx>
                              <wps:bodyPr wrap="square" lIns="0" tIns="0" rIns="0" bIns="0" upright="1"/>
                            </wps:wsp>
                            <wps:wsp>
                              <wps:cNvPr id="365" name="矩形 479"/>
                              <wps:cNvSpPr/>
                              <wps:spPr>
                                <a:xfrm>
                                  <a:off x="10483" y="471205"/>
                                  <a:ext cx="1053"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5B8F7">
                                    <w:pPr>
                                      <w:pStyle w:val="27"/>
                                      <w:bidi w:val="0"/>
                                      <w:rPr>
                                        <w:rFonts w:hint="eastAsia" w:eastAsia="宋体"/>
                                        <w:lang w:eastAsia="zh-CN"/>
                                      </w:rPr>
                                    </w:pPr>
                                    <w:r>
                                      <w:rPr>
                                        <w:rFonts w:hint="eastAsia"/>
                                        <w:lang w:val="en-US" w:eastAsia="zh-CN"/>
                                      </w:rPr>
                                      <w:t>比色</w:t>
                                    </w:r>
                                  </w:p>
                                </w:txbxContent>
                              </wps:txbx>
                              <wps:bodyPr wrap="square" upright="1"/>
                            </wps:wsp>
                            <wps:wsp>
                              <wps:cNvPr id="366" name="自选图形 478"/>
                              <wps:cNvCnPr/>
                              <wps:spPr>
                                <a:xfrm flipH="1">
                                  <a:off x="11023" y="471645"/>
                                  <a:ext cx="7" cy="431"/>
                                </a:xfrm>
                                <a:prstGeom prst="straightConnector1">
                                  <a:avLst/>
                                </a:prstGeom>
                                <a:ln w="6350" cap="flat" cmpd="sng">
                                  <a:solidFill>
                                    <a:srgbClr val="000000"/>
                                  </a:solidFill>
                                  <a:prstDash val="solid"/>
                                  <a:headEnd type="none" w="med" len="med"/>
                                  <a:tailEnd type="triangle" w="med" len="med"/>
                                </a:ln>
                              </wps:spPr>
                              <wps:bodyPr/>
                            </wps:wsp>
                            <wps:wsp>
                              <wps:cNvPr id="367" name="自选图形 478"/>
                              <wps:cNvCnPr/>
                              <wps:spPr>
                                <a:xfrm>
                                  <a:off x="9946" y="471437"/>
                                  <a:ext cx="534" cy="1"/>
                                </a:xfrm>
                                <a:prstGeom prst="straightConnector1">
                                  <a:avLst/>
                                </a:prstGeom>
                                <a:ln w="9525" cap="flat" cmpd="sng">
                                  <a:solidFill>
                                    <a:schemeClr val="tx1"/>
                                  </a:solidFill>
                                  <a:prstDash val="solid"/>
                                  <a:headEnd type="none" w="med" len="med"/>
                                  <a:tailEnd type="triangle" w="med" len="med"/>
                                </a:ln>
                              </wps:spPr>
                              <wps:bodyPr/>
                            </wps:wsp>
                            <wps:wsp>
                              <wps:cNvPr id="368" name="矩形 470"/>
                              <wps:cNvSpPr/>
                              <wps:spPr>
                                <a:xfrm>
                                  <a:off x="7018" y="471153"/>
                                  <a:ext cx="2895" cy="820"/>
                                </a:xfrm>
                                <a:prstGeom prst="rect">
                                  <a:avLst/>
                                </a:prstGeom>
                                <a:solidFill>
                                  <a:srgbClr val="FFFFFF">
                                    <a:alpha val="0"/>
                                  </a:srgbClr>
                                </a:solidFill>
                                <a:ln>
                                  <a:noFill/>
                                </a:ln>
                              </wps:spPr>
                              <wps:txbx>
                                <w:txbxContent>
                                  <w:p w14:paraId="56CDB2FD">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磷标准使用液、2,6-二硝基酚、硫酸溶液、碳酸钠溶液、抗坏血酸溶液、钼酸盐</w:t>
                                    </w:r>
                                  </w:p>
                                  <w:p w14:paraId="217089EF">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溶液</w:t>
                                    </w:r>
                                  </w:p>
                                </w:txbxContent>
                              </wps:txbx>
                              <wps:bodyPr wrap="square" lIns="0" tIns="0" rIns="0" bIns="0" upright="1"/>
                            </wps:wsp>
                            <wps:wsp>
                              <wps:cNvPr id="370" name="自选图形 478"/>
                              <wps:cNvCnPr/>
                              <wps:spPr>
                                <a:xfrm flipV="1">
                                  <a:off x="11655" y="467953"/>
                                  <a:ext cx="601" cy="9"/>
                                </a:xfrm>
                                <a:prstGeom prst="straightConnector1">
                                  <a:avLst/>
                                </a:prstGeom>
                                <a:ln w="9525" cap="flat" cmpd="sng">
                                  <a:solidFill>
                                    <a:schemeClr val="tx1"/>
                                  </a:solidFill>
                                  <a:prstDash val="solid"/>
                                  <a:headEnd type="none" w="med" len="med"/>
                                  <a:tailEnd type="triangle" w="med" len="med"/>
                                </a:ln>
                              </wps:spPr>
                              <wps:bodyPr/>
                            </wps:wsp>
                            <wps:wsp>
                              <wps:cNvPr id="371" name="矩形 470"/>
                              <wps:cNvSpPr/>
                              <wps:spPr>
                                <a:xfrm>
                                  <a:off x="11850" y="467743"/>
                                  <a:ext cx="1287" cy="433"/>
                                </a:xfrm>
                                <a:prstGeom prst="rect">
                                  <a:avLst/>
                                </a:prstGeom>
                                <a:solidFill>
                                  <a:srgbClr val="FFFFFF">
                                    <a:alpha val="0"/>
                                  </a:srgbClr>
                                </a:solidFill>
                                <a:ln>
                                  <a:noFill/>
                                </a:ln>
                              </wps:spPr>
                              <wps:txbx>
                                <w:txbxContent>
                                  <w:p w14:paraId="36EFE245">
                                    <w:pPr>
                                      <w:pStyle w:val="27"/>
                                      <w:bidi w:val="0"/>
                                      <w:rPr>
                                        <w:rFonts w:hint="default"/>
                                        <w:lang w:val="en-US"/>
                                      </w:rPr>
                                    </w:pPr>
                                    <w:r>
                                      <w:rPr>
                                        <w:rFonts w:hint="eastAsia"/>
                                        <w:lang w:val="en-US" w:eastAsia="zh-CN"/>
                                      </w:rPr>
                                      <w:t>粉尘</w:t>
                                    </w:r>
                                  </w:p>
                                </w:txbxContent>
                              </wps:txbx>
                              <wps:bodyPr wrap="square" upright="1"/>
                            </wps:wsp>
                          </wpg:wgp>
                        </a:graphicData>
                      </a:graphic>
                    </wp:anchor>
                  </w:drawing>
                </mc:Choice>
                <mc:Fallback>
                  <w:pict>
                    <v:group id="_x0000_s1026" o:spid="_x0000_s1026" o:spt="203" style="position:absolute;left:0pt;margin-left:20.5pt;margin-top:4.35pt;height:410.7pt;width:334.4pt;z-index:251665408;mso-width-relative:page;mso-height-relative:page;" coordorigin="6915,466888" coordsize="6688,8214" o:gfxdata="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DIJte2AAA&#10;AAgBAAAPAAAAAAAAAAEAIAAAACIAAABkcnMvZG93bnJldi54bWxQSwECFAAUAAAACACHTuJA7Uy+&#10;zz0HAAAMTQAADgAAAAAAAAABACAAAAAnAQAAZHJzL2Uyb0RvYy54bWxQSwUGAAAAAAYABgBZAQAA&#10;1goAAAAA&#10;">
                      <o:lock v:ext="edit" aspectratio="f"/>
                      <v:rect id="矩形 469" o:spid="_x0000_s1026" o:spt="1" style="position:absolute;left:10347;top:467741;height:433;width:1287;"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45CBC9">
                              <w:pPr>
                                <w:pStyle w:val="27"/>
                                <w:bidi w:val="0"/>
                                <w:rPr>
                                  <w:rFonts w:hint="eastAsia" w:eastAsia="宋体"/>
                                  <w:lang w:val="en-US" w:eastAsia="zh-CN"/>
                                </w:rPr>
                              </w:pPr>
                              <w:r>
                                <w:rPr>
                                  <w:rFonts w:hint="eastAsia"/>
                                  <w:lang w:val="en-US" w:eastAsia="zh-CN"/>
                                </w:rPr>
                                <w:t>样品制备取样</w:t>
                              </w:r>
                            </w:p>
                          </w:txbxContent>
                        </v:textbox>
                      </v:rect>
                      <v:rect id="矩形 470" o:spid="_x0000_s1026" o:spt="1" style="position:absolute;left:10320;top:466888;height:433;width:1287;" fillcolor="#FFFFFF" filled="t" stroked="f" coordsize="21600,21600" o:gfxdata="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VlS/&#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21E08C65">
                              <w:pPr>
                                <w:pStyle w:val="27"/>
                                <w:bidi w:val="0"/>
                              </w:pPr>
                              <w:r>
                                <w:rPr>
                                  <w:rFonts w:hint="eastAsia"/>
                                  <w:lang w:val="en-US" w:eastAsia="zh-CN"/>
                                </w:rPr>
                                <w:t>样品</w:t>
                              </w:r>
                            </w:p>
                          </w:txbxContent>
                        </v:textbox>
                      </v:rect>
                      <v:shape id="自选图形 471" o:spid="_x0000_s1026" o:spt="32" type="#_x0000_t32" style="position:absolute;left:10951;top:467240;height:447;width:0;" filled="f" stroked="t" coordsize="21600,21600" o:gfxdata="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VC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472" o:spid="_x0000_s1026" o:spt="32" type="#_x0000_t32" style="position:absolute;left:10969;top:468174;height:447;width:0;" filled="f" stroked="t" coordsize="21600,21600" o:gfxdata="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99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73" o:spid="_x0000_s1026" o:spt="1" style="position:absolute;left:10231;top:468621;height:433;width:1778;" fillcolor="#FFFFFF" filled="t" stroked="t" coordsize="21600,21600" o:gfxdata="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9B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A4E4E01">
                              <w:pPr>
                                <w:pStyle w:val="27"/>
                                <w:bidi w:val="0"/>
                                <w:rPr>
                                  <w:rFonts w:hint="eastAsia" w:eastAsia="宋体"/>
                                  <w:lang w:val="en-US" w:eastAsia="zh-CN"/>
                                </w:rPr>
                              </w:pPr>
                              <w:r>
                                <w:rPr>
                                  <w:rFonts w:hint="eastAsia"/>
                                  <w:lang w:val="en-US" w:eastAsia="zh-CN"/>
                                </w:rPr>
                                <w:t>干物质含量测定絮凝沉淀</w:t>
                              </w:r>
                            </w:p>
                          </w:txbxContent>
                        </v:textbox>
                      </v:rect>
                      <v:shape id="自选图形 474" o:spid="_x0000_s1026" o:spt="32" type="#_x0000_t32" style="position:absolute;left:11003;top:469053;height:447;width:0;" filled="f" stroked="t" coordsize="21600,21600" o:gfxdata="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7sT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478" o:spid="_x0000_s1026" o:spt="32" type="#_x0000_t32" style="position:absolute;left:11014;top:469899;flip:x;height:431;width:7;" filled="f" stroked="t" coordsize="21600,21600" o:gfxdata="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SZzy5AAAA3AAA&#10;AA8AAAAAAAAAAQAgAAAAIgAAAGRycy9kb3ducmV2LnhtbFBLAQIUABQAAAAIAIdO4kAzLwWeOwAA&#10;ADkAAAAQAAAAAAAAAAEAIAAAAAgBAABkcnMvc2hhcGV4bWwueG1sUEsFBgAAAAAGAAYAWwEAALID&#10;AAAAAA==&#10;">
                        <v:fill on="f" focussize="0,0"/>
                        <v:stroke weight="0.5pt" color="#000000" joinstyle="round" endarrow="block"/>
                        <v:imagedata o:title=""/>
                        <o:lock v:ext="edit" aspectratio="f"/>
                      </v:shape>
                      <v:rect id="矩形 479" o:spid="_x0000_s1026" o:spt="1" style="position:absolute;left:10364;top:470335;height:433;width:1307;" fillcolor="#FFFFFF" filled="t" stroked="t" coordsize="21600,21600" o:gfxdata="UEsDBAoAAAAAAIdO4kAAAAAAAAAAAAAAAAAEAAAAZHJzL1BLAwQUAAAACACHTuJA1BMKpb0AAADc&#10;AAAADwAAAGRycy9kb3ducmV2LnhtbEWPwW7CMBBE75X4B2uRuBU7g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wq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771F9D">
                              <w:pPr>
                                <w:pStyle w:val="27"/>
                                <w:bidi w:val="0"/>
                                <w:rPr>
                                  <w:rFonts w:hint="eastAsia" w:eastAsia="宋体"/>
                                  <w:lang w:eastAsia="zh-CN"/>
                                </w:rPr>
                              </w:pPr>
                              <w:r>
                                <w:rPr>
                                  <w:rFonts w:hint="eastAsia"/>
                                  <w:lang w:val="en-US" w:eastAsia="zh-CN"/>
                                </w:rPr>
                                <w:t>仪器校准比色</w:t>
                              </w:r>
                            </w:p>
                          </w:txbxContent>
                        </v:textbox>
                      </v:rect>
                      <v:rect id="矩形 479" o:spid="_x0000_s1026" o:spt="1" style="position:absolute;left:12350;top:472424;height:433;width:1053;" fillcolor="#FFFFFF" filled="t" stroked="t" coordsize="21600,21600" o:gfxdata="UEsDBAoAAAAAAIdO4kAAAAAAAAAAAAAAAAAEAAAAZHJzL1BLAwQUAAAACACHTuJAJMGU0r0AAADc&#10;AAAADwAAAGRycy9kb3ducmV2LnhtbEWPwW7CMBBE75X4B2uRuBWbUKE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Z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9F51CC">
                              <w:pPr>
                                <w:pStyle w:val="27"/>
                                <w:bidi w:val="0"/>
                                <w:rPr>
                                  <w:rFonts w:hint="eastAsia" w:eastAsia="宋体"/>
                                  <w:lang w:eastAsia="zh-CN"/>
                                </w:rPr>
                              </w:pPr>
                              <w:r>
                                <w:rPr>
                                  <w:rFonts w:hint="eastAsia"/>
                                  <w:lang w:val="en-US" w:eastAsia="zh-CN"/>
                                </w:rPr>
                                <w:t>清洗</w:t>
                              </w:r>
                            </w:p>
                          </w:txbxContent>
                        </v:textbox>
                      </v:rect>
                      <v:shape id="自选图形 478" o:spid="_x0000_s1026" o:spt="32" type="#_x0000_t32" style="position:absolute;left:12920;top:472861;height:439;width:4;" filled="f" stroked="t" coordsize="21600,21600" o:gfxdata="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AgF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79" o:spid="_x0000_s1026" o:spt="1" style="position:absolute;left:10452;top:472940;height:433;width:1216;" fillcolor="#FFFFFF" filled="t" stroked="t" coordsize="21600,21600" o:gfxdata="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Kk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2F59B4A">
                              <w:pPr>
                                <w:pStyle w:val="27"/>
                                <w:bidi w:val="0"/>
                                <w:rPr>
                                  <w:rFonts w:hint="eastAsia" w:eastAsia="宋体"/>
                                  <w:lang w:eastAsia="zh-CN"/>
                                </w:rPr>
                              </w:pPr>
                              <w:r>
                                <w:rPr>
                                  <w:rFonts w:hint="eastAsia"/>
                                  <w:lang w:val="en-US" w:eastAsia="zh-CN"/>
                                </w:rPr>
                                <w:t>记录结果</w:t>
                              </w:r>
                            </w:p>
                          </w:txbxContent>
                        </v:textbox>
                      </v:rect>
                      <v:shape id="自选图形 478" o:spid="_x0000_s1026" o:spt="32" type="#_x0000_t32" style="position:absolute;left:11081;top:474235;height:436;width:4;" filled="f" stroked="t" coordsize="21600,21600" o:gfxdata="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b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478" o:spid="_x0000_s1026" o:spt="32" type="#_x0000_t32" style="position:absolute;left:11061;top:472498;height:436;width:4;" filled="f" stroked="t" coordsize="21600,21600" o:gfxdata="UEsDBAoAAAAAAIdO4kAAAAAAAAAAAAAAAAAEAAAAZHJzL1BLAwQUAAAACACHTuJAEXcjwb8AAADc&#10;AAAADwAAAGRycy9kb3ducmV2LnhtbEWPW2sCMRSE3wv9D+EUfNOsWha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3I8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70" o:spid="_x0000_s1026" o:spt="1" style="position:absolute;left:12338;top:473285;height:742;width:1265;" fillcolor="#FFFFFF" filled="t" stroked="f" coordsize="21600,21600" o:gfxdata="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s/87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35D03C1B">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清洗废水W，固废S</w:t>
                              </w:r>
                            </w:p>
                          </w:txbxContent>
                        </v:textbox>
                      </v:rect>
                      <v:rect id="矩形 479" o:spid="_x0000_s1026" o:spt="1" style="position:absolute;left:10546;top:473810;height:433;width:1053;" fillcolor="#FFFFFF" filled="t" stroked="t" coordsize="21600,21600" o:gfxdata="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aM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9161434">
                              <w:pPr>
                                <w:pStyle w:val="27"/>
                                <w:bidi w:val="0"/>
                                <w:rPr>
                                  <w:rFonts w:hint="eastAsia" w:eastAsia="宋体"/>
                                  <w:lang w:eastAsia="zh-CN"/>
                                </w:rPr>
                              </w:pPr>
                              <w:r>
                                <w:rPr>
                                  <w:rFonts w:hint="eastAsia"/>
                                  <w:lang w:val="en-US" w:eastAsia="zh-CN"/>
                                </w:rPr>
                                <w:t>计算</w:t>
                              </w:r>
                            </w:p>
                          </w:txbxContent>
                        </v:textbox>
                      </v:rect>
                      <v:rect id="矩形 479" o:spid="_x0000_s1026" o:spt="1" style="position:absolute;left:10432;top:472052;height:433;width:1388;" fillcolor="#FFFFFF" filled="t" stroked="t" coordsize="21600,21600" o:gfxdata="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B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EC0EB1">
                              <w:pPr>
                                <w:pStyle w:val="27"/>
                                <w:bidi w:val="0"/>
                                <w:rPr>
                                  <w:rFonts w:hint="eastAsia" w:eastAsia="宋体"/>
                                  <w:lang w:eastAsia="zh-CN"/>
                                </w:rPr>
                              </w:pPr>
                              <w:r>
                                <w:rPr>
                                  <w:rFonts w:hint="eastAsia"/>
                                  <w:lang w:val="en-US" w:eastAsia="zh-CN"/>
                                </w:rPr>
                                <w:t>绘制曲线图</w:t>
                              </w:r>
                            </w:p>
                          </w:txbxContent>
                        </v:textbox>
                      </v:rect>
                      <v:shape id="自选图形 478" o:spid="_x0000_s1026" o:spt="32" type="#_x0000_t32" style="position:absolute;left:11076;top:473388;height:436;width:4;" filled="f" stroked="t" coordsize="21600,21600" o:gfxdata="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C4j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478" o:spid="_x0000_s1026" o:spt="32" type="#_x0000_t32" style="position:absolute;left:9877;top:467972;flip:y;height:5;width:477;" filled="f" stroked="t" coordsize="21600,21600" o:gfxdata="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Xhn7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rect id="矩形 479" o:spid="_x0000_s1026" o:spt="1" style="position:absolute;left:10333;top:474669;height:433;width:1522;" fillcolor="#FFFFFF" filled="t" stroked="t" coordsize="21600,21600" o:gfxdata="UEsDBAoAAAAAAIdO4kAAAAAAAAAAAAAAAAAEAAAAZHJzL1BLAwQUAAAACACHTuJAoRgCD70AAADc&#10;AAAADwAAAGRycy9kb3ducmV2LnhtbEWPwW7CMBBE75X4B2uRuBWboKI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AI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35C580">
                              <w:pPr>
                                <w:pStyle w:val="27"/>
                                <w:bidi w:val="0"/>
                                <w:rPr>
                                  <w:rFonts w:hint="default" w:eastAsia="宋体"/>
                                  <w:lang w:val="en-US" w:eastAsia="zh-CN"/>
                                </w:rPr>
                              </w:pPr>
                              <w:r>
                                <w:rPr>
                                  <w:rFonts w:hint="eastAsia"/>
                                  <w:lang w:val="en-US" w:eastAsia="zh-CN"/>
                                </w:rPr>
                                <w:t>编制报告</w:t>
                              </w:r>
                            </w:p>
                          </w:txbxContent>
                        </v:textbox>
                      </v:rect>
                      <v:rect id="矩形 470" o:spid="_x0000_s1026" o:spt="1" style="position:absolute;left:7758;top:467795;height:577;width:2176;" fillcolor="#FFFFFF" filled="t" stroked="f" coordsize="21600,21600" o:gfxdata="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5ry2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354E282D">
                              <w:pPr>
                                <w:keepNext w:val="0"/>
                                <w:keepLines w:val="0"/>
                                <w:pageBreakBefore w:val="0"/>
                                <w:widowControl w:val="0"/>
                                <w:kinsoku/>
                                <w:wordWrap/>
                                <w:overflowPunct/>
                                <w:topLinePunct w:val="0"/>
                                <w:bidi w:val="0"/>
                                <w:adjustRightInd/>
                                <w:snapToGrid/>
                                <w:spacing w:line="240" w:lineRule="atLeast"/>
                                <w:ind w:left="0" w:leftChars="0" w:firstLine="0" w:firstLineChars="0"/>
                                <w:jc w:val="left"/>
                                <w:textAlignment w:val="auto"/>
                                <w:rPr>
                                  <w:rFonts w:hint="eastAsia"/>
                                  <w:sz w:val="21"/>
                                  <w:szCs w:val="21"/>
                                  <w:lang w:val="en-US" w:eastAsia="zh-CN"/>
                                </w:rPr>
                              </w:pPr>
                              <w:r>
                                <w:rPr>
                                  <w:rFonts w:hint="eastAsia"/>
                                  <w:sz w:val="21"/>
                                  <w:szCs w:val="21"/>
                                  <w:lang w:val="en-US" w:eastAsia="zh-CN"/>
                                </w:rPr>
                                <w:t>硫代硫酸钠溶液淀粉、碘化钾试纸</w:t>
                              </w:r>
                            </w:p>
                          </w:txbxContent>
                        </v:textbox>
                      </v:rect>
                      <v:rect id="矩形 473" o:spid="_x0000_s1026" o:spt="1" style="position:absolute;left:10344;top:469464;height:433;width:1325;" fillcolor="#FFFFFF" filled="t" stroked="t" coordsize="21600,21600" o:gfxdata="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T/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594A79">
                              <w:pPr>
                                <w:pStyle w:val="27"/>
                                <w:bidi w:val="0"/>
                                <w:rPr>
                                  <w:rFonts w:hint="eastAsia" w:eastAsia="宋体"/>
                                  <w:lang w:val="en-US" w:eastAsia="zh-CN"/>
                                </w:rPr>
                              </w:pPr>
                              <w:r>
                                <w:rPr>
                                  <w:rFonts w:hint="eastAsia"/>
                                  <w:lang w:val="en-US" w:eastAsia="zh-CN"/>
                                </w:rPr>
                                <w:t>加试剂</w:t>
                              </w:r>
                            </w:p>
                          </w:txbxContent>
                        </v:textbox>
                      </v:rect>
                      <v:shape id="自选图形 478" o:spid="_x0000_s1026" o:spt="32" type="#_x0000_t32" style="position:absolute;left:9803;top:470567;height:1;width:534;" filled="f" stroked="t" coordsize="21600,21600" o:gfxdata="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8K2u/&#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自选图形 478" o:spid="_x0000_s1026" o:spt="32" type="#_x0000_t32" style="position:absolute;left:11066;top:472663;height:0;width:1299;" filled="f" stroked="t" coordsize="21600,21600" o:gfxdata="UEsDBAoAAAAAAIdO4kAAAAAAAAAAAAAAAAAEAAAAZHJzL1BLAwQUAAAACACHTuJAlK61HL8AAADc&#10;AAAADwAAAGRycy9kb3ducmV2LnhtbEWPW2sCMRSE3wv9D+EUfNOsShe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utRy/&#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自选图形 478" o:spid="_x0000_s1026" o:spt="32" type="#_x0000_t32" style="position:absolute;left:11015;top:470775;flip:x;height:431;width:7;" filled="f" stroked="t" coordsize="21600,21600" o:gfxdata="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mmV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自选图形 478" o:spid="_x0000_s1026" o:spt="32" type="#_x0000_t32" style="position:absolute;left:9630;top:468838;flip:y;height:9;width:601;" filled="f" stroked="t" coordsize="21600,21600" o:gfxdata="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0gC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rect id="矩形 470" o:spid="_x0000_s1026" o:spt="1" style="position:absolute;left:7923;top:468573;height:548;width:1707;" fillcolor="#FFFFFF" filled="t" stroked="f" coordsize="21600,21600" o:gfxdata="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GYx7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5E912021">
                              <w:pPr>
                                <w:pStyle w:val="27"/>
                                <w:bidi w:val="0"/>
                                <w:rPr>
                                  <w:rFonts w:hint="eastAsia"/>
                                  <w:lang w:val="en-US" w:eastAsia="zh-CN"/>
                                </w:rPr>
                              </w:pPr>
                              <w:r>
                                <w:rPr>
                                  <w:rFonts w:hint="eastAsia"/>
                                  <w:lang w:val="en-US" w:eastAsia="zh-CN"/>
                                </w:rPr>
                                <w:t>硫酸锌溶液、</w:t>
                              </w:r>
                            </w:p>
                            <w:p w14:paraId="05BBDD05">
                              <w:pPr>
                                <w:pStyle w:val="27"/>
                                <w:bidi w:val="0"/>
                              </w:pPr>
                              <w:r>
                                <w:rPr>
                                  <w:rFonts w:hint="eastAsia"/>
                                  <w:lang w:val="en-US" w:eastAsia="zh-CN"/>
                                </w:rPr>
                                <w:t>氢氧化钠溶液</w:t>
                              </w:r>
                            </w:p>
                          </w:txbxContent>
                        </v:textbox>
                      </v:rect>
                      <v:rect id="矩形 470" o:spid="_x0000_s1026" o:spt="1" style="position:absolute;left:6983;top:469533;height:533;width:2898;" fillcolor="#FFFFFF" filled="t" stroked="f" coordsize="21600,21600" o:gfxdata="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f75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5FDBD59">
                              <w:pPr>
                                <w:pStyle w:val="27"/>
                                <w:bidi w:val="0"/>
                                <w:rPr>
                                  <w:rFonts w:hint="default"/>
                                  <w:lang w:val="en-US" w:eastAsia="zh-CN"/>
                                </w:rPr>
                              </w:pPr>
                              <w:r>
                                <w:rPr>
                                  <w:rFonts w:hint="eastAsia"/>
                                  <w:lang w:val="en-US" w:eastAsia="zh-CN"/>
                                </w:rPr>
                                <w:t>无水乙醇、氢氧化钠、硫酸溶液</w:t>
                              </w:r>
                            </w:p>
                          </w:txbxContent>
                        </v:textbox>
                      </v:rect>
                      <v:shape id="自选图形 478" o:spid="_x0000_s1026" o:spt="32" type="#_x0000_t32" style="position:absolute;left:9867;top:469699;flip:y;height:5;width:477;" filled="f" stroked="t" coordsize="21600,21600" o:gfxdata="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cQz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rect id="矩形 470" o:spid="_x0000_s1026" o:spt="1" style="position:absolute;left:6915;top:470148;height:820;width:2895;" fillcolor="#FFFFFF" filled="t" stroked="f" coordsize="21600,21600" o:gfxdata="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P3k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241CD7DB">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磷标准使用液、2,6-二硝基酚、硫酸溶液、碳酸钠溶液、抗坏血酸溶液、钼酸盐</w:t>
                              </w:r>
                            </w:p>
                            <w:p w14:paraId="0E942D7E">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溶液</w:t>
                              </w:r>
                            </w:p>
                          </w:txbxContent>
                        </v:textbox>
                      </v:rect>
                      <v:rect id="矩形 479" o:spid="_x0000_s1026" o:spt="1" style="position:absolute;left:10483;top:471205;height:433;width:1053;" fillcolor="#FFFFFF" filled="t" stroked="t" coordsize="21600,21600" o:gfxdata="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VD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A5B8F7">
                              <w:pPr>
                                <w:pStyle w:val="27"/>
                                <w:bidi w:val="0"/>
                                <w:rPr>
                                  <w:rFonts w:hint="eastAsia" w:eastAsia="宋体"/>
                                  <w:lang w:eastAsia="zh-CN"/>
                                </w:rPr>
                              </w:pPr>
                              <w:r>
                                <w:rPr>
                                  <w:rFonts w:hint="eastAsia"/>
                                  <w:lang w:val="en-US" w:eastAsia="zh-CN"/>
                                </w:rPr>
                                <w:t>比色</w:t>
                              </w:r>
                            </w:p>
                          </w:txbxContent>
                        </v:textbox>
                      </v:rect>
                      <v:shape id="自选图形 478" o:spid="_x0000_s1026" o:spt="32" type="#_x0000_t32" style="position:absolute;left:11023;top:471645;flip:x;height:431;width:7;" filled="f" stroked="t" coordsize="21600,21600" o:gfxdata="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CBrO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自选图形 478" o:spid="_x0000_s1026" o:spt="32" type="#_x0000_t32" style="position:absolute;left:9946;top:471437;height:1;width:534;" filled="f" stroked="t" coordsize="21600,21600" o:gfxdata="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O2jq/&#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470" o:spid="_x0000_s1026" o:spt="1" style="position:absolute;left:7018;top:471153;height:820;width:2895;" fillcolor="#FFFFFF" filled="t" stroked="f" coordsize="21600,21600" o:gfxdata="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H34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56CDB2FD">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磷标准使用液、2,6-二硝基酚、硫酸溶液、碳酸钠溶液、抗坏血酸溶液、钼酸盐</w:t>
                              </w:r>
                            </w:p>
                            <w:p w14:paraId="217089EF">
                              <w:pPr>
                                <w:keepNext w:val="0"/>
                                <w:keepLines w:val="0"/>
                                <w:pageBreakBefore w:val="0"/>
                                <w:widowControl w:val="0"/>
                                <w:kinsoku/>
                                <w:wordWrap/>
                                <w:overflowPunct/>
                                <w:topLinePunct w:val="0"/>
                                <w:bidi w:val="0"/>
                                <w:adjustRightInd/>
                                <w:snapToGrid/>
                                <w:spacing w:line="240" w:lineRule="atLeast"/>
                                <w:ind w:left="0" w:leftChars="0" w:firstLine="0" w:firstLineChars="0"/>
                                <w:textAlignment w:val="auto"/>
                                <w:rPr>
                                  <w:rFonts w:hint="eastAsia"/>
                                  <w:sz w:val="21"/>
                                  <w:szCs w:val="21"/>
                                  <w:lang w:val="en-US" w:eastAsia="zh-CN"/>
                                </w:rPr>
                              </w:pPr>
                              <w:r>
                                <w:rPr>
                                  <w:rFonts w:hint="eastAsia"/>
                                  <w:sz w:val="21"/>
                                  <w:szCs w:val="21"/>
                                  <w:lang w:val="en-US" w:eastAsia="zh-CN"/>
                                </w:rPr>
                                <w:t>溶液</w:t>
                              </w:r>
                            </w:p>
                          </w:txbxContent>
                        </v:textbox>
                      </v:rect>
                      <v:shape id="自选图形 478" o:spid="_x0000_s1026" o:spt="32" type="#_x0000_t32" style="position:absolute;left:11655;top:467953;flip:y;height:9;width:601;" filled="f" stroked="t" coordsize="21600,21600" o:gfxdata="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8GGS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rect id="矩形 470" o:spid="_x0000_s1026" o:spt="1" style="position:absolute;left:11850;top:467743;height:433;width:1287;" fillcolor="#FFFFFF" filled="t" stroked="f" coordsize="21600,21600" o:gfxdata="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pl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36EFE245">
                              <w:pPr>
                                <w:pStyle w:val="27"/>
                                <w:bidi w:val="0"/>
                                <w:rPr>
                                  <w:rFonts w:hint="default"/>
                                  <w:lang w:val="en-US"/>
                                </w:rPr>
                              </w:pPr>
                              <w:r>
                                <w:rPr>
                                  <w:rFonts w:hint="eastAsia"/>
                                  <w:lang w:val="en-US" w:eastAsia="zh-CN"/>
                                </w:rPr>
                                <w:t>粉尘</w:t>
                              </w:r>
                            </w:p>
                          </w:txbxContent>
                        </v:textbox>
                      </v:rect>
                    </v:group>
                  </w:pict>
                </mc:Fallback>
              </mc:AlternateContent>
            </w:r>
            <w:r>
              <w:rPr>
                <w:rFonts w:hint="eastAsia"/>
                <w:color w:val="auto"/>
                <w:highlight w:val="none"/>
                <w:lang w:val="en-US" w:eastAsia="zh-CN"/>
              </w:rPr>
              <w:tab/>
            </w:r>
          </w:p>
          <w:p w14:paraId="0CFC69D0">
            <w:pPr>
              <w:pStyle w:val="8"/>
              <w:keepNext w:val="0"/>
              <w:keepLines w:val="0"/>
              <w:suppressLineNumbers w:val="0"/>
              <w:spacing w:beforeAutospacing="0" w:afterAutospacing="0"/>
              <w:ind w:left="0"/>
              <w:rPr>
                <w:rFonts w:hint="eastAsia"/>
                <w:color w:val="auto"/>
                <w:highlight w:val="none"/>
                <w:lang w:val="en-US" w:eastAsia="zh-CN"/>
              </w:rPr>
            </w:pPr>
          </w:p>
          <w:p w14:paraId="7EA37097">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282E3EAF">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1574F1D2">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28B3D344">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6D5EFDCC">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2270AF13">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3F3031A7">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151F641A">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2CB24278">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60EC78D1">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783E0931">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35959F00">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0C639A90">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1B758D44">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11268F7A">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0B212720">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2B78BF5C">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685D3F5A">
            <w:pPr>
              <w:pStyle w:val="9"/>
              <w:keepNext w:val="0"/>
              <w:keepLines w:val="0"/>
              <w:widowControl w:val="0"/>
              <w:numPr>
                <w:ilvl w:val="0"/>
                <w:numId w:val="0"/>
              </w:numPr>
              <w:suppressLineNumbers w:val="0"/>
              <w:spacing w:before="0" w:beforeAutospacing="0" w:after="0" w:afterAutospacing="0" w:line="360" w:lineRule="auto"/>
              <w:ind w:left="0" w:right="0"/>
              <w:jc w:val="both"/>
              <w:rPr>
                <w:rFonts w:hint="eastAsia"/>
                <w:color w:val="auto"/>
                <w:highlight w:val="none"/>
                <w:lang w:val="en-US" w:eastAsia="zh-CN"/>
              </w:rPr>
            </w:pPr>
          </w:p>
          <w:p w14:paraId="01B92248">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p>
          <w:p w14:paraId="1CB6884C">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 xml:space="preserve">6 </w:t>
            </w:r>
            <w:r>
              <w:rPr>
                <w:rFonts w:hint="eastAsia"/>
                <w:color w:val="auto"/>
                <w:sz w:val="24"/>
                <w:szCs w:val="24"/>
                <w:highlight w:val="none"/>
              </w:rPr>
              <w:t xml:space="preserve"> </w:t>
            </w:r>
            <w:r>
              <w:rPr>
                <w:rFonts w:hint="eastAsia" w:cs="Times New Roman"/>
                <w:b/>
                <w:bCs/>
                <w:color w:val="auto"/>
                <w:kern w:val="2"/>
                <w:sz w:val="24"/>
                <w:szCs w:val="24"/>
                <w:highlight w:val="none"/>
                <w:lang w:val="en-US" w:eastAsia="zh-CN" w:bidi="ar-SA"/>
              </w:rPr>
              <w:t>碱熔-钼锑抗分光光度法</w:t>
            </w:r>
            <w:r>
              <w:rPr>
                <w:rFonts w:hint="eastAsia" w:ascii="宋体" w:hAnsi="宋体" w:eastAsia="宋体" w:cs="宋体"/>
                <w:b/>
                <w:bCs/>
                <w:color w:val="auto"/>
                <w:sz w:val="24"/>
                <w:szCs w:val="24"/>
                <w:highlight w:val="none"/>
                <w:lang w:val="en-US" w:eastAsia="zh-CN"/>
              </w:rPr>
              <w:t>检测</w:t>
            </w:r>
            <w:r>
              <w:rPr>
                <w:rFonts w:hint="default" w:ascii="宋体" w:hAnsi="宋体" w:eastAsia="宋体" w:cs="宋体"/>
                <w:b/>
                <w:bCs/>
                <w:color w:val="auto"/>
                <w:sz w:val="24"/>
                <w:szCs w:val="24"/>
                <w:highlight w:val="none"/>
              </w:rPr>
              <w:t>工艺流程及产污环节图</w:t>
            </w:r>
          </w:p>
          <w:p w14:paraId="5173A590">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具体实验方法如下：</w:t>
            </w:r>
          </w:p>
          <w:p w14:paraId="1A3A56E9">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s="Times New Roman"/>
                <w:color w:val="auto"/>
                <w:kern w:val="2"/>
                <w:sz w:val="24"/>
                <w:szCs w:val="24"/>
                <w:highlight w:val="none"/>
                <w:lang w:val="en-US" w:eastAsia="zh-CN" w:bidi="ar-SA"/>
              </w:rPr>
              <w:t>1）</w:t>
            </w:r>
            <w:r>
              <w:rPr>
                <w:rFonts w:hint="eastAsia"/>
                <w:color w:val="auto"/>
                <w:highlight w:val="none"/>
                <w:lang w:val="en-US" w:eastAsia="zh-CN"/>
              </w:rPr>
              <w:t>样品制备：将采集好的样品置于风干盘中，摊成2~3cm的薄层，适时地压碎、翻动，捡出碎石、砂砾、植物残体，用木棒碾压，然后去杂物，粉碎，充分混匀，通过1mm土壤筛，然后将土样在牛皮纸上铺成薄层，划分成四分法小方格，用小勺在每个方格中取出等量土样，在土壤研磨仪内进行研磨，使其全部通过0.149mm土壤筛，混匀后装入磨口瓶中，备用，在此期间会有少量粉尘产生。</w:t>
            </w:r>
          </w:p>
          <w:p w14:paraId="49182F16">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s="Times New Roman"/>
                <w:color w:val="auto"/>
                <w:kern w:val="2"/>
                <w:sz w:val="24"/>
                <w:szCs w:val="24"/>
                <w:highlight w:val="none"/>
                <w:lang w:val="en-US" w:eastAsia="zh-CN" w:bidi="ar-SA"/>
              </w:rPr>
              <w:t>2）</w:t>
            </w:r>
            <w:r>
              <w:rPr>
                <w:rFonts w:hint="eastAsia"/>
                <w:color w:val="auto"/>
                <w:highlight w:val="none"/>
                <w:lang w:val="en-US" w:eastAsia="zh-CN"/>
              </w:rPr>
              <w:t>干物质含量的测定：准确称取适量的风干土样，根据重量法测定干物质含量。</w:t>
            </w:r>
          </w:p>
          <w:p w14:paraId="1CD75E9B">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s="Times New Roman"/>
                <w:color w:val="auto"/>
                <w:kern w:val="2"/>
                <w:sz w:val="24"/>
                <w:szCs w:val="24"/>
                <w:highlight w:val="none"/>
                <w:lang w:val="en-US" w:eastAsia="zh-CN" w:bidi="ar-SA"/>
              </w:rPr>
              <w:t>3）</w:t>
            </w:r>
            <w:r>
              <w:rPr>
                <w:rFonts w:hint="eastAsia"/>
                <w:color w:val="auto"/>
                <w:highlight w:val="none"/>
                <w:lang w:val="en-US" w:eastAsia="zh-CN"/>
              </w:rPr>
              <w:t>加试剂：称取0.25g试样于镍坩埚底部，用几滴无水乙醇湿润样品，然后加入2g氢氧化钠平铺于样品的表面，将样品覆盖，盖上坩埚盖，将坩埚放入马弗炉中升温，当温度升至400</w:t>
            </w:r>
            <w:r>
              <w:rPr>
                <w:rFonts w:hint="default" w:ascii="Times New Roman" w:hAnsi="Times New Roman" w:cs="Times New Roman"/>
                <w:color w:val="auto"/>
                <w:highlight w:val="none"/>
                <w:lang w:val="en-US" w:eastAsia="zh-CN"/>
              </w:rPr>
              <w:t>℃</w:t>
            </w:r>
            <w:r>
              <w:rPr>
                <w:rFonts w:hint="eastAsia"/>
                <w:color w:val="auto"/>
                <w:highlight w:val="none"/>
                <w:lang w:val="en-US" w:eastAsia="zh-CN"/>
              </w:rPr>
              <w:t>左右时，保持15min，然后继续升温至640</w:t>
            </w:r>
            <w:r>
              <w:rPr>
                <w:rFonts w:hint="default" w:ascii="Times New Roman" w:hAnsi="Times New Roman" w:cs="Times New Roman"/>
                <w:color w:val="auto"/>
                <w:highlight w:val="none"/>
                <w:lang w:val="en-US" w:eastAsia="zh-CN"/>
              </w:rPr>
              <w:t>℃</w:t>
            </w:r>
            <w:r>
              <w:rPr>
                <w:rFonts w:hint="eastAsia"/>
                <w:color w:val="auto"/>
                <w:highlight w:val="none"/>
                <w:lang w:val="en-US" w:eastAsia="zh-CN"/>
              </w:rPr>
              <w:t>，保持15min，取出冷却，再向坩埚中加入10ml水加热至80</w:t>
            </w:r>
            <w:r>
              <w:rPr>
                <w:rFonts w:hint="default" w:ascii="Times New Roman" w:hAnsi="Times New Roman" w:cs="Times New Roman"/>
                <w:color w:val="auto"/>
                <w:highlight w:val="none"/>
                <w:lang w:val="en-US" w:eastAsia="zh-CN"/>
              </w:rPr>
              <w:t>℃</w:t>
            </w:r>
            <w:r>
              <w:rPr>
                <w:rFonts w:hint="eastAsia"/>
                <w:color w:val="auto"/>
                <w:highlight w:val="none"/>
                <w:lang w:val="en-US" w:eastAsia="zh-CN"/>
              </w:rPr>
              <w:t>，待熔块溶解后，将坩埚内的溶液全部转入50ml离心杯中，再用10ml硫酸溶液分三次洗涤坩埚，洗涤液转入离心杯中，然后再用适量水洗涤坩埚3次，洗涤液全部转入离心杯中，以2500~3500r/min离心分离10min，静置后将上清液全部转入100ml容量瓶中，用水定容。</w:t>
            </w:r>
          </w:p>
          <w:p w14:paraId="17A7D752">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s="Times New Roman"/>
                <w:color w:val="auto"/>
                <w:kern w:val="2"/>
                <w:sz w:val="24"/>
                <w:szCs w:val="24"/>
                <w:highlight w:val="none"/>
                <w:lang w:val="en-US" w:eastAsia="zh-CN" w:bidi="ar-SA"/>
              </w:rPr>
              <w:t>4）</w:t>
            </w:r>
            <w:r>
              <w:rPr>
                <w:rFonts w:hint="eastAsia"/>
                <w:color w:val="auto"/>
                <w:highlight w:val="none"/>
                <w:lang w:val="en-US" w:eastAsia="zh-CN"/>
              </w:rPr>
              <w:t>仪器校准：分别量取0、0.50、2.00、4.00、5.00ml磷标准工作溶液于6支50ml具塞比色管中，加水至刻度，标准系列中的磷含量分别为0.00、2.50、5.00、10.00、20.00、25.00</w:t>
            </w:r>
            <w:r>
              <w:rPr>
                <w:rFonts w:hint="default" w:ascii="Times New Roman" w:hAnsi="Times New Roman" w:cs="Times New Roman"/>
                <w:color w:val="auto"/>
                <w:highlight w:val="none"/>
                <w:lang w:val="en-US" w:eastAsia="zh-CN"/>
              </w:rPr>
              <w:t>μg</w:t>
            </w:r>
            <w:r>
              <w:rPr>
                <w:rFonts w:hint="eastAsia"/>
                <w:color w:val="auto"/>
                <w:highlight w:val="none"/>
                <w:lang w:val="en-US" w:eastAsia="zh-CN"/>
              </w:rPr>
              <w:t>，然后分别向比色管中加入2~3滴2,6-二硝基酚指示剂，再用硫酸溶液和氢氧化钠溶液调节pH值为4.4左右，使溶液呈微黄色，再加入1.0ml抗坏血酸溶液，混匀，30s后加入2.0ml钼酸盐溶液，充分混匀，于20~30</w:t>
            </w:r>
            <w:r>
              <w:rPr>
                <w:rFonts w:hint="default" w:ascii="Times New Roman" w:hAnsi="Times New Roman" w:cs="Times New Roman"/>
                <w:color w:val="auto"/>
                <w:highlight w:val="none"/>
                <w:lang w:val="en-US" w:eastAsia="zh-CN"/>
              </w:rPr>
              <w:t>℃</w:t>
            </w:r>
            <w:r>
              <w:rPr>
                <w:rFonts w:hint="eastAsia"/>
                <w:color w:val="auto"/>
                <w:highlight w:val="none"/>
                <w:lang w:val="en-US" w:eastAsia="zh-CN"/>
              </w:rPr>
              <w:t>下放置15min，用30mm比色皿，于700nm波长处，以水为参比，测量吸光度，以试剂空白校正吸光度为纵坐标，对应的磷含量为横坐标，绘制校准曲线，完成校准。</w:t>
            </w:r>
          </w:p>
          <w:p w14:paraId="5FF3808E">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5）比色步骤同仪器校准步骤，得出吸光度后，以空白校正后各管的吸光度为纵坐标，以总磷的含量为横坐标，绘制曲线图。</w:t>
            </w:r>
          </w:p>
          <w:p w14:paraId="53CF2470">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6）空白样：不加土壤样，按同样操作步骤做测试空白试验。记录吸光度，绘制曲线图。</w:t>
            </w:r>
          </w:p>
          <w:p w14:paraId="7CE7120E">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7）计算：根据《土壤总磷的测定碱熔-钼锑抗分光光度法》（HJ632-2011）8结果计算，将6个土壤样的吸光度和空白样的吸光度代入公式，计算出总磷浓度，去除最小值和最大值后，根据平均值，得出结果。</w:t>
            </w:r>
          </w:p>
          <w:p w14:paraId="2D2C8437">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8）编制报告：通过所得数据及相关材料编制监测报告。</w:t>
            </w:r>
          </w:p>
          <w:p w14:paraId="36DD37EA">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lang w:val="en-US" w:eastAsia="zh-CN"/>
              </w:rPr>
            </w:pPr>
            <w:r>
              <w:rPr>
                <w:rFonts w:hint="eastAsia"/>
                <w:color w:val="auto"/>
                <w:highlight w:val="none"/>
                <w:lang w:val="en-US" w:eastAsia="zh-CN"/>
              </w:rPr>
              <w:t>9）清洗：对采样瓶、玻璃瓶、比色皿滴定管、移液管等试剂瓶进行清洗，清洗原理同上，在此期间会有实验室废液和清洗废水产生。</w:t>
            </w:r>
          </w:p>
          <w:p w14:paraId="4A92ABE0">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eastAsia"/>
                <w:b/>
                <w:bCs/>
                <w:color w:val="auto"/>
                <w:highlight w:val="none"/>
                <w:lang w:val="en-US" w:eastAsia="zh-CN"/>
              </w:rPr>
              <w:t>生物室检测实验</w:t>
            </w:r>
          </w:p>
          <w:p w14:paraId="6A7ED62D">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color w:val="auto"/>
                <w:highlight w:val="none"/>
                <w:lang w:val="en-US" w:eastAsia="zh-CN"/>
              </w:rPr>
            </w:pPr>
            <w:r>
              <w:rPr>
                <w:rFonts w:hint="eastAsia"/>
                <w:color w:val="auto"/>
                <w:highlight w:val="none"/>
                <w:lang w:val="en-US" w:eastAsia="zh-CN"/>
              </w:rPr>
              <w:t>生物室的工作内容主要是进行水中菌落总数、总大肠菌群、粪大肠菌群的测定。方法原理：将样品接种于不同类型的培养基中，在特定的物理条件下（特定温度和时间）培养，生长的需氧菌和兼性厌氧菌总数即为样品中细菌菌落的总数，或者统计阳性反应出现数量，查</w:t>
            </w:r>
            <w:r>
              <w:rPr>
                <w:rFonts w:hint="default"/>
                <w:color w:val="auto"/>
                <w:highlight w:val="none"/>
                <w:lang w:val="en-US" w:eastAsia="zh-CN"/>
              </w:rPr>
              <w:t>MPN</w:t>
            </w:r>
            <w:r>
              <w:rPr>
                <w:rFonts w:hint="eastAsia"/>
                <w:color w:val="auto"/>
                <w:highlight w:val="none"/>
                <w:lang w:val="en-US" w:eastAsia="zh-CN"/>
              </w:rPr>
              <w:t>表，分别计算样品中总大肠菌群、粪大肠菌群的浓度值。生物室的主要流程如下：</w:t>
            </w:r>
          </w:p>
          <w:p w14:paraId="331014DE">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bCs/>
                <w:color w:val="auto"/>
                <w:highlight w:val="none"/>
              </w:rPr>
            </w:pPr>
            <w:r>
              <w:rPr>
                <w:rFonts w:hint="default"/>
                <w:color w:val="auto"/>
                <w:sz w:val="24"/>
                <w:highlight w:val="none"/>
              </w:rPr>
              <mc:AlternateContent>
                <mc:Choice Requires="wpg">
                  <w:drawing>
                    <wp:anchor distT="0" distB="0" distL="114300" distR="114300" simplePos="0" relativeHeight="251663360" behindDoc="0" locked="0" layoutInCell="1" allowOverlap="1">
                      <wp:simplePos x="0" y="0"/>
                      <wp:positionH relativeFrom="column">
                        <wp:posOffset>2112010</wp:posOffset>
                      </wp:positionH>
                      <wp:positionV relativeFrom="paragraph">
                        <wp:posOffset>28575</wp:posOffset>
                      </wp:positionV>
                      <wp:extent cx="2625090" cy="3014980"/>
                      <wp:effectExtent l="4445" t="0" r="0" b="13335"/>
                      <wp:wrapNone/>
                      <wp:docPr id="315" name="组合 315"/>
                      <wp:cNvGraphicFramePr/>
                      <a:graphic xmlns:a="http://schemas.openxmlformats.org/drawingml/2006/main">
                        <a:graphicData uri="http://schemas.microsoft.com/office/word/2010/wordprocessingGroup">
                          <wpg:wgp>
                            <wpg:cNvGrpSpPr/>
                            <wpg:grpSpPr>
                              <a:xfrm>
                                <a:off x="0" y="0"/>
                                <a:ext cx="2625090" cy="3014980"/>
                                <a:chOff x="19342" y="450139"/>
                                <a:chExt cx="4134" cy="4748"/>
                              </a:xfrm>
                            </wpg:grpSpPr>
                            <wps:wsp>
                              <wps:cNvPr id="282" name="矩形 469"/>
                              <wps:cNvSpPr/>
                              <wps:spPr>
                                <a:xfrm>
                                  <a:off x="19342" y="450992"/>
                                  <a:ext cx="2238"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2E81E1">
                                    <w:pPr>
                                      <w:pStyle w:val="27"/>
                                      <w:bidi w:val="0"/>
                                      <w:rPr>
                                        <w:rFonts w:hint="eastAsia" w:eastAsia="宋体"/>
                                        <w:lang w:val="en-US" w:eastAsia="zh-CN"/>
                                      </w:rPr>
                                    </w:pPr>
                                    <w:r>
                                      <w:rPr>
                                        <w:rFonts w:hint="eastAsia"/>
                                        <w:lang w:val="en-US" w:eastAsia="zh-CN"/>
                                      </w:rPr>
                                      <w:t>培养基配置及测试</w:t>
                                    </w:r>
                                  </w:p>
                                </w:txbxContent>
                              </wps:txbx>
                              <wps:bodyPr wrap="square" upright="1"/>
                            </wps:wsp>
                            <wps:wsp>
                              <wps:cNvPr id="283" name="矩形 470"/>
                              <wps:cNvSpPr/>
                              <wps:spPr>
                                <a:xfrm>
                                  <a:off x="19807" y="450139"/>
                                  <a:ext cx="1287" cy="433"/>
                                </a:xfrm>
                                <a:prstGeom prst="rect">
                                  <a:avLst/>
                                </a:prstGeom>
                                <a:solidFill>
                                  <a:srgbClr val="FFFFFF">
                                    <a:alpha val="0"/>
                                  </a:srgbClr>
                                </a:solidFill>
                                <a:ln>
                                  <a:noFill/>
                                </a:ln>
                              </wps:spPr>
                              <wps:txbx>
                                <w:txbxContent>
                                  <w:p w14:paraId="2BBEDF13">
                                    <w:pPr>
                                      <w:pStyle w:val="27"/>
                                      <w:bidi w:val="0"/>
                                    </w:pPr>
                                    <w:r>
                                      <w:rPr>
                                        <w:rFonts w:hint="eastAsia"/>
                                        <w:lang w:val="en-US" w:eastAsia="zh-CN"/>
                                      </w:rPr>
                                      <w:t>原料</w:t>
                                    </w:r>
                                  </w:p>
                                </w:txbxContent>
                              </wps:txbx>
                              <wps:bodyPr wrap="square" upright="1"/>
                            </wps:wsp>
                            <wps:wsp>
                              <wps:cNvPr id="284" name="自选图形 471"/>
                              <wps:cNvCnPr/>
                              <wps:spPr>
                                <a:xfrm>
                                  <a:off x="20453" y="450547"/>
                                  <a:ext cx="0" cy="447"/>
                                </a:xfrm>
                                <a:prstGeom prst="straightConnector1">
                                  <a:avLst/>
                                </a:prstGeom>
                                <a:ln w="9525" cap="flat" cmpd="sng">
                                  <a:solidFill>
                                    <a:srgbClr val="000000"/>
                                  </a:solidFill>
                                  <a:prstDash val="solid"/>
                                  <a:headEnd type="none" w="med" len="med"/>
                                  <a:tailEnd type="triangle" w="med" len="med"/>
                                </a:ln>
                              </wps:spPr>
                              <wps:bodyPr/>
                            </wps:wsp>
                            <wps:wsp>
                              <wps:cNvPr id="285" name="自选图形 472"/>
                              <wps:cNvCnPr/>
                              <wps:spPr>
                                <a:xfrm>
                                  <a:off x="20472" y="451432"/>
                                  <a:ext cx="0" cy="447"/>
                                </a:xfrm>
                                <a:prstGeom prst="straightConnector1">
                                  <a:avLst/>
                                </a:prstGeom>
                                <a:ln w="9525" cap="flat" cmpd="sng">
                                  <a:solidFill>
                                    <a:srgbClr val="000000"/>
                                  </a:solidFill>
                                  <a:prstDash val="solid"/>
                                  <a:headEnd type="none" w="med" len="med"/>
                                  <a:tailEnd type="triangle" w="med" len="med"/>
                                </a:ln>
                              </wps:spPr>
                              <wps:bodyPr/>
                            </wps:wsp>
                            <wps:wsp>
                              <wps:cNvPr id="286" name="矩形 473"/>
                              <wps:cNvSpPr/>
                              <wps:spPr>
                                <a:xfrm>
                                  <a:off x="19369" y="451878"/>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E0C17">
                                    <w:pPr>
                                      <w:pStyle w:val="27"/>
                                      <w:bidi w:val="0"/>
                                      <w:rPr>
                                        <w:rFonts w:hint="eastAsia" w:eastAsia="宋体"/>
                                        <w:lang w:val="en-US" w:eastAsia="zh-CN"/>
                                      </w:rPr>
                                    </w:pPr>
                                    <w:r>
                                      <w:rPr>
                                        <w:rFonts w:hint="eastAsia"/>
                                        <w:lang w:val="en-US" w:eastAsia="zh-CN"/>
                                      </w:rPr>
                                      <w:t>灭菌、清洗、消毒</w:t>
                                    </w:r>
                                  </w:p>
                                </w:txbxContent>
                              </wps:txbx>
                              <wps:bodyPr wrap="square" upright="1"/>
                            </wps:wsp>
                            <wps:wsp>
                              <wps:cNvPr id="287" name="自选图形 474"/>
                              <wps:cNvCnPr/>
                              <wps:spPr>
                                <a:xfrm>
                                  <a:off x="20490" y="452304"/>
                                  <a:ext cx="0" cy="447"/>
                                </a:xfrm>
                                <a:prstGeom prst="straightConnector1">
                                  <a:avLst/>
                                </a:prstGeom>
                                <a:ln w="9525" cap="flat" cmpd="sng">
                                  <a:solidFill>
                                    <a:srgbClr val="000000"/>
                                  </a:solidFill>
                                  <a:prstDash val="solid"/>
                                  <a:headEnd type="none" w="med" len="med"/>
                                  <a:tailEnd type="triangle" w="med" len="med"/>
                                </a:ln>
                              </wps:spPr>
                              <wps:bodyPr/>
                            </wps:wsp>
                            <wps:wsp>
                              <wps:cNvPr id="288" name="自选图形 478"/>
                              <wps:cNvCnPr>
                                <a:stCxn id="302" idx="2"/>
                                <a:endCxn id="313" idx="0"/>
                              </wps:cNvCnPr>
                              <wps:spPr>
                                <a:xfrm>
                                  <a:off x="20495" y="453178"/>
                                  <a:ext cx="1" cy="396"/>
                                </a:xfrm>
                                <a:prstGeom prst="straightConnector1">
                                  <a:avLst/>
                                </a:prstGeom>
                                <a:ln w="6350" cap="flat" cmpd="sng">
                                  <a:solidFill>
                                    <a:srgbClr val="000000"/>
                                  </a:solidFill>
                                  <a:prstDash val="solid"/>
                                  <a:headEnd type="none" w="med" len="med"/>
                                  <a:tailEnd type="triangle" w="med" len="med"/>
                                </a:ln>
                              </wps:spPr>
                              <wps:bodyPr/>
                            </wps:wsp>
                            <wps:wsp>
                              <wps:cNvPr id="302" name="矩形 473"/>
                              <wps:cNvSpPr/>
                              <wps:spPr>
                                <a:xfrm>
                                  <a:off x="19385" y="452745"/>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A5EA98">
                                    <w:pPr>
                                      <w:pStyle w:val="27"/>
                                      <w:bidi w:val="0"/>
                                      <w:rPr>
                                        <w:rFonts w:hint="eastAsia" w:eastAsia="宋体"/>
                                        <w:lang w:val="en-US" w:eastAsia="zh-CN"/>
                                      </w:rPr>
                                    </w:pPr>
                                    <w:r>
                                      <w:rPr>
                                        <w:rFonts w:hint="eastAsia"/>
                                        <w:lang w:val="en-US" w:eastAsia="zh-CN"/>
                                      </w:rPr>
                                      <w:t>整理检测数据</w:t>
                                    </w:r>
                                  </w:p>
                                </w:txbxContent>
                              </wps:txbx>
                              <wps:bodyPr wrap="square" upright="1"/>
                            </wps:wsp>
                            <wps:wsp>
                              <wps:cNvPr id="305" name="自选图形 478"/>
                              <wps:cNvCnPr>
                                <a:stCxn id="313" idx="2"/>
                                <a:endCxn id="314" idx="0"/>
                              </wps:cNvCnPr>
                              <wps:spPr>
                                <a:xfrm>
                                  <a:off x="20496" y="454007"/>
                                  <a:ext cx="7" cy="448"/>
                                </a:xfrm>
                                <a:prstGeom prst="straightConnector1">
                                  <a:avLst/>
                                </a:prstGeom>
                                <a:ln w="6350" cap="flat" cmpd="sng">
                                  <a:solidFill>
                                    <a:srgbClr val="000000"/>
                                  </a:solidFill>
                                  <a:prstDash val="solid"/>
                                  <a:headEnd type="none" w="med" len="med"/>
                                  <a:tailEnd type="triangle" w="med" len="med"/>
                                </a:ln>
                              </wps:spPr>
                              <wps:bodyPr/>
                            </wps:wsp>
                            <wps:wsp>
                              <wps:cNvPr id="309" name="自选图形 478"/>
                              <wps:cNvCnPr/>
                              <wps:spPr>
                                <a:xfrm>
                                  <a:off x="21591" y="452087"/>
                                  <a:ext cx="517" cy="2"/>
                                </a:xfrm>
                                <a:prstGeom prst="straightConnector1">
                                  <a:avLst/>
                                </a:prstGeom>
                                <a:ln w="9525" cap="flat" cmpd="sng">
                                  <a:solidFill>
                                    <a:schemeClr val="tx1"/>
                                  </a:solidFill>
                                  <a:prstDash val="solid"/>
                                  <a:headEnd type="none" w="med" len="med"/>
                                  <a:tailEnd type="triangle" w="med" len="med"/>
                                </a:ln>
                              </wps:spPr>
                              <wps:bodyPr/>
                            </wps:wsp>
                            <wps:wsp>
                              <wps:cNvPr id="310" name="矩形 470"/>
                              <wps:cNvSpPr/>
                              <wps:spPr>
                                <a:xfrm>
                                  <a:off x="22212" y="451954"/>
                                  <a:ext cx="1265" cy="372"/>
                                </a:xfrm>
                                <a:prstGeom prst="rect">
                                  <a:avLst/>
                                </a:prstGeom>
                                <a:solidFill>
                                  <a:srgbClr val="FFFFFF">
                                    <a:alpha val="0"/>
                                  </a:srgbClr>
                                </a:solidFill>
                                <a:ln>
                                  <a:noFill/>
                                </a:ln>
                              </wps:spPr>
                              <wps:txbx>
                                <w:txbxContent>
                                  <w:p w14:paraId="05EE6E8E">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废水、固废</w:t>
                                    </w:r>
                                  </w:p>
                                </w:txbxContent>
                              </wps:txbx>
                              <wps:bodyPr wrap="square" lIns="0" tIns="0" rIns="0" bIns="0" upright="1"/>
                            </wps:wsp>
                            <wps:wsp>
                              <wps:cNvPr id="313" name="矩形 473"/>
                              <wps:cNvSpPr/>
                              <wps:spPr>
                                <a:xfrm>
                                  <a:off x="19386" y="453574"/>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8E2C6">
                                    <w:pPr>
                                      <w:pStyle w:val="27"/>
                                      <w:bidi w:val="0"/>
                                      <w:rPr>
                                        <w:rFonts w:hint="eastAsia" w:eastAsia="宋体"/>
                                        <w:lang w:val="en-US" w:eastAsia="zh-CN"/>
                                      </w:rPr>
                                    </w:pPr>
                                    <w:r>
                                      <w:rPr>
                                        <w:rFonts w:hint="eastAsia"/>
                                        <w:lang w:val="en-US" w:eastAsia="zh-CN"/>
                                      </w:rPr>
                                      <w:t>编制检测报告</w:t>
                                    </w:r>
                                  </w:p>
                                </w:txbxContent>
                              </wps:txbx>
                              <wps:bodyPr wrap="square" upright="1"/>
                            </wps:wsp>
                            <wps:wsp>
                              <wps:cNvPr id="314" name="矩形 473"/>
                              <wps:cNvSpPr/>
                              <wps:spPr>
                                <a:xfrm>
                                  <a:off x="19393" y="454455"/>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82C233">
                                    <w:pPr>
                                      <w:pStyle w:val="27"/>
                                      <w:bidi w:val="0"/>
                                      <w:rPr>
                                        <w:rFonts w:hint="eastAsia" w:eastAsia="宋体"/>
                                        <w:lang w:val="en-US" w:eastAsia="zh-CN"/>
                                      </w:rPr>
                                    </w:pPr>
                                    <w:r>
                                      <w:rPr>
                                        <w:rFonts w:hint="eastAsia"/>
                                        <w:lang w:val="en-US" w:eastAsia="zh-CN"/>
                                      </w:rPr>
                                      <w:t>发送检测报告</w:t>
                                    </w:r>
                                  </w:p>
                                </w:txbxContent>
                              </wps:txbx>
                              <wps:bodyPr wrap="square" upright="1"/>
                            </wps:wsp>
                          </wpg:wgp>
                        </a:graphicData>
                      </a:graphic>
                    </wp:anchor>
                  </w:drawing>
                </mc:Choice>
                <mc:Fallback>
                  <w:pict>
                    <v:group id="_x0000_s1026" o:spid="_x0000_s1026" o:spt="203" style="position:absolute;left:0pt;margin-left:166.3pt;margin-top:2.25pt;height:237.4pt;width:206.7pt;z-index:251663360;mso-width-relative:page;mso-height-relative:page;" coordorigin="19342,450139" coordsize="4134,4748" o:gfxdata="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BoJkA2&#10;2QAAAAkBAAAPAAAAAAAAAAEAIAAAACIAAABkcnMvZG93bnJldi54bWxQSwECFAAUAAAACACHTuJA&#10;qTrDhswEAACKHwAADgAAAAAAAAABACAAAAAoAQAAZHJzL2Uyb0RvYy54bWxQSwUGAAAAAAYABgBZ&#10;AQAAZggAAAAA&#10;">
                      <o:lock v:ext="edit" aspectratio="f"/>
                      <v:rect id="矩形 469" o:spid="_x0000_s1026" o:spt="1" style="position:absolute;left:19342;top:450992;height:433;width:2238;" fillcolor="#FFFFFF" filled="t" stroked="t" coordsize="21600,21600" o:gfxdata="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SH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2E81E1">
                              <w:pPr>
                                <w:pStyle w:val="27"/>
                                <w:bidi w:val="0"/>
                                <w:rPr>
                                  <w:rFonts w:hint="eastAsia" w:eastAsia="宋体"/>
                                  <w:lang w:val="en-US" w:eastAsia="zh-CN"/>
                                </w:rPr>
                              </w:pPr>
                              <w:r>
                                <w:rPr>
                                  <w:rFonts w:hint="eastAsia"/>
                                  <w:lang w:val="en-US" w:eastAsia="zh-CN"/>
                                </w:rPr>
                                <w:t>培养基配置及测试</w:t>
                              </w:r>
                            </w:p>
                          </w:txbxContent>
                        </v:textbox>
                      </v:rect>
                      <v:rect id="矩形 470" o:spid="_x0000_s1026" o:spt="1" style="position:absolute;left:19807;top:450139;height:433;width:1287;" fillcolor="#FFFFFF" filled="t" stroked="f" coordsize="21600,21600" o:gfxdata="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LrcG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2BBEDF13">
                              <w:pPr>
                                <w:pStyle w:val="27"/>
                                <w:bidi w:val="0"/>
                              </w:pPr>
                              <w:r>
                                <w:rPr>
                                  <w:rFonts w:hint="eastAsia"/>
                                  <w:lang w:val="en-US" w:eastAsia="zh-CN"/>
                                </w:rPr>
                                <w:t>原料</w:t>
                              </w:r>
                            </w:p>
                          </w:txbxContent>
                        </v:textbox>
                      </v:rect>
                      <v:shape id="自选图形 471" o:spid="_x0000_s1026" o:spt="32" type="#_x0000_t32" style="position:absolute;left:20453;top:450547;height:447;width:0;" filled="f" stroked="t" coordsize="21600,21600" o:gfxdata="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GtK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72" o:spid="_x0000_s1026" o:spt="32" type="#_x0000_t32" style="position:absolute;left:20472;top:451432;height:447;width:0;" filled="f" stroked="t" coordsize="21600,21600" o:gfxdata="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0Is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473" o:spid="_x0000_s1026" o:spt="1" style="position:absolute;left:19369;top:451878;height:433;width:2220;"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DE0C17">
                              <w:pPr>
                                <w:pStyle w:val="27"/>
                                <w:bidi w:val="0"/>
                                <w:rPr>
                                  <w:rFonts w:hint="eastAsia" w:eastAsia="宋体"/>
                                  <w:lang w:val="en-US" w:eastAsia="zh-CN"/>
                                </w:rPr>
                              </w:pPr>
                              <w:r>
                                <w:rPr>
                                  <w:rFonts w:hint="eastAsia"/>
                                  <w:lang w:val="en-US" w:eastAsia="zh-CN"/>
                                </w:rPr>
                                <w:t>灭菌、清洗、消毒</w:t>
                              </w:r>
                            </w:p>
                          </w:txbxContent>
                        </v:textbox>
                      </v:rect>
                      <v:shape id="自选图形 474" o:spid="_x0000_s1026" o:spt="32" type="#_x0000_t32" style="position:absolute;left:20490;top:452304;height:447;width:0;" filled="f" stroked="t" coordsize="21600,21600" o:gfxdata="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jM1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8" o:spid="_x0000_s1026" o:spt="32" type="#_x0000_t32" style="position:absolute;left:20495;top:453178;height:396;width:1;" filled="f" stroked="t" coordsize="21600,21600" o:gfxdata="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ort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rect id="矩形 473" o:spid="_x0000_s1026" o:spt="1" style="position:absolute;left:19385;top:452745;height:433;width:2220;" fillcolor="#FFFFFF" filled="t" stroked="t" coordsize="21600,21600" o:gfxdata="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st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4A5EA98">
                              <w:pPr>
                                <w:pStyle w:val="27"/>
                                <w:bidi w:val="0"/>
                                <w:rPr>
                                  <w:rFonts w:hint="eastAsia" w:eastAsia="宋体"/>
                                  <w:lang w:val="en-US" w:eastAsia="zh-CN"/>
                                </w:rPr>
                              </w:pPr>
                              <w:r>
                                <w:rPr>
                                  <w:rFonts w:hint="eastAsia"/>
                                  <w:lang w:val="en-US" w:eastAsia="zh-CN"/>
                                </w:rPr>
                                <w:t>整理检测数据</w:t>
                              </w:r>
                            </w:p>
                          </w:txbxContent>
                        </v:textbox>
                      </v:rect>
                      <v:shape id="自选图形 478" o:spid="_x0000_s1026" o:spt="32" type="#_x0000_t32" style="position:absolute;left:20496;top:454007;height:448;width:7;" filled="f" stroked="t" coordsize="21600,21600" o:gfxdata="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mI7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自选图形 478" o:spid="_x0000_s1026" o:spt="32" type="#_x0000_t32" style="position:absolute;left:21591;top:452087;height:2;width:517;" filled="f" stroked="t" coordsize="21600,21600" o:gfxdata="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DnO/&#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rect id="矩形 470" o:spid="_x0000_s1026" o:spt="1" style="position:absolute;left:22212;top:451954;height:372;width:1265;" fillcolor="#FFFFFF" filled="t" stroked="f" coordsize="21600,21600" o:gfxdata="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Yia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05EE6E8E">
                              <w:pPr>
                                <w:keepNext w:val="0"/>
                                <w:keepLines w:val="0"/>
                                <w:pageBreakBefore w:val="0"/>
                                <w:widowControl w:val="0"/>
                                <w:kinsoku/>
                                <w:wordWrap/>
                                <w:overflowPunct/>
                                <w:topLinePunct w:val="0"/>
                                <w:bidi w:val="0"/>
                                <w:adjustRightInd/>
                                <w:snapToGrid/>
                                <w:spacing w:line="240" w:lineRule="atLeast"/>
                                <w:ind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废水、固废</w:t>
                              </w:r>
                            </w:p>
                          </w:txbxContent>
                        </v:textbox>
                      </v:rect>
                      <v:rect id="矩形 473" o:spid="_x0000_s1026" o:spt="1" style="position:absolute;left:19386;top:453574;height:433;width:2220;"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38E2C6">
                              <w:pPr>
                                <w:pStyle w:val="27"/>
                                <w:bidi w:val="0"/>
                                <w:rPr>
                                  <w:rFonts w:hint="eastAsia" w:eastAsia="宋体"/>
                                  <w:lang w:val="en-US" w:eastAsia="zh-CN"/>
                                </w:rPr>
                              </w:pPr>
                              <w:r>
                                <w:rPr>
                                  <w:rFonts w:hint="eastAsia"/>
                                  <w:lang w:val="en-US" w:eastAsia="zh-CN"/>
                                </w:rPr>
                                <w:t>编制检测报告</w:t>
                              </w:r>
                            </w:p>
                          </w:txbxContent>
                        </v:textbox>
                      </v:rect>
                      <v:rect id="矩形 473" o:spid="_x0000_s1026" o:spt="1" style="position:absolute;left:19393;top:454455;height:433;width:222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82C233">
                              <w:pPr>
                                <w:pStyle w:val="27"/>
                                <w:bidi w:val="0"/>
                                <w:rPr>
                                  <w:rFonts w:hint="eastAsia" w:eastAsia="宋体"/>
                                  <w:lang w:val="en-US" w:eastAsia="zh-CN"/>
                                </w:rPr>
                              </w:pPr>
                              <w:r>
                                <w:rPr>
                                  <w:rFonts w:hint="eastAsia"/>
                                  <w:lang w:val="en-US" w:eastAsia="zh-CN"/>
                                </w:rPr>
                                <w:t>发送检测报告</w:t>
                              </w:r>
                            </w:p>
                          </w:txbxContent>
                        </v:textbox>
                      </v:rect>
                    </v:group>
                  </w:pict>
                </mc:Fallback>
              </mc:AlternateContent>
            </w:r>
          </w:p>
          <w:p w14:paraId="389B5406">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65E81B18">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36863D25">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67B41D02">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07C63C1E">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14381DC9">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52D3BDBD">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710E0291">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113AD3A8">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13318725">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08F2B0D9">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2B2BA12F">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 xml:space="preserve">7 </w:t>
            </w:r>
            <w:r>
              <w:rPr>
                <w:rFonts w:hint="eastAsia"/>
                <w:color w:val="auto"/>
                <w:sz w:val="24"/>
                <w:szCs w:val="24"/>
                <w:highlight w:val="none"/>
              </w:rPr>
              <w:t xml:space="preserve"> </w:t>
            </w:r>
            <w:r>
              <w:rPr>
                <w:rFonts w:hint="default"/>
                <w:b/>
                <w:bCs/>
                <w:color w:val="auto"/>
                <w:sz w:val="24"/>
                <w:szCs w:val="24"/>
                <w:highlight w:val="none"/>
              </w:rPr>
              <w:t>钠氏试剂分光光度法</w:t>
            </w:r>
            <w:r>
              <w:rPr>
                <w:rFonts w:hint="eastAsia" w:ascii="宋体" w:hAnsi="宋体" w:eastAsia="宋体" w:cs="宋体"/>
                <w:b/>
                <w:bCs/>
                <w:color w:val="auto"/>
                <w:sz w:val="24"/>
                <w:szCs w:val="24"/>
                <w:highlight w:val="none"/>
                <w:lang w:val="en-US" w:eastAsia="zh-CN"/>
              </w:rPr>
              <w:t>检测</w:t>
            </w:r>
            <w:r>
              <w:rPr>
                <w:rFonts w:hint="default" w:ascii="宋体" w:hAnsi="宋体" w:eastAsia="宋体" w:cs="宋体"/>
                <w:b/>
                <w:bCs/>
                <w:color w:val="auto"/>
                <w:sz w:val="24"/>
                <w:szCs w:val="24"/>
                <w:highlight w:val="none"/>
              </w:rPr>
              <w:t>工艺流程及产污环节图</w:t>
            </w:r>
          </w:p>
          <w:p w14:paraId="385C0D5B">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具体操作方法如下：</w:t>
            </w:r>
          </w:p>
          <w:p w14:paraId="7F608953">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细菌总数（平皿计数法）：营养琼脂培养基：成分：蛋白胨、牛肉膏、氯化钠、琼脂，将上述成分或含有上述成分的市售成品溶解于1000ml水中，调节pH至7.4～7.6，分装于玻璃容器中，经121℃高压蒸汽灭菌20min，储存于冷暗处备用。避光、干燥保存，必要时在5℃±3℃冰箱中保存，不得超过1个月。配制好的营养琼脂培养基不能进行多次融化操作，以少量勤配为宜。当培养基颜色变化或脱水明显时应废弃不用。以无菌操作方式用1ml灭菌的移液管吸取充分混匀的样品或稀释样品1ml，注入灭菌平皿中，倾注15～20ml冷却到44～47℃的营养琼脂培养基，并立即旋摇平皿，使样品或稀释样品与培养基充分混匀。每个样品或稀释样品倾注2个平皿。待平皿内的营养琼脂培养基冷却凝固后，翻转平皿，使底面向上（避免因表面水分凝结而影响细菌均匀生长），在36℃±1℃条件下，恒温培养箱内培养48h±2h后观察结果；</w:t>
            </w:r>
          </w:p>
          <w:p w14:paraId="60158391">
            <w:pPr>
              <w:keepNext w:val="0"/>
              <w:keepLines w:val="0"/>
              <w:suppressLineNumbers w:val="0"/>
              <w:bidi w:val="0"/>
              <w:spacing w:before="0" w:beforeAutospacing="0" w:after="0" w:afterAutospacing="0"/>
              <w:ind w:left="0" w:right="0"/>
              <w:rPr>
                <w:rFonts w:hint="default"/>
                <w:b/>
                <w:bCs/>
                <w:color w:val="auto"/>
                <w:highlight w:val="none"/>
              </w:rPr>
            </w:pPr>
            <w:r>
              <w:rPr>
                <w:rFonts w:hint="default"/>
                <w:color w:val="auto"/>
                <w:highlight w:val="none"/>
                <w:lang w:val="en-US" w:eastAsia="zh-CN"/>
              </w:rPr>
              <w:t>粪大肠菌群（多管发酵法）：将样品加入含乳糖蛋白胨培养基的试管中，37℃初发酵富集培养，大肠菌群在培养基中生长繁殖分解乳糖产酸产气，产生的酸使溴甲酚紫指示剂由紫色变为黄色，产生的气体进入倒管中，指示产气。44.5℃复发酵培养，培养基中的胆盐三号可抑制革兰氏阳性菌的生长，最后产气的细菌确定为是粪大肠菌群。通过查MPN表，得出粪大肠菌群浓度值</w:t>
            </w:r>
            <w:r>
              <w:rPr>
                <w:rFonts w:hint="eastAsia"/>
                <w:color w:val="auto"/>
                <w:highlight w:val="none"/>
                <w:lang w:val="en-US" w:eastAsia="zh-CN"/>
              </w:rPr>
              <w:t>。</w:t>
            </w:r>
          </w:p>
          <w:p w14:paraId="1D8D71CD">
            <w:pPr>
              <w:keepNext w:val="0"/>
              <w:keepLines w:val="0"/>
              <w:numPr>
                <w:ilvl w:val="0"/>
                <w:numId w:val="0"/>
              </w:numPr>
              <w:suppressLineNumbers w:val="0"/>
              <w:bidi w:val="0"/>
              <w:spacing w:before="0" w:beforeAutospacing="0" w:after="0" w:afterAutospacing="0"/>
              <w:ind w:left="0" w:leftChars="0" w:right="0" w:rightChars="0" w:firstLine="482" w:firstLineChars="200"/>
              <w:rPr>
                <w:rFonts w:hint="eastAsia"/>
                <w:b/>
                <w:bCs/>
                <w:color w:val="auto"/>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纯水制备</w:t>
            </w:r>
          </w:p>
          <w:p w14:paraId="103292FD">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bCs/>
                <w:color w:val="auto"/>
                <w:highlight w:val="none"/>
              </w:rPr>
            </w:pPr>
            <w:r>
              <w:rPr>
                <w:rFonts w:hint="default"/>
                <w:color w:val="auto"/>
                <w:sz w:val="24"/>
                <w:highlight w:val="none"/>
              </w:rPr>
              <mc:AlternateContent>
                <mc:Choice Requires="wpg">
                  <w:drawing>
                    <wp:anchor distT="0" distB="0" distL="114300" distR="114300" simplePos="0" relativeHeight="251667456" behindDoc="0" locked="0" layoutInCell="1" allowOverlap="1">
                      <wp:simplePos x="0" y="0"/>
                      <wp:positionH relativeFrom="column">
                        <wp:posOffset>422275</wp:posOffset>
                      </wp:positionH>
                      <wp:positionV relativeFrom="paragraph">
                        <wp:posOffset>130175</wp:posOffset>
                      </wp:positionV>
                      <wp:extent cx="3550920" cy="652145"/>
                      <wp:effectExtent l="0" t="0" r="10160" b="15240"/>
                      <wp:wrapNone/>
                      <wp:docPr id="390" name="组合 390"/>
                      <wp:cNvGraphicFramePr/>
                      <a:graphic xmlns:a="http://schemas.openxmlformats.org/drawingml/2006/main">
                        <a:graphicData uri="http://schemas.microsoft.com/office/word/2010/wordprocessingGroup">
                          <wpg:wgp>
                            <wpg:cNvGrpSpPr/>
                            <wpg:grpSpPr>
                              <a:xfrm>
                                <a:off x="0" y="0"/>
                                <a:ext cx="3550920" cy="652145"/>
                                <a:chOff x="5421" y="981570"/>
                                <a:chExt cx="5592" cy="1027"/>
                              </a:xfrm>
                            </wpg:grpSpPr>
                            <wps:wsp>
                              <wps:cNvPr id="373" name="矩形 469"/>
                              <wps:cNvSpPr/>
                              <wps:spPr>
                                <a:xfrm>
                                  <a:off x="7616" y="981712"/>
                                  <a:ext cx="124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FBA22">
                                    <w:pPr>
                                      <w:pStyle w:val="27"/>
                                      <w:bidi w:val="0"/>
                                      <w:rPr>
                                        <w:rFonts w:hint="eastAsia" w:eastAsia="宋体"/>
                                        <w:lang w:val="en-US" w:eastAsia="zh-CN"/>
                                      </w:rPr>
                                    </w:pPr>
                                    <w:r>
                                      <w:rPr>
                                        <w:rFonts w:hint="eastAsia"/>
                                        <w:lang w:val="en-US" w:eastAsia="zh-CN"/>
                                      </w:rPr>
                                      <w:t>纯水机</w:t>
                                    </w:r>
                                  </w:p>
                                </w:txbxContent>
                              </wps:txbx>
                              <wps:bodyPr wrap="square" upright="1"/>
                            </wps:wsp>
                            <wps:wsp>
                              <wps:cNvPr id="374" name="矩形 470"/>
                              <wps:cNvSpPr/>
                              <wps:spPr>
                                <a:xfrm>
                                  <a:off x="5421" y="981707"/>
                                  <a:ext cx="1287" cy="433"/>
                                </a:xfrm>
                                <a:prstGeom prst="rect">
                                  <a:avLst/>
                                </a:prstGeom>
                                <a:solidFill>
                                  <a:srgbClr val="FFFFFF">
                                    <a:alpha val="0"/>
                                  </a:srgbClr>
                                </a:solidFill>
                                <a:ln>
                                  <a:noFill/>
                                </a:ln>
                              </wps:spPr>
                              <wps:txbx>
                                <w:txbxContent>
                                  <w:p w14:paraId="605E656B">
                                    <w:pPr>
                                      <w:pStyle w:val="27"/>
                                      <w:bidi w:val="0"/>
                                      <w:rPr>
                                        <w:rFonts w:hint="eastAsia" w:eastAsia="宋体"/>
                                        <w:lang w:val="en-US" w:eastAsia="zh-CN"/>
                                      </w:rPr>
                                    </w:pPr>
                                    <w:r>
                                      <w:rPr>
                                        <w:rFonts w:hint="eastAsia"/>
                                        <w:lang w:val="en-US" w:eastAsia="zh-CN"/>
                                      </w:rPr>
                                      <w:t>自来水</w:t>
                                    </w:r>
                                  </w:p>
                                </w:txbxContent>
                              </wps:txbx>
                              <wps:bodyPr wrap="square" upright="1"/>
                            </wps:wsp>
                            <wps:wsp>
                              <wps:cNvPr id="375" name="自选图形 471"/>
                              <wps:cNvCnPr/>
                              <wps:spPr>
                                <a:xfrm>
                                  <a:off x="6730" y="981932"/>
                                  <a:ext cx="908" cy="5"/>
                                </a:xfrm>
                                <a:prstGeom prst="straightConnector1">
                                  <a:avLst/>
                                </a:prstGeom>
                                <a:ln w="9525" cap="flat" cmpd="sng">
                                  <a:solidFill>
                                    <a:srgbClr val="000000"/>
                                  </a:solidFill>
                                  <a:prstDash val="solid"/>
                                  <a:headEnd type="none" w="med" len="med"/>
                                  <a:tailEnd type="triangle" w="med" len="med"/>
                                </a:ln>
                              </wps:spPr>
                              <wps:bodyPr/>
                            </wps:wsp>
                            <wps:wsp>
                              <wps:cNvPr id="376" name="自选图形 472"/>
                              <wps:cNvCnPr/>
                              <wps:spPr>
                                <a:xfrm>
                                  <a:off x="8242" y="982151"/>
                                  <a:ext cx="0" cy="447"/>
                                </a:xfrm>
                                <a:prstGeom prst="straightConnector1">
                                  <a:avLst/>
                                </a:prstGeom>
                                <a:ln w="9525" cap="flat" cmpd="sng">
                                  <a:solidFill>
                                    <a:srgbClr val="000000"/>
                                  </a:solidFill>
                                  <a:prstDash val="solid"/>
                                  <a:headEnd type="none" w="med" len="med"/>
                                  <a:tailEnd type="triangle" w="med" len="med"/>
                                </a:ln>
                              </wps:spPr>
                              <wps:bodyPr/>
                            </wps:wsp>
                            <wps:wsp>
                              <wps:cNvPr id="386" name="自选图形 471"/>
                              <wps:cNvCnPr/>
                              <wps:spPr>
                                <a:xfrm>
                                  <a:off x="8854" y="981912"/>
                                  <a:ext cx="908" cy="5"/>
                                </a:xfrm>
                                <a:prstGeom prst="straightConnector1">
                                  <a:avLst/>
                                </a:prstGeom>
                                <a:ln w="9525" cap="flat" cmpd="sng">
                                  <a:solidFill>
                                    <a:srgbClr val="000000"/>
                                  </a:solidFill>
                                  <a:prstDash val="solid"/>
                                  <a:headEnd type="none" w="med" len="med"/>
                                  <a:tailEnd type="triangle" w="med" len="med"/>
                                </a:ln>
                              </wps:spPr>
                              <wps:bodyPr/>
                            </wps:wsp>
                            <wps:wsp>
                              <wps:cNvPr id="387" name="矩形 469"/>
                              <wps:cNvSpPr/>
                              <wps:spPr>
                                <a:xfrm>
                                  <a:off x="9773" y="981712"/>
                                  <a:ext cx="124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C59F90">
                                    <w:pPr>
                                      <w:pStyle w:val="27"/>
                                      <w:bidi w:val="0"/>
                                      <w:rPr>
                                        <w:rFonts w:hint="default" w:eastAsia="宋体"/>
                                        <w:lang w:val="en-US" w:eastAsia="zh-CN"/>
                                      </w:rPr>
                                    </w:pPr>
                                    <w:r>
                                      <w:rPr>
                                        <w:rFonts w:hint="eastAsia"/>
                                        <w:lang w:val="en-US" w:eastAsia="zh-CN"/>
                                      </w:rPr>
                                      <w:t>实验环节</w:t>
                                    </w:r>
                                  </w:p>
                                </w:txbxContent>
                              </wps:txbx>
                              <wps:bodyPr wrap="square" upright="1"/>
                            </wps:wsp>
                            <wps:wsp>
                              <wps:cNvPr id="389" name="矩形 470"/>
                              <wps:cNvSpPr/>
                              <wps:spPr>
                                <a:xfrm>
                                  <a:off x="8700" y="981570"/>
                                  <a:ext cx="1287" cy="433"/>
                                </a:xfrm>
                                <a:prstGeom prst="rect">
                                  <a:avLst/>
                                </a:prstGeom>
                                <a:solidFill>
                                  <a:srgbClr val="FFFFFF">
                                    <a:alpha val="0"/>
                                  </a:srgbClr>
                                </a:solidFill>
                                <a:ln>
                                  <a:noFill/>
                                </a:ln>
                              </wps:spPr>
                              <wps:txbx>
                                <w:txbxContent>
                                  <w:p w14:paraId="1AA8DCAA">
                                    <w:pPr>
                                      <w:pStyle w:val="27"/>
                                      <w:bidi w:val="0"/>
                                      <w:rPr>
                                        <w:rFonts w:hint="eastAsia" w:eastAsia="宋体"/>
                                        <w:lang w:val="en-US" w:eastAsia="zh-CN"/>
                                      </w:rPr>
                                    </w:pPr>
                                    <w:r>
                                      <w:rPr>
                                        <w:rFonts w:hint="eastAsia"/>
                                        <w:lang w:val="en-US" w:eastAsia="zh-CN"/>
                                      </w:rPr>
                                      <w:t>纯水</w:t>
                                    </w:r>
                                  </w:p>
                                </w:txbxContent>
                              </wps:txbx>
                              <wps:bodyPr wrap="square" upright="1"/>
                            </wps:wsp>
                          </wpg:wgp>
                        </a:graphicData>
                      </a:graphic>
                    </wp:anchor>
                  </w:drawing>
                </mc:Choice>
                <mc:Fallback>
                  <w:pict>
                    <v:group id="_x0000_s1026" o:spid="_x0000_s1026" o:spt="203" style="position:absolute;left:0pt;margin-left:33.25pt;margin-top:10.25pt;height:51.35pt;width:279.6pt;z-index:251667456;mso-width-relative:page;mso-height-relative:page;" coordorigin="5421,981570" coordsize="5592,1027" o:gfxdata="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MrWs/DZAAAACQEAAA8AAAAA&#10;AAAAAQAgAAAAIgAAAGRycy9kb3ducmV2LnhtbFBLAQIUABQAAAAIAIdO4kBmN0sMogMAAH8RAAAO&#10;AAAAAAAAAAEAIAAAACgBAABkcnMvZTJvRG9jLnhtbFBLBQYAAAAABgAGAFkBAAA8BwAAAAA=&#10;">
                      <o:lock v:ext="edit" aspectratio="f"/>
                      <v:rect id="矩形 469" o:spid="_x0000_s1026" o:spt="1" style="position:absolute;left:7616;top:981712;height:433;width:1241;" fillcolor="#FFFFFF" filled="t" stroked="t" coordsize="21600,21600" o:gfxdata="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7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9FBA22">
                              <w:pPr>
                                <w:pStyle w:val="27"/>
                                <w:bidi w:val="0"/>
                                <w:rPr>
                                  <w:rFonts w:hint="eastAsia" w:eastAsia="宋体"/>
                                  <w:lang w:val="en-US" w:eastAsia="zh-CN"/>
                                </w:rPr>
                              </w:pPr>
                              <w:r>
                                <w:rPr>
                                  <w:rFonts w:hint="eastAsia"/>
                                  <w:lang w:val="en-US" w:eastAsia="zh-CN"/>
                                </w:rPr>
                                <w:t>纯水机</w:t>
                              </w:r>
                            </w:p>
                          </w:txbxContent>
                        </v:textbox>
                      </v:rect>
                      <v:rect id="矩形 470" o:spid="_x0000_s1026" o:spt="1" style="position:absolute;left:5421;top:981707;height:433;width:1287;" fillcolor="#FFFFFF" filled="t" stroked="f" coordsize="21600,21600" o:gfxdata="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WSg+/&#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605E656B">
                              <w:pPr>
                                <w:pStyle w:val="27"/>
                                <w:bidi w:val="0"/>
                                <w:rPr>
                                  <w:rFonts w:hint="eastAsia" w:eastAsia="宋体"/>
                                  <w:lang w:val="en-US" w:eastAsia="zh-CN"/>
                                </w:rPr>
                              </w:pPr>
                              <w:r>
                                <w:rPr>
                                  <w:rFonts w:hint="eastAsia"/>
                                  <w:lang w:val="en-US" w:eastAsia="zh-CN"/>
                                </w:rPr>
                                <w:t>自来水</w:t>
                              </w:r>
                            </w:p>
                          </w:txbxContent>
                        </v:textbox>
                      </v:rect>
                      <v:shape id="自选图形 471" o:spid="_x0000_s1026" o:spt="32" type="#_x0000_t32" style="position:absolute;left:6730;top:981932;height:5;width:908;" filled="f" stroked="t" coordsize="21600,21600" o:gfxdata="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yXc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472" o:spid="_x0000_s1026" o:spt="32" type="#_x0000_t32" style="position:absolute;left:8242;top:982151;height:447;width:0;" filled="f" stroked="t" coordsize="21600,21600" o:gfxdata="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b6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71" o:spid="_x0000_s1026" o:spt="32" type="#_x0000_t32" style="position:absolute;left:8854;top:981912;height:5;width:908;"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69" o:spid="_x0000_s1026" o:spt="1" style="position:absolute;left:9773;top:981712;height:433;width:1241;" fillcolor="#FFFFFF" filled="t" stroked="t" coordsize="21600,21600" o:gfxdata="UEsDBAoAAAAAAIdO4kAAAAAAAAAAAAAAAAAEAAAAZHJzL1BLAwQUAAAACACHTuJAzw+N0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Jgv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jd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C59F90">
                              <w:pPr>
                                <w:pStyle w:val="27"/>
                                <w:bidi w:val="0"/>
                                <w:rPr>
                                  <w:rFonts w:hint="default" w:eastAsia="宋体"/>
                                  <w:lang w:val="en-US" w:eastAsia="zh-CN"/>
                                </w:rPr>
                              </w:pPr>
                              <w:r>
                                <w:rPr>
                                  <w:rFonts w:hint="eastAsia"/>
                                  <w:lang w:val="en-US" w:eastAsia="zh-CN"/>
                                </w:rPr>
                                <w:t>实验环节</w:t>
                              </w:r>
                            </w:p>
                          </w:txbxContent>
                        </v:textbox>
                      </v:rect>
                      <v:rect id="矩形 470" o:spid="_x0000_s1026" o:spt="1" style="position:absolute;left:8700;top:981570;height:433;width:1287;" fillcolor="#FFFFFF" filled="t" stroked="f" coordsize="21600,21600" o:gfxdata="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Clba/&#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14:paraId="1AA8DCAA">
                              <w:pPr>
                                <w:pStyle w:val="27"/>
                                <w:bidi w:val="0"/>
                                <w:rPr>
                                  <w:rFonts w:hint="eastAsia" w:eastAsia="宋体"/>
                                  <w:lang w:val="en-US" w:eastAsia="zh-CN"/>
                                </w:rPr>
                              </w:pPr>
                              <w:r>
                                <w:rPr>
                                  <w:rFonts w:hint="eastAsia"/>
                                  <w:lang w:val="en-US" w:eastAsia="zh-CN"/>
                                </w:rPr>
                                <w:t>纯水</w:t>
                              </w:r>
                            </w:p>
                          </w:txbxContent>
                        </v:textbox>
                      </v:rect>
                    </v:group>
                  </w:pict>
                </mc:Fallback>
              </mc:AlternateContent>
            </w:r>
          </w:p>
          <w:p w14:paraId="23545641">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0144F468">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p>
          <w:p w14:paraId="197DB513">
            <w:pPr>
              <w:keepNext w:val="0"/>
              <w:keepLines w:val="0"/>
              <w:numPr>
                <w:ilvl w:val="0"/>
                <w:numId w:val="0"/>
              </w:numPr>
              <w:suppressLineNumbers w:val="0"/>
              <w:bidi w:val="0"/>
              <w:spacing w:before="0" w:beforeAutospacing="0" w:after="0" w:afterAutospacing="0"/>
              <w:ind w:left="0" w:leftChars="0" w:right="0" w:rightChars="0" w:firstLine="480" w:firstLineChars="200"/>
              <w:rPr>
                <w:rFonts w:hint="default"/>
                <w:b/>
                <w:bCs/>
                <w:color w:val="auto"/>
                <w:highlight w:val="none"/>
              </w:rPr>
            </w:pPr>
            <w:r>
              <w:rPr>
                <w:rFonts w:hint="default"/>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1562735</wp:posOffset>
                      </wp:positionH>
                      <wp:positionV relativeFrom="paragraph">
                        <wp:posOffset>11430</wp:posOffset>
                      </wp:positionV>
                      <wp:extent cx="1303655" cy="274955"/>
                      <wp:effectExtent l="0" t="0" r="0" b="0"/>
                      <wp:wrapNone/>
                      <wp:docPr id="388" name="矩形 470"/>
                      <wp:cNvGraphicFramePr/>
                      <a:graphic xmlns:a="http://schemas.openxmlformats.org/drawingml/2006/main">
                        <a:graphicData uri="http://schemas.microsoft.com/office/word/2010/wordprocessingShape">
                          <wps:wsp>
                            <wps:cNvSpPr/>
                            <wps:spPr>
                              <a:xfrm>
                                <a:off x="0" y="0"/>
                                <a:ext cx="1303655" cy="274955"/>
                              </a:xfrm>
                              <a:prstGeom prst="rect">
                                <a:avLst/>
                              </a:prstGeom>
                              <a:solidFill>
                                <a:srgbClr val="FFFFFF">
                                  <a:alpha val="0"/>
                                </a:srgbClr>
                              </a:solidFill>
                              <a:ln>
                                <a:noFill/>
                              </a:ln>
                            </wps:spPr>
                            <wps:txbx>
                              <w:txbxContent>
                                <w:p w14:paraId="79D968C1">
                                  <w:pPr>
                                    <w:pStyle w:val="27"/>
                                    <w:bidi w:val="0"/>
                                    <w:rPr>
                                      <w:rFonts w:hint="default" w:eastAsia="宋体"/>
                                      <w:lang w:val="en-US" w:eastAsia="zh-CN"/>
                                    </w:rPr>
                                  </w:pPr>
                                  <w:r>
                                    <w:rPr>
                                      <w:rFonts w:hint="eastAsia"/>
                                      <w:lang w:val="en-US" w:eastAsia="zh-CN"/>
                                    </w:rPr>
                                    <w:t>废水、废过滤膜</w:t>
                                  </w:r>
                                </w:p>
                                <w:p w14:paraId="4157E428">
                                  <w:pPr>
                                    <w:rPr>
                                      <w:rFonts w:hint="eastAsia"/>
                                      <w:lang w:val="en-US" w:eastAsia="zh-CN"/>
                                    </w:rPr>
                                  </w:pPr>
                                </w:p>
                              </w:txbxContent>
                            </wps:txbx>
                            <wps:bodyPr wrap="square" upright="1"/>
                          </wps:wsp>
                        </a:graphicData>
                      </a:graphic>
                    </wp:anchor>
                  </w:drawing>
                </mc:Choice>
                <mc:Fallback>
                  <w:pict>
                    <v:rect id="矩形 470" o:spid="_x0000_s1026" o:spt="1" style="position:absolute;left:0pt;margin-left:123.05pt;margin-top:0.9pt;height:21.65pt;width:102.65pt;z-index:251666432;mso-width-relative:page;mso-height-relative:page;" fillcolor="#FFFFFF" filled="t" stroked="f" coordsize="21600,21600" o:gfxdata="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s6RNzWAAAACAEAAA8AAAAAAAAAAQAgAAAAIgAAAGRy&#10;cy9kb3ducmV2LnhtbFBLAQIUABQAAAAIAIdO4kCkVBqczgEAAJkDAAAOAAAAAAAAAAEAIAAAACUB&#10;AABkcnMvZTJvRG9jLnhtbFBLBQYAAAAABgAGAFkBAABlBQAAAAA=&#10;">
                      <v:fill on="t" opacity="0f" focussize="0,0"/>
                      <v:stroke on="f"/>
                      <v:imagedata o:title=""/>
                      <o:lock v:ext="edit" aspectratio="f"/>
                      <v:textbox>
                        <w:txbxContent>
                          <w:p w14:paraId="79D968C1">
                            <w:pPr>
                              <w:pStyle w:val="27"/>
                              <w:bidi w:val="0"/>
                              <w:rPr>
                                <w:rFonts w:hint="default" w:eastAsia="宋体"/>
                                <w:lang w:val="en-US" w:eastAsia="zh-CN"/>
                              </w:rPr>
                            </w:pPr>
                            <w:r>
                              <w:rPr>
                                <w:rFonts w:hint="eastAsia"/>
                                <w:lang w:val="en-US" w:eastAsia="zh-CN"/>
                              </w:rPr>
                              <w:t>废水、废过滤膜</w:t>
                            </w:r>
                          </w:p>
                          <w:p w14:paraId="4157E428">
                            <w:pPr>
                              <w:rPr>
                                <w:rFonts w:hint="eastAsia"/>
                                <w:lang w:val="en-US" w:eastAsia="zh-CN"/>
                              </w:rPr>
                            </w:pPr>
                          </w:p>
                        </w:txbxContent>
                      </v:textbox>
                    </v:rect>
                  </w:pict>
                </mc:Fallback>
              </mc:AlternateContent>
            </w:r>
          </w:p>
          <w:p w14:paraId="577B97D0">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4"/>
                <w:szCs w:val="24"/>
                <w:highlight w:val="none"/>
              </w:rPr>
            </w:pPr>
            <w:r>
              <w:rPr>
                <w:rFonts w:hint="default"/>
                <w:color w:val="auto"/>
                <w:sz w:val="24"/>
                <w:szCs w:val="24"/>
                <w:highlight w:val="none"/>
              </w:rPr>
              <w:t>图</w:t>
            </w:r>
            <w:r>
              <w:rPr>
                <w:rFonts w:hint="eastAsia"/>
                <w:color w:val="auto"/>
                <w:sz w:val="24"/>
                <w:szCs w:val="24"/>
                <w:highlight w:val="none"/>
              </w:rPr>
              <w:t>2-</w:t>
            </w:r>
            <w:r>
              <w:rPr>
                <w:rFonts w:hint="eastAsia"/>
                <w:color w:val="auto"/>
                <w:sz w:val="24"/>
                <w:szCs w:val="24"/>
                <w:highlight w:val="none"/>
                <w:lang w:val="en-US" w:eastAsia="zh-CN"/>
              </w:rPr>
              <w:t xml:space="preserve">8 </w:t>
            </w:r>
            <w:r>
              <w:rPr>
                <w:rFonts w:hint="eastAsia"/>
                <w:color w:val="auto"/>
                <w:sz w:val="24"/>
                <w:szCs w:val="24"/>
                <w:highlight w:val="none"/>
              </w:rPr>
              <w:t xml:space="preserve"> </w:t>
            </w:r>
            <w:r>
              <w:rPr>
                <w:rFonts w:hint="eastAsia"/>
                <w:color w:val="auto"/>
                <w:sz w:val="24"/>
                <w:szCs w:val="24"/>
                <w:highlight w:val="none"/>
                <w:lang w:val="en-US" w:eastAsia="zh-CN"/>
              </w:rPr>
              <w:t>纯水制备</w:t>
            </w:r>
            <w:r>
              <w:rPr>
                <w:rFonts w:hint="default" w:ascii="宋体" w:hAnsi="宋体" w:eastAsia="宋体" w:cs="宋体"/>
                <w:b/>
                <w:bCs/>
                <w:color w:val="auto"/>
                <w:sz w:val="24"/>
                <w:szCs w:val="24"/>
                <w:highlight w:val="none"/>
              </w:rPr>
              <w:t>工艺流程及产污环节图</w:t>
            </w:r>
          </w:p>
          <w:p w14:paraId="76FA671C">
            <w:pPr>
              <w:keepNext w:val="0"/>
              <w:keepLines w:val="0"/>
              <w:numPr>
                <w:ilvl w:val="0"/>
                <w:numId w:val="0"/>
              </w:numPr>
              <w:suppressLineNumbers w:val="0"/>
              <w:spacing w:before="0" w:beforeAutospacing="0" w:after="0" w:afterAutospacing="0"/>
              <w:ind w:left="0" w:right="0" w:firstLine="480" w:firstLineChars="200"/>
              <w:rPr>
                <w:rFonts w:hint="default"/>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1）</w:t>
            </w:r>
            <w:r>
              <w:rPr>
                <w:rFonts w:hint="default"/>
                <w:b w:val="0"/>
                <w:bCs/>
                <w:color w:val="auto"/>
                <w:sz w:val="24"/>
                <w:szCs w:val="24"/>
                <w:highlight w:val="none"/>
              </w:rPr>
              <w:t>纯水制备：自来水进纯水机后，纯水用于实验室；纯水制备过程中产生的浓水、定期更换的废过滤膜及设备运行中产生的噪声。</w:t>
            </w:r>
          </w:p>
          <w:p w14:paraId="5233F504">
            <w:pPr>
              <w:keepNext w:val="0"/>
              <w:keepLines w:val="0"/>
              <w:numPr>
                <w:ilvl w:val="0"/>
                <w:numId w:val="0"/>
              </w:numPr>
              <w:suppressLineNumbers w:val="0"/>
              <w:spacing w:before="0" w:beforeAutospacing="0" w:after="0" w:afterAutospacing="0"/>
              <w:ind w:left="0" w:right="0" w:firstLine="480" w:firstLineChars="200"/>
              <w:rPr>
                <w:rFonts w:hint="default"/>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2）</w:t>
            </w:r>
            <w:r>
              <w:rPr>
                <w:rFonts w:hint="default"/>
                <w:b w:val="0"/>
                <w:bCs/>
                <w:color w:val="auto"/>
                <w:sz w:val="24"/>
                <w:szCs w:val="24"/>
                <w:highlight w:val="none"/>
              </w:rPr>
              <w:t>实验清洗：制备的纯水用于实验室实验用水和清洗用水</w:t>
            </w:r>
            <w:r>
              <w:rPr>
                <w:rFonts w:hint="eastAsia"/>
                <w:b w:val="0"/>
                <w:bCs/>
                <w:color w:val="auto"/>
                <w:sz w:val="24"/>
                <w:szCs w:val="24"/>
                <w:highlight w:val="none"/>
                <w:lang w:eastAsia="zh-CN"/>
              </w:rPr>
              <w:t>，</w:t>
            </w:r>
            <w:r>
              <w:rPr>
                <w:rFonts w:hint="default"/>
                <w:b w:val="0"/>
                <w:bCs/>
                <w:color w:val="auto"/>
                <w:sz w:val="24"/>
                <w:szCs w:val="24"/>
                <w:highlight w:val="none"/>
              </w:rPr>
              <w:t>实验过程中产生的实验废水和清洗废水。</w:t>
            </w:r>
          </w:p>
          <w:p w14:paraId="6300BC5C">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主要污染工序：</w:t>
            </w:r>
          </w:p>
          <w:p w14:paraId="22FB1DFC">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根据建设项目工艺流程，本项目建设完成后主要污染源及产生的污染物如下：</w:t>
            </w:r>
          </w:p>
          <w:p w14:paraId="736B886D">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2-</w:t>
            </w:r>
            <w:r>
              <w:rPr>
                <w:rFonts w:hint="eastAsia"/>
                <w:color w:val="auto"/>
                <w:highlight w:val="none"/>
                <w:lang w:val="en-US" w:eastAsia="zh-CN"/>
              </w:rPr>
              <w:t>9</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主要产</w:t>
            </w:r>
            <w:r>
              <w:rPr>
                <w:rFonts w:hint="eastAsia"/>
                <w:color w:val="auto"/>
                <w:highlight w:val="none"/>
                <w:lang w:val="en-US" w:eastAsia="zh-CN"/>
              </w:rPr>
              <w:t>污</w:t>
            </w:r>
            <w:r>
              <w:rPr>
                <w:rFonts w:hint="default"/>
                <w:color w:val="auto"/>
                <w:highlight w:val="none"/>
              </w:rPr>
              <w:t>环节和排污特征</w:t>
            </w:r>
          </w:p>
          <w:tbl>
            <w:tblPr>
              <w:tblStyle w:val="18"/>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3290"/>
              <w:gridCol w:w="3650"/>
            </w:tblGrid>
            <w:tr w14:paraId="4FA1A7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tcBorders>
                    <w:top w:val="single" w:color="auto" w:sz="6" w:space="0"/>
                    <w:left w:val="single" w:color="auto" w:sz="6" w:space="0"/>
                    <w:bottom w:val="single" w:color="auto" w:sz="4" w:space="0"/>
                    <w:right w:val="single" w:color="auto" w:sz="4" w:space="0"/>
                  </w:tcBorders>
                  <w:noWrap w:val="0"/>
                  <w:vAlign w:val="center"/>
                </w:tcPr>
                <w:p w14:paraId="423D0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污染物名称</w:t>
                  </w:r>
                </w:p>
              </w:tc>
              <w:tc>
                <w:tcPr>
                  <w:tcW w:w="1971" w:type="pct"/>
                  <w:tcBorders>
                    <w:top w:val="single" w:color="auto" w:sz="6" w:space="0"/>
                    <w:left w:val="single" w:color="auto" w:sz="4" w:space="0"/>
                    <w:bottom w:val="single" w:color="auto" w:sz="4" w:space="0"/>
                    <w:right w:val="single" w:color="auto" w:sz="4" w:space="0"/>
                  </w:tcBorders>
                  <w:noWrap w:val="0"/>
                  <w:vAlign w:val="center"/>
                </w:tcPr>
                <w:p w14:paraId="2A6D8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污染源</w:t>
                  </w:r>
                </w:p>
              </w:tc>
              <w:tc>
                <w:tcPr>
                  <w:tcW w:w="2186" w:type="pct"/>
                  <w:tcBorders>
                    <w:top w:val="single" w:color="auto" w:sz="6" w:space="0"/>
                    <w:left w:val="single" w:color="auto" w:sz="4" w:space="0"/>
                    <w:bottom w:val="single" w:color="auto" w:sz="4" w:space="0"/>
                    <w:right w:val="single" w:color="auto" w:sz="4" w:space="0"/>
                  </w:tcBorders>
                  <w:noWrap w:val="0"/>
                  <w:vAlign w:val="center"/>
                </w:tcPr>
                <w:p w14:paraId="7A487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主要污染物</w:t>
                  </w:r>
                </w:p>
              </w:tc>
            </w:tr>
            <w:tr w14:paraId="2BE4FD4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restart"/>
                  <w:tcBorders>
                    <w:top w:val="single" w:color="auto" w:sz="4" w:space="0"/>
                    <w:left w:val="single" w:color="auto" w:sz="6" w:space="0"/>
                    <w:right w:val="single" w:color="auto" w:sz="4" w:space="0"/>
                  </w:tcBorders>
                  <w:noWrap w:val="0"/>
                  <w:vAlign w:val="center"/>
                </w:tcPr>
                <w:p w14:paraId="700C9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lang w:val="zh-CN"/>
                    </w:rPr>
                    <w:t>废气</w:t>
                  </w:r>
                </w:p>
              </w:tc>
              <w:tc>
                <w:tcPr>
                  <w:tcW w:w="1971" w:type="pct"/>
                  <w:tcBorders>
                    <w:top w:val="single" w:color="auto" w:sz="4" w:space="0"/>
                    <w:left w:val="single" w:color="auto" w:sz="4" w:space="0"/>
                    <w:bottom w:val="single" w:color="auto" w:sz="4" w:space="0"/>
                    <w:right w:val="single" w:color="auto" w:sz="4" w:space="0"/>
                  </w:tcBorders>
                  <w:noWrap w:val="0"/>
                  <w:vAlign w:val="center"/>
                </w:tcPr>
                <w:p w14:paraId="77ECD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光谱室、</w:t>
                  </w:r>
                  <w:r>
                    <w:rPr>
                      <w:rFonts w:hint="default"/>
                      <w:color w:val="auto"/>
                      <w:sz w:val="21"/>
                      <w:szCs w:val="21"/>
                      <w:highlight w:val="none"/>
                      <w:lang w:val="zh-CN"/>
                    </w:rPr>
                    <w:t>无机</w:t>
                  </w:r>
                  <w:r>
                    <w:rPr>
                      <w:rFonts w:hint="eastAsia"/>
                      <w:color w:val="auto"/>
                      <w:sz w:val="21"/>
                      <w:szCs w:val="21"/>
                      <w:highlight w:val="none"/>
                      <w:lang w:val="en-US" w:eastAsia="zh-CN"/>
                    </w:rPr>
                    <w:t>前处理</w:t>
                  </w:r>
                  <w:r>
                    <w:rPr>
                      <w:rFonts w:hint="default"/>
                      <w:color w:val="auto"/>
                      <w:sz w:val="21"/>
                      <w:szCs w:val="21"/>
                      <w:highlight w:val="none"/>
                      <w:lang w:val="zh-CN"/>
                    </w:rPr>
                    <w:t>室</w:t>
                  </w:r>
                  <w:r>
                    <w:rPr>
                      <w:rFonts w:hint="eastAsia"/>
                      <w:color w:val="auto"/>
                      <w:sz w:val="21"/>
                      <w:szCs w:val="21"/>
                      <w:highlight w:val="none"/>
                      <w:lang w:val="zh-CN"/>
                    </w:rPr>
                    <w:t>、</w:t>
                  </w:r>
                  <w:r>
                    <w:rPr>
                      <w:rFonts w:hint="eastAsia"/>
                      <w:color w:val="auto"/>
                      <w:sz w:val="21"/>
                      <w:szCs w:val="21"/>
                      <w:highlight w:val="none"/>
                      <w:lang w:val="en-US" w:eastAsia="zh-CN"/>
                    </w:rPr>
                    <w:t>分析室（一、二）</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45DC8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易挥发性化学品（硫酸、盐酸、氨等）的挥发物</w:t>
                  </w:r>
                </w:p>
              </w:tc>
            </w:tr>
            <w:tr w14:paraId="0E48764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0BAC7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403D1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rPr>
                  </w:pPr>
                  <w:r>
                    <w:rPr>
                      <w:rFonts w:hint="default"/>
                      <w:color w:val="auto"/>
                      <w:sz w:val="21"/>
                      <w:szCs w:val="21"/>
                      <w:highlight w:val="none"/>
                    </w:rPr>
                    <w:t>气相</w:t>
                  </w:r>
                  <w:r>
                    <w:rPr>
                      <w:rFonts w:hint="eastAsia"/>
                      <w:color w:val="auto"/>
                      <w:sz w:val="21"/>
                      <w:szCs w:val="21"/>
                      <w:highlight w:val="none"/>
                      <w:lang w:val="en-US" w:eastAsia="zh-CN"/>
                    </w:rPr>
                    <w:t>色谱</w:t>
                  </w:r>
                  <w:r>
                    <w:rPr>
                      <w:rFonts w:hint="default"/>
                      <w:color w:val="auto"/>
                      <w:sz w:val="21"/>
                      <w:szCs w:val="21"/>
                      <w:highlight w:val="none"/>
                    </w:rPr>
                    <w:t>室</w:t>
                  </w:r>
                  <w:r>
                    <w:rPr>
                      <w:rFonts w:hint="eastAsia"/>
                      <w:color w:val="auto"/>
                      <w:sz w:val="21"/>
                      <w:szCs w:val="21"/>
                      <w:highlight w:val="none"/>
                      <w:lang w:eastAsia="zh-CN"/>
                    </w:rPr>
                    <w:t>、</w:t>
                  </w:r>
                  <w:r>
                    <w:rPr>
                      <w:rFonts w:hint="eastAsia"/>
                      <w:color w:val="auto"/>
                      <w:sz w:val="21"/>
                      <w:szCs w:val="21"/>
                      <w:highlight w:val="none"/>
                      <w:lang w:val="en-US" w:eastAsia="zh-CN"/>
                    </w:rPr>
                    <w:t>比色室、试剂室、</w:t>
                  </w:r>
                  <w:r>
                    <w:rPr>
                      <w:rFonts w:hint="default"/>
                      <w:color w:val="auto"/>
                      <w:sz w:val="21"/>
                      <w:szCs w:val="21"/>
                      <w:highlight w:val="none"/>
                      <w:lang w:val="zh-CN"/>
                    </w:rPr>
                    <w:t>有机</w:t>
                  </w:r>
                  <w:r>
                    <w:rPr>
                      <w:rFonts w:hint="eastAsia"/>
                      <w:color w:val="auto"/>
                      <w:sz w:val="21"/>
                      <w:szCs w:val="21"/>
                      <w:highlight w:val="none"/>
                      <w:lang w:val="en-US" w:eastAsia="zh-CN"/>
                    </w:rPr>
                    <w:t>前处理</w:t>
                  </w:r>
                  <w:r>
                    <w:rPr>
                      <w:rFonts w:hint="default"/>
                      <w:color w:val="auto"/>
                      <w:sz w:val="21"/>
                      <w:szCs w:val="21"/>
                      <w:highlight w:val="none"/>
                      <w:lang w:val="zh-CN"/>
                    </w:rPr>
                    <w:t>室</w:t>
                  </w:r>
                  <w:r>
                    <w:rPr>
                      <w:rFonts w:hint="eastAsia"/>
                      <w:color w:val="auto"/>
                      <w:sz w:val="21"/>
                      <w:szCs w:val="21"/>
                      <w:highlight w:val="none"/>
                      <w:lang w:val="zh-CN"/>
                    </w:rPr>
                    <w:t>、</w:t>
                  </w:r>
                  <w:r>
                    <w:rPr>
                      <w:rFonts w:hint="eastAsia"/>
                      <w:color w:val="auto"/>
                      <w:sz w:val="21"/>
                      <w:szCs w:val="21"/>
                      <w:highlight w:val="none"/>
                      <w:lang w:val="en-US" w:eastAsia="zh-CN"/>
                    </w:rPr>
                    <w:t>高温室、分析室（三）</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2EC27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非甲烷总烃</w:t>
                  </w:r>
                </w:p>
              </w:tc>
            </w:tr>
            <w:tr w14:paraId="583CCCD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30541D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3552F7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嗅辨室</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5E1FDB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臭气</w:t>
                  </w:r>
                </w:p>
              </w:tc>
            </w:tr>
            <w:tr w14:paraId="3922768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bottom w:val="single" w:color="auto" w:sz="4" w:space="0"/>
                    <w:right w:val="single" w:color="auto" w:sz="4" w:space="0"/>
                  </w:tcBorders>
                  <w:noWrap w:val="0"/>
                  <w:vAlign w:val="center"/>
                </w:tcPr>
                <w:p w14:paraId="74455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6151D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土壤制备室</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24A6F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粉尘</w:t>
                  </w:r>
                </w:p>
              </w:tc>
            </w:tr>
            <w:tr w14:paraId="733CA58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restart"/>
                  <w:tcBorders>
                    <w:top w:val="single" w:color="auto" w:sz="4" w:space="0"/>
                    <w:left w:val="single" w:color="auto" w:sz="6" w:space="0"/>
                    <w:right w:val="single" w:color="auto" w:sz="4" w:space="0"/>
                  </w:tcBorders>
                  <w:noWrap w:val="0"/>
                  <w:vAlign w:val="center"/>
                </w:tcPr>
                <w:p w14:paraId="505DD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lang w:val="zh-CN"/>
                    </w:rPr>
                    <w:t>废水</w:t>
                  </w:r>
                </w:p>
              </w:tc>
              <w:tc>
                <w:tcPr>
                  <w:tcW w:w="1971" w:type="pct"/>
                  <w:tcBorders>
                    <w:top w:val="single" w:color="auto" w:sz="4" w:space="0"/>
                    <w:left w:val="single" w:color="auto" w:sz="4" w:space="0"/>
                    <w:bottom w:val="single" w:color="auto" w:sz="4" w:space="0"/>
                    <w:right w:val="single" w:color="auto" w:sz="4" w:space="0"/>
                  </w:tcBorders>
                  <w:noWrap w:val="0"/>
                  <w:vAlign w:val="center"/>
                </w:tcPr>
                <w:p w14:paraId="701A0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rPr>
                    <w:t>实验室清洗废水</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2A8E2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pH、COD</w:t>
                  </w:r>
                  <w:r>
                    <w:rPr>
                      <w:rFonts w:hint="default"/>
                      <w:color w:val="auto"/>
                      <w:sz w:val="21"/>
                      <w:szCs w:val="21"/>
                      <w:highlight w:val="none"/>
                      <w:vertAlign w:val="subscript"/>
                    </w:rPr>
                    <w:t>Cr</w:t>
                  </w:r>
                  <w:r>
                    <w:rPr>
                      <w:rFonts w:hint="default"/>
                      <w:color w:val="auto"/>
                      <w:sz w:val="21"/>
                      <w:szCs w:val="21"/>
                      <w:highlight w:val="none"/>
                    </w:rPr>
                    <w:t>、BOD</w:t>
                  </w:r>
                  <w:r>
                    <w:rPr>
                      <w:rFonts w:hint="default"/>
                      <w:color w:val="auto"/>
                      <w:sz w:val="21"/>
                      <w:szCs w:val="21"/>
                      <w:highlight w:val="none"/>
                      <w:vertAlign w:val="subscript"/>
                    </w:rPr>
                    <w:t>5</w:t>
                  </w:r>
                  <w:r>
                    <w:rPr>
                      <w:rFonts w:hint="default"/>
                      <w:color w:val="auto"/>
                      <w:sz w:val="21"/>
                      <w:szCs w:val="21"/>
                      <w:highlight w:val="none"/>
                    </w:rPr>
                    <w:t>、SS</w:t>
                  </w:r>
                </w:p>
              </w:tc>
            </w:tr>
            <w:tr w14:paraId="4B27A07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23AEF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70CD7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rPr>
                    <w:t>纯水制备产生的浓水</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54D08B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COD</w:t>
                  </w:r>
                  <w:r>
                    <w:rPr>
                      <w:rFonts w:hint="default"/>
                      <w:color w:val="auto"/>
                      <w:sz w:val="21"/>
                      <w:szCs w:val="21"/>
                      <w:highlight w:val="none"/>
                      <w:vertAlign w:val="subscript"/>
                    </w:rPr>
                    <w:t>Cr</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w:t>
                  </w:r>
                </w:p>
              </w:tc>
            </w:tr>
            <w:tr w14:paraId="6D8E465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2E348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35164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rPr>
                    <w:t>实验过程产生的剩余水样</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769B6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w:t>
                  </w:r>
                  <w:r>
                    <w:rPr>
                      <w:rFonts w:hint="eastAsia"/>
                      <w:color w:val="auto"/>
                      <w:sz w:val="21"/>
                      <w:szCs w:val="21"/>
                      <w:highlight w:val="none"/>
                      <w:lang w:eastAsia="zh-CN"/>
                    </w:rPr>
                    <w:t>、</w:t>
                  </w:r>
                  <w:r>
                    <w:rPr>
                      <w:rFonts w:hint="default"/>
                      <w:color w:val="auto"/>
                      <w:sz w:val="21"/>
                      <w:szCs w:val="21"/>
                      <w:highlight w:val="none"/>
                    </w:rPr>
                    <w:t>COD</w:t>
                  </w:r>
                  <w:r>
                    <w:rPr>
                      <w:rFonts w:hint="default"/>
                      <w:color w:val="auto"/>
                      <w:sz w:val="21"/>
                      <w:szCs w:val="21"/>
                      <w:highlight w:val="none"/>
                      <w:vertAlign w:val="subscript"/>
                    </w:rPr>
                    <w:t>Cr</w:t>
                  </w:r>
                  <w:r>
                    <w:rPr>
                      <w:rFonts w:hint="default"/>
                      <w:color w:val="auto"/>
                      <w:sz w:val="21"/>
                      <w:szCs w:val="21"/>
                      <w:highlight w:val="none"/>
                    </w:rPr>
                    <w:t>、BOD</w:t>
                  </w:r>
                  <w:r>
                    <w:rPr>
                      <w:rFonts w:hint="default"/>
                      <w:color w:val="auto"/>
                      <w:sz w:val="21"/>
                      <w:szCs w:val="21"/>
                      <w:highlight w:val="none"/>
                      <w:vertAlign w:val="subscript"/>
                    </w:rPr>
                    <w:t>5</w:t>
                  </w:r>
                  <w:r>
                    <w:rPr>
                      <w:rFonts w:hint="default"/>
                      <w:color w:val="auto"/>
                      <w:sz w:val="21"/>
                      <w:szCs w:val="21"/>
                      <w:highlight w:val="none"/>
                    </w:rPr>
                    <w:t>、SS</w:t>
                  </w:r>
                </w:p>
              </w:tc>
            </w:tr>
            <w:tr w14:paraId="4630000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34A8F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04D08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rPr>
                    <w:t>生活污水</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44D29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w:t>
                  </w:r>
                  <w:r>
                    <w:rPr>
                      <w:rFonts w:hint="eastAsia"/>
                      <w:color w:val="auto"/>
                      <w:sz w:val="21"/>
                      <w:szCs w:val="21"/>
                      <w:highlight w:val="none"/>
                      <w:lang w:eastAsia="zh-CN"/>
                    </w:rPr>
                    <w:t>、</w:t>
                  </w:r>
                  <w:r>
                    <w:rPr>
                      <w:rFonts w:hint="default"/>
                      <w:color w:val="auto"/>
                      <w:sz w:val="21"/>
                      <w:szCs w:val="21"/>
                      <w:highlight w:val="none"/>
                    </w:rPr>
                    <w:t>COD</w:t>
                  </w:r>
                  <w:r>
                    <w:rPr>
                      <w:rFonts w:hint="default"/>
                      <w:color w:val="auto"/>
                      <w:sz w:val="21"/>
                      <w:szCs w:val="21"/>
                      <w:highlight w:val="none"/>
                      <w:vertAlign w:val="subscript"/>
                    </w:rPr>
                    <w:t>Cr</w:t>
                  </w:r>
                  <w:r>
                    <w:rPr>
                      <w:rFonts w:hint="default"/>
                      <w:color w:val="auto"/>
                      <w:sz w:val="21"/>
                      <w:szCs w:val="21"/>
                      <w:highlight w:val="none"/>
                    </w:rPr>
                    <w:t>、BOD</w:t>
                  </w:r>
                  <w:r>
                    <w:rPr>
                      <w:rFonts w:hint="default"/>
                      <w:color w:val="auto"/>
                      <w:sz w:val="21"/>
                      <w:szCs w:val="21"/>
                      <w:highlight w:val="none"/>
                      <w:vertAlign w:val="subscript"/>
                    </w:rPr>
                    <w:t>5</w:t>
                  </w:r>
                  <w:r>
                    <w:rPr>
                      <w:rFonts w:hint="default"/>
                      <w:color w:val="auto"/>
                      <w:sz w:val="21"/>
                      <w:szCs w:val="21"/>
                      <w:highlight w:val="none"/>
                    </w:rPr>
                    <w:t>、SS、NH</w:t>
                  </w:r>
                  <w:r>
                    <w:rPr>
                      <w:rFonts w:hint="default"/>
                      <w:color w:val="auto"/>
                      <w:sz w:val="21"/>
                      <w:szCs w:val="21"/>
                      <w:highlight w:val="none"/>
                      <w:vertAlign w:val="subscript"/>
                    </w:rPr>
                    <w:t>3</w:t>
                  </w:r>
                  <w:r>
                    <w:rPr>
                      <w:rFonts w:hint="default"/>
                      <w:color w:val="auto"/>
                      <w:sz w:val="21"/>
                      <w:szCs w:val="21"/>
                      <w:highlight w:val="none"/>
                    </w:rPr>
                    <w:t>-N</w:t>
                  </w:r>
                </w:p>
              </w:tc>
            </w:tr>
            <w:tr w14:paraId="173FECA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1A4A7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4642D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zh-CN"/>
                    </w:rPr>
                  </w:pPr>
                  <w:r>
                    <w:rPr>
                      <w:rFonts w:hint="default"/>
                      <w:color w:val="auto"/>
                      <w:sz w:val="21"/>
                      <w:szCs w:val="21"/>
                      <w:highlight w:val="none"/>
                    </w:rPr>
                    <w:t>保洁废水</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59738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w:t>
                  </w:r>
                  <w:r>
                    <w:rPr>
                      <w:rFonts w:hint="eastAsia"/>
                      <w:color w:val="auto"/>
                      <w:sz w:val="21"/>
                      <w:szCs w:val="21"/>
                      <w:highlight w:val="none"/>
                      <w:lang w:eastAsia="zh-CN"/>
                    </w:rPr>
                    <w:t>、</w:t>
                  </w:r>
                  <w:r>
                    <w:rPr>
                      <w:rFonts w:hint="default"/>
                      <w:color w:val="auto"/>
                      <w:sz w:val="21"/>
                      <w:szCs w:val="21"/>
                      <w:highlight w:val="none"/>
                    </w:rPr>
                    <w:t>COD</w:t>
                  </w:r>
                  <w:r>
                    <w:rPr>
                      <w:rFonts w:hint="default"/>
                      <w:color w:val="auto"/>
                      <w:sz w:val="21"/>
                      <w:szCs w:val="21"/>
                      <w:highlight w:val="none"/>
                      <w:vertAlign w:val="subscript"/>
                    </w:rPr>
                    <w:t>Cr</w:t>
                  </w:r>
                  <w:r>
                    <w:rPr>
                      <w:rFonts w:hint="default"/>
                      <w:color w:val="auto"/>
                      <w:sz w:val="21"/>
                      <w:szCs w:val="21"/>
                      <w:highlight w:val="none"/>
                    </w:rPr>
                    <w:t>、BOD</w:t>
                  </w:r>
                  <w:r>
                    <w:rPr>
                      <w:rFonts w:hint="default"/>
                      <w:color w:val="auto"/>
                      <w:sz w:val="21"/>
                      <w:szCs w:val="21"/>
                      <w:highlight w:val="none"/>
                      <w:vertAlign w:val="subscript"/>
                    </w:rPr>
                    <w:t>5</w:t>
                  </w:r>
                  <w:r>
                    <w:rPr>
                      <w:rFonts w:hint="default"/>
                      <w:color w:val="auto"/>
                      <w:sz w:val="21"/>
                      <w:szCs w:val="21"/>
                      <w:highlight w:val="none"/>
                    </w:rPr>
                    <w:t>、SS</w:t>
                  </w:r>
                </w:p>
              </w:tc>
            </w:tr>
            <w:tr w14:paraId="0891EE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bottom w:val="single" w:color="auto" w:sz="4" w:space="0"/>
                    <w:right w:val="single" w:color="auto" w:sz="4" w:space="0"/>
                  </w:tcBorders>
                  <w:noWrap w:val="0"/>
                  <w:vAlign w:val="center"/>
                </w:tcPr>
                <w:p w14:paraId="70A19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0C6CC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喷淋废水</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6F24B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pH、COD</w:t>
                  </w:r>
                  <w:r>
                    <w:rPr>
                      <w:rFonts w:hint="default"/>
                      <w:color w:val="auto"/>
                      <w:sz w:val="21"/>
                      <w:szCs w:val="21"/>
                      <w:highlight w:val="none"/>
                      <w:vertAlign w:val="subscript"/>
                    </w:rPr>
                    <w:t>Cr</w:t>
                  </w:r>
                  <w:r>
                    <w:rPr>
                      <w:rFonts w:hint="default"/>
                      <w:color w:val="auto"/>
                      <w:sz w:val="21"/>
                      <w:szCs w:val="21"/>
                      <w:highlight w:val="none"/>
                    </w:rPr>
                    <w:t>、BOD</w:t>
                  </w:r>
                  <w:r>
                    <w:rPr>
                      <w:rFonts w:hint="default"/>
                      <w:color w:val="auto"/>
                      <w:sz w:val="21"/>
                      <w:szCs w:val="21"/>
                      <w:highlight w:val="none"/>
                      <w:vertAlign w:val="subscript"/>
                    </w:rPr>
                    <w:t>5</w:t>
                  </w:r>
                  <w:r>
                    <w:rPr>
                      <w:rFonts w:hint="default"/>
                      <w:color w:val="auto"/>
                      <w:sz w:val="21"/>
                      <w:szCs w:val="21"/>
                      <w:highlight w:val="none"/>
                    </w:rPr>
                    <w:t>、SS</w:t>
                  </w:r>
                </w:p>
              </w:tc>
            </w:tr>
            <w:tr w14:paraId="770B9CF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restart"/>
                  <w:tcBorders>
                    <w:top w:val="single" w:color="auto" w:sz="4" w:space="0"/>
                    <w:left w:val="single" w:color="auto" w:sz="6" w:space="0"/>
                    <w:right w:val="single" w:color="auto" w:sz="4" w:space="0"/>
                  </w:tcBorders>
                  <w:noWrap w:val="0"/>
                  <w:vAlign w:val="center"/>
                </w:tcPr>
                <w:p w14:paraId="1C4AA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固废</w:t>
                  </w:r>
                </w:p>
              </w:tc>
              <w:tc>
                <w:tcPr>
                  <w:tcW w:w="1971" w:type="pct"/>
                  <w:tcBorders>
                    <w:top w:val="single" w:color="auto" w:sz="4" w:space="0"/>
                    <w:left w:val="single" w:color="auto" w:sz="4" w:space="0"/>
                    <w:bottom w:val="single" w:color="auto" w:sz="4" w:space="0"/>
                    <w:right w:val="single" w:color="auto" w:sz="4" w:space="0"/>
                  </w:tcBorders>
                  <w:noWrap w:val="0"/>
                  <w:vAlign w:val="center"/>
                </w:tcPr>
                <w:p w14:paraId="44BEBD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检测过程</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5A587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实验室废物（包括废酸碱、有机废液、重金属废液、</w:t>
                  </w:r>
                  <w:r>
                    <w:rPr>
                      <w:rFonts w:hint="eastAsia"/>
                      <w:color w:val="auto"/>
                      <w:sz w:val="21"/>
                      <w:szCs w:val="21"/>
                      <w:highlight w:val="none"/>
                      <w:lang w:val="en-US" w:eastAsia="zh-CN"/>
                    </w:rPr>
                    <w:t>部分</w:t>
                  </w:r>
                  <w:r>
                    <w:rPr>
                      <w:rFonts w:hint="default"/>
                      <w:color w:val="auto"/>
                      <w:sz w:val="21"/>
                      <w:szCs w:val="21"/>
                      <w:highlight w:val="none"/>
                    </w:rPr>
                    <w:t>清洗废水、废试剂、废试剂空瓶和实验废渣等、废手套）、废活性炭、污水处理设施污泥、</w:t>
                  </w:r>
                </w:p>
              </w:tc>
            </w:tr>
            <w:tr w14:paraId="3151C70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right w:val="single" w:color="auto" w:sz="4" w:space="0"/>
                  </w:tcBorders>
                  <w:noWrap w:val="0"/>
                  <w:vAlign w:val="center"/>
                </w:tcPr>
                <w:p w14:paraId="4977F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p>
              </w:tc>
              <w:tc>
                <w:tcPr>
                  <w:tcW w:w="1971" w:type="pct"/>
                  <w:tcBorders>
                    <w:top w:val="single" w:color="auto" w:sz="4" w:space="0"/>
                    <w:left w:val="single" w:color="auto" w:sz="4" w:space="0"/>
                    <w:bottom w:val="single" w:color="auto" w:sz="4" w:space="0"/>
                    <w:right w:val="single" w:color="auto" w:sz="4" w:space="0"/>
                  </w:tcBorders>
                  <w:noWrap w:val="0"/>
                  <w:vAlign w:val="center"/>
                </w:tcPr>
                <w:p w14:paraId="118D2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日常生活</w:t>
                  </w:r>
                </w:p>
              </w:tc>
              <w:tc>
                <w:tcPr>
                  <w:tcW w:w="2186" w:type="pct"/>
                  <w:tcBorders>
                    <w:top w:val="single" w:color="auto" w:sz="4" w:space="0"/>
                    <w:left w:val="single" w:color="auto" w:sz="4" w:space="0"/>
                    <w:bottom w:val="single" w:color="auto" w:sz="4" w:space="0"/>
                    <w:right w:val="single" w:color="auto" w:sz="4" w:space="0"/>
                  </w:tcBorders>
                  <w:noWrap w:val="0"/>
                  <w:vAlign w:val="center"/>
                </w:tcPr>
                <w:p w14:paraId="57ACDF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生活垃圾</w:t>
                  </w:r>
                </w:p>
              </w:tc>
            </w:tr>
            <w:tr w14:paraId="77A757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tcBorders>
                    <w:left w:val="single" w:color="auto" w:sz="6" w:space="0"/>
                    <w:bottom w:val="single" w:color="auto" w:sz="6" w:space="0"/>
                    <w:right w:val="single" w:color="auto" w:sz="4" w:space="0"/>
                  </w:tcBorders>
                  <w:noWrap w:val="0"/>
                  <w:vAlign w:val="center"/>
                </w:tcPr>
                <w:p w14:paraId="3B800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p>
              </w:tc>
              <w:tc>
                <w:tcPr>
                  <w:tcW w:w="1971" w:type="pct"/>
                  <w:tcBorders>
                    <w:top w:val="single" w:color="auto" w:sz="4" w:space="0"/>
                    <w:left w:val="single" w:color="auto" w:sz="4" w:space="0"/>
                    <w:bottom w:val="single" w:color="auto" w:sz="6" w:space="0"/>
                    <w:right w:val="single" w:color="auto" w:sz="4" w:space="0"/>
                  </w:tcBorders>
                  <w:noWrap w:val="0"/>
                  <w:vAlign w:val="center"/>
                </w:tcPr>
                <w:p w14:paraId="4AA6C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纯水制取</w:t>
                  </w:r>
                </w:p>
              </w:tc>
              <w:tc>
                <w:tcPr>
                  <w:tcW w:w="2186" w:type="pct"/>
                  <w:tcBorders>
                    <w:top w:val="single" w:color="auto" w:sz="4" w:space="0"/>
                    <w:left w:val="single" w:color="auto" w:sz="4" w:space="0"/>
                    <w:bottom w:val="single" w:color="auto" w:sz="6" w:space="0"/>
                    <w:right w:val="single" w:color="auto" w:sz="4" w:space="0"/>
                  </w:tcBorders>
                  <w:noWrap w:val="0"/>
                  <w:vAlign w:val="center"/>
                </w:tcPr>
                <w:p w14:paraId="09A48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废过滤膜</w:t>
                  </w:r>
                </w:p>
              </w:tc>
            </w:tr>
          </w:tbl>
          <w:p w14:paraId="6115B987">
            <w:pPr>
              <w:keepNext w:val="0"/>
              <w:keepLines w:val="0"/>
              <w:suppressLineNumbers w:val="0"/>
              <w:spacing w:before="0" w:beforeAutospacing="0" w:after="0" w:afterAutospacing="0" w:line="360" w:lineRule="auto"/>
              <w:ind w:left="0" w:right="0" w:firstLine="480" w:firstLineChars="200"/>
              <w:rPr>
                <w:rFonts w:hint="default"/>
                <w:color w:val="auto"/>
                <w:highlight w:val="none"/>
              </w:rPr>
            </w:pPr>
          </w:p>
        </w:tc>
      </w:tr>
      <w:tr w14:paraId="45F63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10" w:type="dxa"/>
            <w:noWrap w:val="0"/>
            <w:vAlign w:val="center"/>
          </w:tcPr>
          <w:p w14:paraId="4B255A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Cs w:val="24"/>
                <w:highlight w:val="none"/>
                <w:lang w:val="en-US" w:eastAsia="zh-CN"/>
              </w:rPr>
            </w:pPr>
            <w:r>
              <w:rPr>
                <w:rFonts w:hint="default" w:ascii="Times New Roman" w:hAnsi="Times New Roman"/>
                <w:bCs/>
                <w:color w:val="auto"/>
                <w:kern w:val="2"/>
                <w:szCs w:val="24"/>
                <w:highlight w:val="none"/>
                <w:lang w:val="en-US" w:eastAsia="zh-CN"/>
              </w:rPr>
              <w:t>与项目有关的原有环境污染问题</w:t>
            </w:r>
          </w:p>
        </w:tc>
        <w:tc>
          <w:tcPr>
            <w:tcW w:w="8588" w:type="dxa"/>
            <w:noWrap w:val="0"/>
            <w:vAlign w:val="top"/>
          </w:tcPr>
          <w:p w14:paraId="483192F7">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与本项目有关的原有污染情况及主要环境问题：</w:t>
            </w:r>
          </w:p>
          <w:p w14:paraId="2E9D5877">
            <w:pPr>
              <w:keepNext w:val="0"/>
              <w:keepLines w:val="0"/>
              <w:suppressLineNumbers w:val="0"/>
              <w:bidi w:val="0"/>
              <w:spacing w:before="0" w:beforeAutospacing="0" w:after="0" w:afterAutospacing="0"/>
              <w:ind w:left="0" w:right="0"/>
              <w:rPr>
                <w:rFonts w:hint="eastAsia"/>
                <w:color w:val="auto"/>
                <w:sz w:val="24"/>
                <w:szCs w:val="24"/>
                <w:highlight w:val="none"/>
              </w:rPr>
            </w:pPr>
            <w:r>
              <w:rPr>
                <w:rFonts w:hint="eastAsia"/>
                <w:color w:val="auto"/>
                <w:sz w:val="24"/>
                <w:szCs w:val="24"/>
                <w:highlight w:val="none"/>
                <w:lang w:val="en-US" w:eastAsia="zh-CN"/>
              </w:rPr>
              <w:t>企业</w:t>
            </w:r>
            <w:r>
              <w:rPr>
                <w:rFonts w:hint="default"/>
                <w:color w:val="auto"/>
                <w:sz w:val="24"/>
                <w:szCs w:val="24"/>
                <w:highlight w:val="none"/>
              </w:rPr>
              <w:t>计划租赁</w:t>
            </w:r>
            <w:r>
              <w:rPr>
                <w:rFonts w:hint="eastAsia"/>
                <w:color w:val="auto"/>
                <w:highlight w:val="none"/>
                <w:lang w:val="en-US" w:eastAsia="zh-CN"/>
              </w:rPr>
              <w:t>淮南宜青环境检测有限公司</w:t>
            </w:r>
            <w:r>
              <w:rPr>
                <w:rFonts w:hint="eastAsia"/>
                <w:color w:val="auto"/>
                <w:sz w:val="24"/>
                <w:szCs w:val="24"/>
                <w:highlight w:val="none"/>
                <w:lang w:val="en-US" w:eastAsia="zh-CN"/>
              </w:rPr>
              <w:t>进行本项目建设，</w:t>
            </w:r>
            <w:r>
              <w:rPr>
                <w:rFonts w:hint="eastAsia" w:ascii="Times New Roman" w:hAnsi="Times New Roman" w:eastAsia="宋体" w:cs="Times New Roman"/>
                <w:color w:val="auto"/>
                <w:kern w:val="2"/>
                <w:sz w:val="24"/>
                <w:szCs w:val="24"/>
                <w:highlight w:val="none"/>
                <w:lang w:val="en-US" w:eastAsia="zh-CN" w:bidi="ar-SA"/>
              </w:rPr>
              <w:t>根据现场踏勘，</w:t>
            </w:r>
            <w:r>
              <w:rPr>
                <w:rFonts w:hint="eastAsia" w:cs="Times New Roman"/>
                <w:color w:val="auto"/>
                <w:kern w:val="2"/>
                <w:sz w:val="24"/>
                <w:szCs w:val="24"/>
                <w:highlight w:val="none"/>
                <w:lang w:val="en-US" w:eastAsia="zh-CN" w:bidi="ar-SA"/>
              </w:rPr>
              <w:t>办公楼目前闲置，经了解办公楼为</w:t>
            </w:r>
            <w:r>
              <w:rPr>
                <w:rFonts w:hint="eastAsia"/>
                <w:color w:val="auto"/>
                <w:highlight w:val="none"/>
                <w:lang w:val="en-US" w:eastAsia="zh-CN"/>
              </w:rPr>
              <w:t>淮南宜青环境检测有限公司新购置，未曾投入生产使用</w:t>
            </w:r>
            <w:r>
              <w:rPr>
                <w:rFonts w:hint="eastAsia" w:cs="Times New Roman"/>
                <w:color w:val="auto"/>
                <w:kern w:val="2"/>
                <w:sz w:val="24"/>
                <w:szCs w:val="24"/>
                <w:highlight w:val="none"/>
                <w:lang w:val="en-US" w:eastAsia="zh-CN" w:bidi="ar-SA"/>
              </w:rPr>
              <w:t>，</w:t>
            </w:r>
            <w:r>
              <w:rPr>
                <w:rFonts w:hint="eastAsia"/>
                <w:color w:val="auto"/>
                <w:sz w:val="24"/>
                <w:szCs w:val="24"/>
                <w:highlight w:val="none"/>
              </w:rPr>
              <w:t>未发生过环境污染事件，不存在与原有项目有关的环境问题。</w:t>
            </w:r>
          </w:p>
          <w:p w14:paraId="78CAAB84">
            <w:pPr>
              <w:keepNext w:val="0"/>
              <w:keepLines w:val="0"/>
              <w:suppressLineNumbers w:val="0"/>
              <w:bidi w:val="0"/>
              <w:spacing w:before="0" w:beforeAutospacing="0" w:after="0" w:afterAutospacing="0"/>
              <w:ind w:left="0" w:right="0"/>
              <w:rPr>
                <w:rFonts w:hint="eastAsia"/>
                <w:color w:val="auto"/>
                <w:highlight w:val="none"/>
              </w:rPr>
            </w:pPr>
          </w:p>
          <w:p w14:paraId="2DCA029E">
            <w:pPr>
              <w:keepNext w:val="0"/>
              <w:keepLines w:val="0"/>
              <w:suppressLineNumbers w:val="0"/>
              <w:bidi w:val="0"/>
              <w:spacing w:before="0" w:beforeAutospacing="0" w:after="0" w:afterAutospacing="0"/>
              <w:ind w:left="0" w:right="0"/>
              <w:rPr>
                <w:rFonts w:hint="eastAsia"/>
                <w:color w:val="auto"/>
                <w:highlight w:val="none"/>
              </w:rPr>
            </w:pPr>
          </w:p>
          <w:p w14:paraId="7B5DE9B8">
            <w:pPr>
              <w:keepNext w:val="0"/>
              <w:keepLines w:val="0"/>
              <w:suppressLineNumbers w:val="0"/>
              <w:bidi w:val="0"/>
              <w:spacing w:before="0" w:beforeAutospacing="0" w:after="0" w:afterAutospacing="0"/>
              <w:ind w:left="0" w:right="0"/>
              <w:rPr>
                <w:rFonts w:hint="eastAsia"/>
                <w:color w:val="auto"/>
                <w:highlight w:val="none"/>
              </w:rPr>
            </w:pPr>
          </w:p>
          <w:p w14:paraId="50E22E49">
            <w:pPr>
              <w:keepNext w:val="0"/>
              <w:keepLines w:val="0"/>
              <w:suppressLineNumbers w:val="0"/>
              <w:bidi w:val="0"/>
              <w:spacing w:before="0" w:beforeAutospacing="0" w:after="0" w:afterAutospacing="0"/>
              <w:ind w:left="0" w:right="0"/>
              <w:rPr>
                <w:rFonts w:hint="eastAsia"/>
                <w:color w:val="auto"/>
                <w:highlight w:val="none"/>
              </w:rPr>
            </w:pPr>
          </w:p>
          <w:p w14:paraId="0C68F8B0">
            <w:pPr>
              <w:keepNext w:val="0"/>
              <w:keepLines w:val="0"/>
              <w:suppressLineNumbers w:val="0"/>
              <w:bidi w:val="0"/>
              <w:spacing w:before="0" w:beforeAutospacing="0" w:after="0" w:afterAutospacing="0"/>
              <w:ind w:left="0" w:right="0"/>
              <w:rPr>
                <w:rFonts w:hint="eastAsia"/>
                <w:color w:val="auto"/>
                <w:highlight w:val="none"/>
              </w:rPr>
            </w:pPr>
          </w:p>
          <w:p w14:paraId="7C43EB47">
            <w:pPr>
              <w:keepNext w:val="0"/>
              <w:keepLines w:val="0"/>
              <w:suppressLineNumbers w:val="0"/>
              <w:bidi w:val="0"/>
              <w:spacing w:before="0" w:beforeAutospacing="0" w:after="0" w:afterAutospacing="0"/>
              <w:ind w:left="0" w:right="0"/>
              <w:rPr>
                <w:rFonts w:hint="eastAsia"/>
                <w:color w:val="auto"/>
                <w:highlight w:val="none"/>
              </w:rPr>
            </w:pPr>
          </w:p>
          <w:p w14:paraId="1A2FBEA6">
            <w:pPr>
              <w:keepNext w:val="0"/>
              <w:keepLines w:val="0"/>
              <w:suppressLineNumbers w:val="0"/>
              <w:bidi w:val="0"/>
              <w:spacing w:before="0" w:beforeAutospacing="0" w:after="0" w:afterAutospacing="0"/>
              <w:ind w:left="0" w:right="0"/>
              <w:rPr>
                <w:rFonts w:hint="eastAsia"/>
                <w:color w:val="auto"/>
                <w:highlight w:val="none"/>
              </w:rPr>
            </w:pPr>
          </w:p>
          <w:p w14:paraId="3CBBBF75">
            <w:pPr>
              <w:keepNext w:val="0"/>
              <w:keepLines w:val="0"/>
              <w:suppressLineNumbers w:val="0"/>
              <w:bidi w:val="0"/>
              <w:spacing w:before="0" w:beforeAutospacing="0" w:after="0" w:afterAutospacing="0"/>
              <w:ind w:left="0" w:right="0"/>
              <w:rPr>
                <w:rFonts w:hint="eastAsia"/>
                <w:color w:val="auto"/>
                <w:highlight w:val="none"/>
              </w:rPr>
            </w:pPr>
          </w:p>
          <w:p w14:paraId="529FA221">
            <w:pPr>
              <w:keepNext w:val="0"/>
              <w:keepLines w:val="0"/>
              <w:suppressLineNumbers w:val="0"/>
              <w:bidi w:val="0"/>
              <w:spacing w:before="0" w:beforeAutospacing="0" w:after="0" w:afterAutospacing="0"/>
              <w:ind w:left="0" w:right="0"/>
              <w:rPr>
                <w:rFonts w:hint="eastAsia"/>
                <w:color w:val="auto"/>
                <w:highlight w:val="none"/>
              </w:rPr>
            </w:pPr>
          </w:p>
          <w:p w14:paraId="61E374AD">
            <w:pPr>
              <w:keepNext w:val="0"/>
              <w:keepLines w:val="0"/>
              <w:suppressLineNumbers w:val="0"/>
              <w:bidi w:val="0"/>
              <w:spacing w:before="0" w:beforeAutospacing="0" w:after="0" w:afterAutospacing="0"/>
              <w:ind w:left="0" w:right="0"/>
              <w:rPr>
                <w:rFonts w:hint="eastAsia"/>
                <w:color w:val="auto"/>
                <w:highlight w:val="none"/>
              </w:rPr>
            </w:pPr>
          </w:p>
          <w:p w14:paraId="73CFA79C">
            <w:pPr>
              <w:keepNext w:val="0"/>
              <w:keepLines w:val="0"/>
              <w:suppressLineNumbers w:val="0"/>
              <w:bidi w:val="0"/>
              <w:spacing w:before="0" w:beforeAutospacing="0" w:after="0" w:afterAutospacing="0"/>
              <w:ind w:left="0" w:right="0"/>
              <w:rPr>
                <w:rFonts w:hint="eastAsia"/>
                <w:color w:val="auto"/>
                <w:highlight w:val="none"/>
              </w:rPr>
            </w:pPr>
          </w:p>
          <w:p w14:paraId="46CE90F8">
            <w:pPr>
              <w:keepNext w:val="0"/>
              <w:keepLines w:val="0"/>
              <w:suppressLineNumbers w:val="0"/>
              <w:bidi w:val="0"/>
              <w:spacing w:before="0" w:beforeAutospacing="0" w:after="0" w:afterAutospacing="0"/>
              <w:ind w:left="0" w:right="0"/>
              <w:rPr>
                <w:rFonts w:hint="eastAsia"/>
                <w:color w:val="auto"/>
                <w:highlight w:val="none"/>
              </w:rPr>
            </w:pPr>
          </w:p>
          <w:p w14:paraId="0AC474E6">
            <w:pPr>
              <w:keepNext w:val="0"/>
              <w:keepLines w:val="0"/>
              <w:suppressLineNumbers w:val="0"/>
              <w:bidi w:val="0"/>
              <w:spacing w:before="0" w:beforeAutospacing="0" w:after="0" w:afterAutospacing="0"/>
              <w:ind w:left="0" w:right="0"/>
              <w:rPr>
                <w:rFonts w:hint="eastAsia"/>
                <w:color w:val="auto"/>
                <w:highlight w:val="none"/>
              </w:rPr>
            </w:pPr>
          </w:p>
          <w:p w14:paraId="35C16B63">
            <w:pPr>
              <w:keepNext w:val="0"/>
              <w:keepLines w:val="0"/>
              <w:suppressLineNumbers w:val="0"/>
              <w:bidi w:val="0"/>
              <w:spacing w:before="0" w:beforeAutospacing="0" w:after="0" w:afterAutospacing="0"/>
              <w:ind w:left="0" w:right="0"/>
              <w:rPr>
                <w:rFonts w:hint="eastAsia"/>
                <w:color w:val="auto"/>
                <w:highlight w:val="none"/>
              </w:rPr>
            </w:pPr>
          </w:p>
          <w:p w14:paraId="587D2A3C">
            <w:pPr>
              <w:keepNext w:val="0"/>
              <w:keepLines w:val="0"/>
              <w:suppressLineNumbers w:val="0"/>
              <w:bidi w:val="0"/>
              <w:spacing w:before="0" w:beforeAutospacing="0" w:after="0" w:afterAutospacing="0"/>
              <w:ind w:left="0" w:right="0"/>
              <w:rPr>
                <w:rFonts w:hint="eastAsia"/>
                <w:color w:val="auto"/>
                <w:highlight w:val="none"/>
              </w:rPr>
            </w:pPr>
          </w:p>
          <w:p w14:paraId="24D043CC">
            <w:pPr>
              <w:keepNext w:val="0"/>
              <w:keepLines w:val="0"/>
              <w:suppressLineNumbers w:val="0"/>
              <w:bidi w:val="0"/>
              <w:spacing w:before="0" w:beforeAutospacing="0" w:after="0" w:afterAutospacing="0"/>
              <w:ind w:left="0" w:right="0"/>
              <w:rPr>
                <w:rFonts w:hint="eastAsia"/>
                <w:color w:val="auto"/>
                <w:highlight w:val="none"/>
              </w:rPr>
            </w:pPr>
          </w:p>
          <w:p w14:paraId="513D3481">
            <w:pPr>
              <w:keepNext w:val="0"/>
              <w:keepLines w:val="0"/>
              <w:suppressLineNumbers w:val="0"/>
              <w:bidi w:val="0"/>
              <w:spacing w:before="0" w:beforeAutospacing="0" w:after="0" w:afterAutospacing="0"/>
              <w:ind w:left="0" w:right="0"/>
              <w:rPr>
                <w:rFonts w:hint="eastAsia"/>
                <w:color w:val="auto"/>
                <w:highlight w:val="none"/>
              </w:rPr>
            </w:pPr>
          </w:p>
          <w:p w14:paraId="3AF5BF72">
            <w:pPr>
              <w:keepNext w:val="0"/>
              <w:keepLines w:val="0"/>
              <w:suppressLineNumbers w:val="0"/>
              <w:bidi w:val="0"/>
              <w:spacing w:before="0" w:beforeAutospacing="0" w:after="0" w:afterAutospacing="0"/>
              <w:ind w:left="0" w:right="0"/>
              <w:rPr>
                <w:rFonts w:hint="eastAsia"/>
                <w:color w:val="auto"/>
                <w:highlight w:val="none"/>
              </w:rPr>
            </w:pPr>
          </w:p>
          <w:p w14:paraId="52B7D14E">
            <w:pPr>
              <w:keepNext w:val="0"/>
              <w:keepLines w:val="0"/>
              <w:suppressLineNumbers w:val="0"/>
              <w:bidi w:val="0"/>
              <w:spacing w:before="0" w:beforeAutospacing="0" w:after="0" w:afterAutospacing="0"/>
              <w:ind w:left="0" w:right="0"/>
              <w:rPr>
                <w:rFonts w:hint="eastAsia"/>
                <w:color w:val="auto"/>
                <w:highlight w:val="none"/>
              </w:rPr>
            </w:pPr>
          </w:p>
          <w:p w14:paraId="441C611D">
            <w:pPr>
              <w:keepNext w:val="0"/>
              <w:keepLines w:val="0"/>
              <w:suppressLineNumbers w:val="0"/>
              <w:bidi w:val="0"/>
              <w:spacing w:before="0" w:beforeAutospacing="0" w:after="0" w:afterAutospacing="0"/>
              <w:ind w:left="0" w:right="0"/>
              <w:rPr>
                <w:rFonts w:hint="eastAsia"/>
                <w:color w:val="auto"/>
                <w:highlight w:val="none"/>
              </w:rPr>
            </w:pPr>
          </w:p>
          <w:p w14:paraId="2402131E">
            <w:pPr>
              <w:keepNext w:val="0"/>
              <w:keepLines w:val="0"/>
              <w:suppressLineNumbers w:val="0"/>
              <w:bidi w:val="0"/>
              <w:spacing w:before="0" w:beforeAutospacing="0" w:after="0" w:afterAutospacing="0"/>
              <w:ind w:left="0" w:right="0"/>
              <w:rPr>
                <w:rFonts w:hint="eastAsia"/>
                <w:color w:val="auto"/>
                <w:highlight w:val="none"/>
              </w:rPr>
            </w:pPr>
          </w:p>
          <w:p w14:paraId="0DDFE85D">
            <w:pPr>
              <w:keepNext w:val="0"/>
              <w:keepLines w:val="0"/>
              <w:suppressLineNumbers w:val="0"/>
              <w:bidi w:val="0"/>
              <w:spacing w:before="0" w:beforeAutospacing="0" w:after="0" w:afterAutospacing="0"/>
              <w:ind w:left="0" w:right="0"/>
              <w:rPr>
                <w:rFonts w:hint="eastAsia"/>
                <w:color w:val="auto"/>
                <w:highlight w:val="none"/>
              </w:rPr>
            </w:pPr>
          </w:p>
          <w:p w14:paraId="1CEAC41F">
            <w:pPr>
              <w:keepNext w:val="0"/>
              <w:keepLines w:val="0"/>
              <w:suppressLineNumbers w:val="0"/>
              <w:bidi w:val="0"/>
              <w:spacing w:before="0" w:beforeAutospacing="0" w:after="0" w:afterAutospacing="0"/>
              <w:ind w:left="0" w:right="0"/>
              <w:rPr>
                <w:rFonts w:hint="eastAsia"/>
                <w:color w:val="auto"/>
                <w:highlight w:val="none"/>
              </w:rPr>
            </w:pPr>
          </w:p>
          <w:p w14:paraId="20D8CE2C">
            <w:pPr>
              <w:keepNext w:val="0"/>
              <w:keepLines w:val="0"/>
              <w:suppressLineNumbers w:val="0"/>
              <w:bidi w:val="0"/>
              <w:spacing w:before="0" w:beforeAutospacing="0" w:after="0" w:afterAutospacing="0"/>
              <w:ind w:left="0" w:right="0"/>
              <w:rPr>
                <w:rFonts w:hint="eastAsia"/>
                <w:color w:val="auto"/>
                <w:highlight w:val="none"/>
              </w:rPr>
            </w:pPr>
          </w:p>
          <w:p w14:paraId="6F7AFA61">
            <w:pPr>
              <w:keepNext w:val="0"/>
              <w:keepLines w:val="0"/>
              <w:suppressLineNumbers w:val="0"/>
              <w:bidi w:val="0"/>
              <w:spacing w:before="0" w:beforeAutospacing="0" w:after="0" w:afterAutospacing="0"/>
              <w:ind w:left="0" w:right="0"/>
              <w:rPr>
                <w:rFonts w:hint="eastAsia"/>
                <w:color w:val="auto"/>
                <w:highlight w:val="none"/>
              </w:rPr>
            </w:pPr>
          </w:p>
        </w:tc>
      </w:tr>
    </w:tbl>
    <w:p w14:paraId="2CC56451">
      <w:pPr>
        <w:jc w:val="center"/>
        <w:rPr>
          <w:rFonts w:hint="eastAsia" w:ascii="Times New Roman" w:hAnsi="Times New Roman" w:eastAsia="黑体"/>
          <w:snapToGrid w:val="0"/>
          <w:color w:val="auto"/>
          <w:sz w:val="36"/>
          <w:szCs w:val="36"/>
          <w:highlight w:val="none"/>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1EA9FC60">
      <w:pPr>
        <w:pStyle w:val="3"/>
        <w:bidi w:val="0"/>
        <w:rPr>
          <w:color w:val="auto"/>
          <w:highlight w:val="none"/>
        </w:rPr>
      </w:pPr>
      <w:r>
        <w:rPr>
          <w:color w:val="auto"/>
          <w:highlight w:val="none"/>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839E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00" w:type="dxa"/>
            <w:noWrap w:val="0"/>
            <w:vAlign w:val="center"/>
          </w:tcPr>
          <w:p w14:paraId="12C66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区域</w:t>
            </w:r>
          </w:p>
          <w:p w14:paraId="30C47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环境</w:t>
            </w:r>
          </w:p>
          <w:p w14:paraId="4B7C5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质量</w:t>
            </w:r>
          </w:p>
          <w:p w14:paraId="7370D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kern w:val="0"/>
                <w:szCs w:val="21"/>
                <w:highlight w:val="none"/>
              </w:rPr>
            </w:pPr>
            <w:r>
              <w:rPr>
                <w:rFonts w:hint="default"/>
                <w:color w:val="auto"/>
                <w:highlight w:val="none"/>
              </w:rPr>
              <w:t>现状</w:t>
            </w:r>
          </w:p>
        </w:tc>
        <w:tc>
          <w:tcPr>
            <w:tcW w:w="8190" w:type="dxa"/>
            <w:noWrap w:val="0"/>
            <w:vAlign w:val="center"/>
          </w:tcPr>
          <w:p w14:paraId="272E6D0C">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建设项目所在地区环境质量现状及主要环境问题</w:t>
            </w:r>
            <w:r>
              <w:rPr>
                <w:rFonts w:hint="eastAsia"/>
                <w:b/>
                <w:bCs/>
                <w:color w:val="auto"/>
                <w:highlight w:val="none"/>
                <w:lang w:eastAsia="zh-CN"/>
              </w:rPr>
              <w:t>（</w:t>
            </w:r>
            <w:r>
              <w:rPr>
                <w:rFonts w:hint="default"/>
                <w:b/>
                <w:bCs/>
                <w:color w:val="auto"/>
                <w:highlight w:val="none"/>
              </w:rPr>
              <w:t>空气、地面水、地下水、声环境、生态环境等</w:t>
            </w:r>
            <w:r>
              <w:rPr>
                <w:rFonts w:hint="eastAsia"/>
                <w:b/>
                <w:bCs/>
                <w:color w:val="auto"/>
                <w:highlight w:val="none"/>
                <w:lang w:eastAsia="zh-CN"/>
              </w:rPr>
              <w:t>）</w:t>
            </w:r>
          </w:p>
          <w:p w14:paraId="7744FFB7">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1、</w:t>
            </w:r>
            <w:r>
              <w:rPr>
                <w:rFonts w:hint="default"/>
                <w:b/>
                <w:bCs/>
                <w:color w:val="auto"/>
                <w:highlight w:val="none"/>
              </w:rPr>
              <w:t>大气环境质量现状</w:t>
            </w:r>
          </w:p>
          <w:p w14:paraId="592D1780">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根据《环境影响评价技术导则 大气环境》（HJ2.2-2018）要求，需调查项目所在区域环境质量达标情况，判定所在地区域是否为达标区，项目所在区域达标情况判定优先采用国家或地方生态环境主管部门公开发布的环境质量公告或环境质量报告中的数据或结论。</w:t>
            </w:r>
          </w:p>
          <w:p w14:paraId="4063C632">
            <w:pPr>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szCs w:val="21"/>
                <w:highlight w:val="none"/>
              </w:rPr>
            </w:pPr>
            <w:r>
              <w:rPr>
                <w:rFonts w:hint="eastAsia"/>
                <w:color w:val="auto"/>
                <w:highlight w:val="none"/>
              </w:rPr>
              <w:t>根据《202</w:t>
            </w:r>
            <w:r>
              <w:rPr>
                <w:rFonts w:hint="eastAsia"/>
                <w:color w:val="auto"/>
                <w:highlight w:val="none"/>
                <w:lang w:val="en-US" w:eastAsia="zh-CN"/>
              </w:rPr>
              <w:t>4</w:t>
            </w:r>
            <w:r>
              <w:rPr>
                <w:rFonts w:hint="eastAsia"/>
                <w:color w:val="auto"/>
                <w:highlight w:val="none"/>
              </w:rPr>
              <w:t>年淮南市环境质量状况公报》，根据AQI标准六个空气质量级别的划分，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细颗粒物（</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rPr>
              <w:t>）日均浓度范围为8～252微克/立方米，日均值达标率为93.0%。年均值为38.7微克/立方米，与上年相比下降了4.4个百分点。可吸入颗粒物（</w:t>
            </w:r>
            <w:r>
              <w:rPr>
                <w:rFonts w:hint="eastAsia"/>
                <w:color w:val="auto"/>
                <w:highlight w:val="none"/>
                <w:lang w:val="en"/>
              </w:rPr>
              <w:t>PM</w:t>
            </w:r>
            <w:r>
              <w:rPr>
                <w:rFonts w:hint="eastAsia"/>
                <w:color w:val="auto"/>
                <w:highlight w:val="none"/>
                <w:vertAlign w:val="subscript"/>
                <w:lang w:val="en"/>
              </w:rPr>
              <w:t>10</w:t>
            </w:r>
            <w:r>
              <w:rPr>
                <w:rFonts w:hint="eastAsia"/>
                <w:color w:val="auto"/>
                <w:highlight w:val="none"/>
              </w:rPr>
              <w:t>）日均浓度范围为12～313微克/立方米，日均值达标率为97.6%。年均值为65.9微克/立方米，与上年相比下降了0.8个百分点。二氧化氮（NO</w:t>
            </w:r>
            <w:r>
              <w:rPr>
                <w:rFonts w:hint="eastAsia"/>
                <w:color w:val="auto"/>
                <w:highlight w:val="none"/>
                <w:vertAlign w:val="subscript"/>
              </w:rPr>
              <w:t>2</w:t>
            </w:r>
            <w:r>
              <w:rPr>
                <w:rFonts w:hint="eastAsia"/>
                <w:color w:val="auto"/>
                <w:highlight w:val="none"/>
              </w:rPr>
              <w:t>）日均浓度范围为6～70微克/立方米，日均值达标率为100%。年均浓度为21微克/立方米，与上年相比上升了10.5个百分点。二氧化硫（SO</w:t>
            </w:r>
            <w:r>
              <w:rPr>
                <w:rFonts w:hint="eastAsia"/>
                <w:color w:val="auto"/>
                <w:highlight w:val="none"/>
                <w:vertAlign w:val="subscript"/>
              </w:rPr>
              <w:t>2</w:t>
            </w:r>
            <w:r>
              <w:rPr>
                <w:rFonts w:hint="eastAsia"/>
                <w:color w:val="auto"/>
                <w:highlight w:val="none"/>
              </w:rPr>
              <w:t>）日均浓度范围为3～15微克/立方米，日均值达标率为100%。年均浓度为8微克/立方米，与上年持平。一氧化碳（CO）日均浓度范围为0.2～1.5毫克/立方米，日均值达标率为100%。日均值第95百分位数为0.7毫克/立方米，与上年相比下降了12.5个百分点。臭氧日最大8小时（O</w:t>
            </w:r>
            <w:r>
              <w:rPr>
                <w:rFonts w:hint="eastAsia"/>
                <w:color w:val="auto"/>
                <w:highlight w:val="none"/>
                <w:vertAlign w:val="subscript"/>
              </w:rPr>
              <w:t>3</w:t>
            </w:r>
            <w:r>
              <w:rPr>
                <w:rFonts w:hint="eastAsia"/>
                <w:color w:val="auto"/>
                <w:highlight w:val="none"/>
              </w:rPr>
              <w:t>-8h）滑动平均值范围为4～210微克/立方米，达标率为91.8%。日最大8小时滑动平均值第90百分位数为157微克/立方米，与上年相比上升了4.0个百分点。</w:t>
            </w:r>
            <w:r>
              <w:rPr>
                <w:rFonts w:hint="eastAsia" w:ascii="Times New Roman" w:hAnsi="Times New Roman" w:eastAsia="宋体" w:cs="Times New Roman"/>
                <w:bCs/>
                <w:color w:val="auto"/>
                <w:szCs w:val="21"/>
                <w:highlight w:val="none"/>
              </w:rPr>
              <w:t>数据及达标情况见表3-</w:t>
            </w:r>
            <w:r>
              <w:rPr>
                <w:rFonts w:hint="eastAsia" w:ascii="Times New Roman" w:hAnsi="Times New Roman"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rPr>
              <w:t>。</w:t>
            </w:r>
          </w:p>
          <w:p w14:paraId="1156121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淮南市202</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年环境空气质量年均浓度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单位：ug/m³</w:t>
            </w:r>
            <w:r>
              <w:rPr>
                <w:rFonts w:hint="default" w:ascii="Times New Roman" w:hAnsi="Times New Roman" w:eastAsia="宋体" w:cs="Times New Roman"/>
                <w:b/>
                <w:bCs/>
                <w:color w:val="auto"/>
                <w:sz w:val="21"/>
                <w:szCs w:val="21"/>
                <w:highlight w:val="none"/>
                <w:lang w:eastAsia="zh-CN"/>
              </w:rPr>
              <w: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888"/>
              <w:gridCol w:w="1162"/>
              <w:gridCol w:w="1197"/>
              <w:gridCol w:w="1232"/>
              <w:gridCol w:w="1598"/>
            </w:tblGrid>
            <w:tr w14:paraId="7A0A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26926264">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w:t>
                  </w:r>
                </w:p>
              </w:tc>
              <w:tc>
                <w:tcPr>
                  <w:tcW w:w="1185" w:type="pct"/>
                  <w:noWrap w:val="0"/>
                  <w:vAlign w:val="center"/>
                </w:tcPr>
                <w:p w14:paraId="79D774FC">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年评价指标</w:t>
                  </w:r>
                </w:p>
              </w:tc>
              <w:tc>
                <w:tcPr>
                  <w:tcW w:w="729" w:type="pct"/>
                  <w:noWrap w:val="0"/>
                  <w:vAlign w:val="center"/>
                </w:tcPr>
                <w:p w14:paraId="5E61DCE6">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现状浓度</w:t>
                  </w:r>
                </w:p>
              </w:tc>
              <w:tc>
                <w:tcPr>
                  <w:tcW w:w="751" w:type="pct"/>
                  <w:noWrap w:val="0"/>
                  <w:vAlign w:val="center"/>
                </w:tcPr>
                <w:p w14:paraId="7BBB138F">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标准值</w:t>
                  </w:r>
                </w:p>
              </w:tc>
              <w:tc>
                <w:tcPr>
                  <w:tcW w:w="773" w:type="pct"/>
                  <w:noWrap w:val="0"/>
                  <w:vAlign w:val="center"/>
                </w:tcPr>
                <w:p w14:paraId="5500B371">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占标率%</w:t>
                  </w:r>
                </w:p>
              </w:tc>
              <w:tc>
                <w:tcPr>
                  <w:tcW w:w="1003" w:type="pct"/>
                  <w:noWrap w:val="0"/>
                  <w:vAlign w:val="center"/>
                </w:tcPr>
                <w:p w14:paraId="2E6BE009">
                  <w:pPr>
                    <w:pStyle w:val="58"/>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达标情况</w:t>
                  </w:r>
                </w:p>
              </w:tc>
            </w:tr>
            <w:tr w14:paraId="341B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52D51DE9">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
                    </w:rPr>
                    <w:t>PM</w:t>
                  </w:r>
                  <w:r>
                    <w:rPr>
                      <w:rFonts w:hint="eastAsia"/>
                      <w:color w:val="auto"/>
                      <w:highlight w:val="none"/>
                      <w:vertAlign w:val="subscript"/>
                      <w:lang w:val="en"/>
                    </w:rPr>
                    <w:t>10</w:t>
                  </w:r>
                </w:p>
              </w:tc>
              <w:tc>
                <w:tcPr>
                  <w:tcW w:w="1185" w:type="pct"/>
                  <w:vMerge w:val="restart"/>
                  <w:noWrap w:val="0"/>
                  <w:vAlign w:val="center"/>
                </w:tcPr>
                <w:p w14:paraId="09F9AE4F">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年平均质量浓度</w:t>
                  </w:r>
                </w:p>
              </w:tc>
              <w:tc>
                <w:tcPr>
                  <w:tcW w:w="729" w:type="pct"/>
                  <w:noWrap w:val="0"/>
                  <w:vAlign w:val="center"/>
                </w:tcPr>
                <w:p w14:paraId="1800BF10">
                  <w:pPr>
                    <w:pStyle w:val="5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65</w:t>
                  </w:r>
                </w:p>
              </w:tc>
              <w:tc>
                <w:tcPr>
                  <w:tcW w:w="751" w:type="pct"/>
                  <w:noWrap w:val="0"/>
                  <w:vAlign w:val="center"/>
                </w:tcPr>
                <w:p w14:paraId="621FBF13">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70</w:t>
                  </w:r>
                </w:p>
              </w:tc>
              <w:tc>
                <w:tcPr>
                  <w:tcW w:w="773" w:type="pct"/>
                  <w:noWrap w:val="0"/>
                  <w:vAlign w:val="center"/>
                </w:tcPr>
                <w:p w14:paraId="51B133BE">
                  <w:pPr>
                    <w:pStyle w:val="58"/>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92.9</w:t>
                  </w:r>
                </w:p>
              </w:tc>
              <w:tc>
                <w:tcPr>
                  <w:tcW w:w="1003" w:type="pct"/>
                  <w:noWrap w:val="0"/>
                  <w:vAlign w:val="center"/>
                </w:tcPr>
                <w:p w14:paraId="6005C620">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7090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3CAB5C98">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PM</w:t>
                  </w:r>
                  <w:r>
                    <w:rPr>
                      <w:rFonts w:hint="eastAsia"/>
                      <w:color w:val="auto"/>
                      <w:highlight w:val="none"/>
                      <w:vertAlign w:val="subscript"/>
                      <w:lang w:val="en-US" w:eastAsia="zh-CN"/>
                    </w:rPr>
                    <w:t>2.5</w:t>
                  </w:r>
                </w:p>
              </w:tc>
              <w:tc>
                <w:tcPr>
                  <w:tcW w:w="1185" w:type="pct"/>
                  <w:vMerge w:val="continue"/>
                  <w:noWrap w:val="0"/>
                  <w:vAlign w:val="center"/>
                </w:tcPr>
                <w:p w14:paraId="064FE024">
                  <w:pPr>
                    <w:pStyle w:val="58"/>
                    <w:keepNext w:val="0"/>
                    <w:keepLines w:val="0"/>
                    <w:suppressLineNumbers w:val="0"/>
                    <w:bidi w:val="0"/>
                    <w:spacing w:before="0" w:beforeAutospacing="0" w:after="0" w:afterAutospacing="0"/>
                    <w:ind w:left="0" w:right="0"/>
                    <w:rPr>
                      <w:rFonts w:hint="default"/>
                      <w:color w:val="auto"/>
                      <w:highlight w:val="none"/>
                    </w:rPr>
                  </w:pPr>
                </w:p>
              </w:tc>
              <w:tc>
                <w:tcPr>
                  <w:tcW w:w="729" w:type="pct"/>
                  <w:noWrap w:val="0"/>
                  <w:vAlign w:val="center"/>
                </w:tcPr>
                <w:p w14:paraId="4D524584">
                  <w:pPr>
                    <w:pStyle w:val="5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w:t>
                  </w:r>
                </w:p>
              </w:tc>
              <w:tc>
                <w:tcPr>
                  <w:tcW w:w="751" w:type="pct"/>
                  <w:noWrap w:val="0"/>
                  <w:vAlign w:val="center"/>
                </w:tcPr>
                <w:p w14:paraId="6E1C3FA1">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35</w:t>
                  </w:r>
                </w:p>
              </w:tc>
              <w:tc>
                <w:tcPr>
                  <w:tcW w:w="773" w:type="pct"/>
                  <w:noWrap w:val="0"/>
                  <w:vAlign w:val="center"/>
                </w:tcPr>
                <w:p w14:paraId="3CFCE2FC">
                  <w:pPr>
                    <w:pStyle w:val="58"/>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1</w:t>
                  </w:r>
                  <w:r>
                    <w:rPr>
                      <w:rFonts w:hint="eastAsia"/>
                      <w:color w:val="auto"/>
                      <w:highlight w:val="none"/>
                    </w:rPr>
                    <w:t>1</w:t>
                  </w:r>
                  <w:r>
                    <w:rPr>
                      <w:rFonts w:hint="eastAsia"/>
                      <w:color w:val="auto"/>
                      <w:highlight w:val="none"/>
                      <w:lang w:val="en-US" w:eastAsia="zh-CN"/>
                    </w:rPr>
                    <w:t>4</w:t>
                  </w:r>
                </w:p>
              </w:tc>
              <w:tc>
                <w:tcPr>
                  <w:tcW w:w="1003" w:type="pct"/>
                  <w:noWrap w:val="0"/>
                  <w:vAlign w:val="center"/>
                </w:tcPr>
                <w:p w14:paraId="55474896">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超标</w:t>
                  </w:r>
                </w:p>
              </w:tc>
            </w:tr>
            <w:tr w14:paraId="2107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2600BA39">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SO</w:t>
                  </w:r>
                  <w:r>
                    <w:rPr>
                      <w:rFonts w:hint="eastAsia"/>
                      <w:color w:val="auto"/>
                      <w:highlight w:val="none"/>
                      <w:vertAlign w:val="subscript"/>
                    </w:rPr>
                    <w:t>2</w:t>
                  </w:r>
                </w:p>
              </w:tc>
              <w:tc>
                <w:tcPr>
                  <w:tcW w:w="1185" w:type="pct"/>
                  <w:vMerge w:val="continue"/>
                  <w:noWrap w:val="0"/>
                  <w:vAlign w:val="center"/>
                </w:tcPr>
                <w:p w14:paraId="7F453F7A">
                  <w:pPr>
                    <w:pStyle w:val="58"/>
                    <w:keepNext w:val="0"/>
                    <w:keepLines w:val="0"/>
                    <w:suppressLineNumbers w:val="0"/>
                    <w:bidi w:val="0"/>
                    <w:spacing w:before="0" w:beforeAutospacing="0" w:after="0" w:afterAutospacing="0"/>
                    <w:ind w:left="0" w:right="0"/>
                    <w:rPr>
                      <w:rFonts w:hint="default"/>
                      <w:color w:val="auto"/>
                      <w:highlight w:val="none"/>
                    </w:rPr>
                  </w:pPr>
                </w:p>
              </w:tc>
              <w:tc>
                <w:tcPr>
                  <w:tcW w:w="729" w:type="pct"/>
                  <w:noWrap w:val="0"/>
                  <w:vAlign w:val="center"/>
                </w:tcPr>
                <w:p w14:paraId="2E2BDC8A">
                  <w:pPr>
                    <w:pStyle w:val="58"/>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7</w:t>
                  </w:r>
                </w:p>
              </w:tc>
              <w:tc>
                <w:tcPr>
                  <w:tcW w:w="751" w:type="pct"/>
                  <w:noWrap w:val="0"/>
                  <w:vAlign w:val="center"/>
                </w:tcPr>
                <w:p w14:paraId="3713681B">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60</w:t>
                  </w:r>
                </w:p>
              </w:tc>
              <w:tc>
                <w:tcPr>
                  <w:tcW w:w="773" w:type="pct"/>
                  <w:noWrap w:val="0"/>
                  <w:vAlign w:val="center"/>
                </w:tcPr>
                <w:p w14:paraId="66D2690F">
                  <w:pPr>
                    <w:pStyle w:val="58"/>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11.7</w:t>
                  </w:r>
                </w:p>
              </w:tc>
              <w:tc>
                <w:tcPr>
                  <w:tcW w:w="1003" w:type="pct"/>
                  <w:noWrap w:val="0"/>
                  <w:vAlign w:val="center"/>
                </w:tcPr>
                <w:p w14:paraId="0857ECB8">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3DC8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1B1CB8E7">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185" w:type="pct"/>
                  <w:vMerge w:val="continue"/>
                  <w:noWrap w:val="0"/>
                  <w:vAlign w:val="center"/>
                </w:tcPr>
                <w:p w14:paraId="73C4E409">
                  <w:pPr>
                    <w:pStyle w:val="58"/>
                    <w:keepNext w:val="0"/>
                    <w:keepLines w:val="0"/>
                    <w:suppressLineNumbers w:val="0"/>
                    <w:bidi w:val="0"/>
                    <w:spacing w:before="0" w:beforeAutospacing="0" w:after="0" w:afterAutospacing="0"/>
                    <w:ind w:left="0" w:right="0"/>
                    <w:rPr>
                      <w:rFonts w:hint="default"/>
                      <w:color w:val="auto"/>
                      <w:highlight w:val="none"/>
                    </w:rPr>
                  </w:pPr>
                </w:p>
              </w:tc>
              <w:tc>
                <w:tcPr>
                  <w:tcW w:w="729" w:type="pct"/>
                  <w:noWrap w:val="0"/>
                  <w:vAlign w:val="center"/>
                </w:tcPr>
                <w:p w14:paraId="584F7A20">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19</w:t>
                  </w:r>
                </w:p>
              </w:tc>
              <w:tc>
                <w:tcPr>
                  <w:tcW w:w="751" w:type="pct"/>
                  <w:noWrap w:val="0"/>
                  <w:vAlign w:val="center"/>
                </w:tcPr>
                <w:p w14:paraId="092498E7">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40</w:t>
                  </w:r>
                </w:p>
              </w:tc>
              <w:tc>
                <w:tcPr>
                  <w:tcW w:w="773" w:type="pct"/>
                  <w:noWrap w:val="0"/>
                  <w:vAlign w:val="center"/>
                </w:tcPr>
                <w:p w14:paraId="50A32B78">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4</w:t>
                  </w:r>
                  <w:r>
                    <w:rPr>
                      <w:rFonts w:hint="default"/>
                      <w:color w:val="auto"/>
                      <w:highlight w:val="none"/>
                    </w:rPr>
                    <w:t>7.5</w:t>
                  </w:r>
                </w:p>
              </w:tc>
              <w:tc>
                <w:tcPr>
                  <w:tcW w:w="1003" w:type="pct"/>
                  <w:noWrap w:val="0"/>
                  <w:vAlign w:val="center"/>
                </w:tcPr>
                <w:p w14:paraId="033C9409">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0D5B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687F8A01">
                  <w:pPr>
                    <w:pStyle w:val="5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O</w:t>
                  </w:r>
                  <w:r>
                    <w:rPr>
                      <w:rFonts w:hint="eastAsia"/>
                      <w:color w:val="auto"/>
                      <w:highlight w:val="none"/>
                      <w:vertAlign w:val="subscript"/>
                    </w:rPr>
                    <w:t>3</w:t>
                  </w:r>
                </w:p>
              </w:tc>
              <w:tc>
                <w:tcPr>
                  <w:tcW w:w="1185" w:type="pct"/>
                  <w:noWrap w:val="0"/>
                  <w:vAlign w:val="center"/>
                </w:tcPr>
                <w:p w14:paraId="11B14577">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8h平均质量浓度</w:t>
                  </w:r>
                </w:p>
              </w:tc>
              <w:tc>
                <w:tcPr>
                  <w:tcW w:w="729" w:type="pct"/>
                  <w:noWrap w:val="0"/>
                  <w:vAlign w:val="center"/>
                </w:tcPr>
                <w:p w14:paraId="0DEF389F">
                  <w:pPr>
                    <w:pStyle w:val="58"/>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160</w:t>
                  </w:r>
                </w:p>
              </w:tc>
              <w:tc>
                <w:tcPr>
                  <w:tcW w:w="751" w:type="pct"/>
                  <w:noWrap w:val="0"/>
                  <w:vAlign w:val="center"/>
                </w:tcPr>
                <w:p w14:paraId="4C714363">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160</w:t>
                  </w:r>
                </w:p>
              </w:tc>
              <w:tc>
                <w:tcPr>
                  <w:tcW w:w="773" w:type="pct"/>
                  <w:noWrap w:val="0"/>
                  <w:vAlign w:val="center"/>
                </w:tcPr>
                <w:p w14:paraId="1AC21002">
                  <w:pPr>
                    <w:pStyle w:val="58"/>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100</w:t>
                  </w:r>
                </w:p>
              </w:tc>
              <w:tc>
                <w:tcPr>
                  <w:tcW w:w="1003" w:type="pct"/>
                  <w:noWrap w:val="0"/>
                  <w:vAlign w:val="center"/>
                </w:tcPr>
                <w:p w14:paraId="28A4227C">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r w14:paraId="37F4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5" w:type="pct"/>
                  <w:noWrap w:val="0"/>
                  <w:vAlign w:val="center"/>
                </w:tcPr>
                <w:p w14:paraId="5350344F">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CO</w:t>
                  </w:r>
                </w:p>
              </w:tc>
              <w:tc>
                <w:tcPr>
                  <w:tcW w:w="1185" w:type="pct"/>
                  <w:noWrap w:val="0"/>
                  <w:vAlign w:val="center"/>
                </w:tcPr>
                <w:p w14:paraId="738A8BB0">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24小时平均</w:t>
                  </w:r>
                </w:p>
              </w:tc>
              <w:tc>
                <w:tcPr>
                  <w:tcW w:w="729" w:type="pct"/>
                  <w:noWrap w:val="0"/>
                  <w:vAlign w:val="center"/>
                </w:tcPr>
                <w:p w14:paraId="62CCD47B">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0.</w:t>
                  </w:r>
                  <w:r>
                    <w:rPr>
                      <w:rFonts w:hint="eastAsia"/>
                      <w:color w:val="auto"/>
                      <w:highlight w:val="none"/>
                      <w:lang w:val="en-US" w:eastAsia="zh-CN"/>
                    </w:rPr>
                    <w:t>8</w:t>
                  </w:r>
                  <w:r>
                    <w:rPr>
                      <w:rFonts w:hint="default"/>
                      <w:color w:val="auto"/>
                      <w:highlight w:val="none"/>
                    </w:rPr>
                    <w:t>mg/m³</w:t>
                  </w:r>
                </w:p>
              </w:tc>
              <w:tc>
                <w:tcPr>
                  <w:tcW w:w="751" w:type="pct"/>
                  <w:noWrap w:val="0"/>
                  <w:vAlign w:val="center"/>
                </w:tcPr>
                <w:p w14:paraId="189FB39C">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4mg/m³</w:t>
                  </w:r>
                </w:p>
              </w:tc>
              <w:tc>
                <w:tcPr>
                  <w:tcW w:w="773" w:type="pct"/>
                  <w:noWrap w:val="0"/>
                  <w:vAlign w:val="center"/>
                </w:tcPr>
                <w:p w14:paraId="4F4382BE">
                  <w:pPr>
                    <w:pStyle w:val="5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w:t>
                  </w:r>
                </w:p>
              </w:tc>
              <w:tc>
                <w:tcPr>
                  <w:tcW w:w="1003" w:type="pct"/>
                  <w:noWrap w:val="0"/>
                  <w:vAlign w:val="center"/>
                </w:tcPr>
                <w:p w14:paraId="160C7806">
                  <w:pPr>
                    <w:pStyle w:val="58"/>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达标</w:t>
                  </w:r>
                </w:p>
              </w:tc>
            </w:tr>
          </w:tbl>
          <w:p w14:paraId="08E9A9C8">
            <w:pPr>
              <w:pStyle w:val="31"/>
              <w:keepNext w:val="0"/>
              <w:keepLines w:val="0"/>
              <w:suppressLineNumbers w:val="0"/>
              <w:spacing w:before="0" w:beforeAutospacing="0" w:after="0" w:afterAutospacing="0" w:line="360" w:lineRule="auto"/>
              <w:ind w:left="0" w:right="0" w:firstLine="468" w:firstLineChars="200"/>
              <w:jc w:val="left"/>
              <w:rPr>
                <w:rFonts w:hint="eastAsia" w:ascii="Times New Roman" w:hAnsi="宋体" w:eastAsia="宋体" w:cs="Times New Roman"/>
                <w:color w:val="auto"/>
                <w:spacing w:val="-3"/>
                <w:szCs w:val="21"/>
                <w:highlight w:val="none"/>
              </w:rPr>
            </w:pPr>
            <w:r>
              <w:rPr>
                <w:rFonts w:hint="eastAsia" w:ascii="Times New Roman" w:hAnsi="宋体" w:eastAsia="宋体" w:cs="Times New Roman"/>
                <w:color w:val="auto"/>
                <w:spacing w:val="-3"/>
                <w:szCs w:val="21"/>
                <w:highlight w:val="none"/>
                <w:lang w:val="en-US" w:eastAsia="zh-CN"/>
              </w:rPr>
              <w:t>《环境影响评价技术导则大气环境》（HJ2.2-2018）中6.4.1.1提出：</w:t>
            </w:r>
            <w:r>
              <w:rPr>
                <w:rFonts w:hint="eastAsia" w:ascii="Times New Roman" w:hAnsi="宋体" w:eastAsia="宋体" w:cs="Times New Roman"/>
                <w:color w:val="auto"/>
                <w:spacing w:val="-3"/>
                <w:szCs w:val="21"/>
                <w:highlight w:val="none"/>
              </w:rPr>
              <w:t>城市环境空气质量达标情况评价指标中六项污染物全部达标即为城市环境空气质量达标。</w:t>
            </w:r>
          </w:p>
          <w:p w14:paraId="597362C5">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202</w:t>
            </w:r>
            <w:r>
              <w:rPr>
                <w:rFonts w:hint="eastAsia"/>
                <w:color w:val="auto"/>
                <w:highlight w:val="none"/>
                <w:lang w:val="en-US" w:eastAsia="zh-CN"/>
              </w:rPr>
              <w:t>4</w:t>
            </w:r>
            <w:r>
              <w:rPr>
                <w:rFonts w:hint="eastAsia"/>
                <w:color w:val="auto"/>
                <w:highlight w:val="none"/>
              </w:rPr>
              <w:t>年淮南市环境空气中</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rPr>
              <w:t>年平均浓度超过环境空气质量二级标准，经判定，项目所在区为环境空气质量不达标区域，超标因子为</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rPr>
              <w:t>。</w:t>
            </w:r>
          </w:p>
          <w:p w14:paraId="5F82FE23">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针对环境质量状况，淮南市政府采取了一系列的措施：</w:t>
            </w:r>
          </w:p>
          <w:p w14:paraId="62821CE7">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1、对标先进制定规范：对标长三角地区，制定淮南市建设工程扬尘污染防治“十达标”措施，明确施工扬尘管控的具体标准和要求，从工地围挡、物料覆盖、洒水降尘等多方面规范施工行为，有效减少扬尘污染。</w:t>
            </w:r>
          </w:p>
          <w:p w14:paraId="698A2B97">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建立协同工作机制：建立空气质量联席会商、重点区域监督帮扶、快速联动反应等一系列机制，通过定期会商分析空气质量状况，针对重点区域开展精准监督帮扶，对突发污染问题快速响应处置，全年发布建议2411条，帮扶县区100余次，推动解决问题1393个。</w:t>
            </w:r>
          </w:p>
          <w:p w14:paraId="45A10C30">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3、制定全过程管理办法：在全省率先制定《淮南市农村黑臭水体治理全过程监督管理办法》，规范“排查识别、成因分析、系统治理、项目管理、长效管控、责任追究”的全过程，为农村黑臭水体治理提供系统性指导，确保治理工作有序推进。</w:t>
            </w:r>
          </w:p>
          <w:p w14:paraId="0856DBA0">
            <w:pPr>
              <w:keepNext w:val="0"/>
              <w:keepLines w:val="0"/>
              <w:suppressLineNumbers w:val="0"/>
              <w:bidi w:val="0"/>
              <w:spacing w:before="0" w:beforeAutospacing="0" w:after="0" w:afterAutospacing="0"/>
              <w:ind w:left="0" w:right="0"/>
              <w:rPr>
                <w:rFonts w:hint="eastAsia"/>
                <w:color w:val="auto"/>
                <w:highlight w:val="none"/>
                <w:lang w:val="en"/>
              </w:rPr>
            </w:pPr>
            <w:r>
              <w:rPr>
                <w:rFonts w:hint="eastAsia"/>
                <w:color w:val="auto"/>
                <w:highlight w:val="none"/>
                <w:lang w:val="en-US" w:eastAsia="zh-CN"/>
              </w:rPr>
              <w:t>4、出台多领域协同政策：联合多部门出台金融、税务、交通等领域支持减污降碳协同创新政策。如《金融支持淮南市减污降碳协同创新试点工作的指导意见》，创新推出“绿色贷”和“转型贷”；出台“绿色税务标签”，为符合条件企业给予税收减免优惠3.69亿元；出台《淮南市交通运输领域减污降碳协同创新实施方案》，优化交通运输结构，使铁、水运输量占比分别高出全省平均水平6.74和5.76个百分点。</w:t>
            </w:r>
          </w:p>
          <w:p w14:paraId="47688CEE">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特征污染物</w:t>
            </w:r>
          </w:p>
          <w:p w14:paraId="24ACB2FF">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本项目特征污染物TSP</w:t>
            </w:r>
            <w:r>
              <w:rPr>
                <w:rFonts w:hint="default"/>
                <w:color w:val="auto"/>
                <w:highlight w:val="none"/>
              </w:rPr>
              <w:t>，为了解区域环境空气质量现状，本项目</w:t>
            </w:r>
            <w:r>
              <w:rPr>
                <w:rFonts w:hint="eastAsia"/>
                <w:color w:val="auto"/>
                <w:highlight w:val="none"/>
              </w:rPr>
              <w:t>TSP</w:t>
            </w:r>
            <w:r>
              <w:rPr>
                <w:rFonts w:hint="default"/>
                <w:color w:val="auto"/>
                <w:highlight w:val="none"/>
              </w:rPr>
              <w:t>引用</w:t>
            </w:r>
            <w:r>
              <w:rPr>
                <w:rFonts w:hint="default"/>
                <w:color w:val="0000FF"/>
                <w:highlight w:val="none"/>
              </w:rPr>
              <w:t>《开沃汽车（淮南）有限公司开沃汽车（淮南）专用车生产项目环境影响报告书》</w:t>
            </w:r>
            <w:r>
              <w:rPr>
                <w:rFonts w:hint="eastAsia"/>
                <w:color w:val="auto"/>
                <w:highlight w:val="none"/>
                <w:lang w:val="en-US" w:eastAsia="zh-CN"/>
              </w:rPr>
              <w:t>中</w:t>
            </w:r>
            <w:r>
              <w:rPr>
                <w:rFonts w:hint="default"/>
                <w:color w:val="auto"/>
                <w:highlight w:val="none"/>
              </w:rPr>
              <w:t>环境质量质量现状监测数据中</w:t>
            </w:r>
            <w:r>
              <w:rPr>
                <w:rFonts w:hint="eastAsia"/>
                <w:color w:val="auto"/>
                <w:highlight w:val="none"/>
                <w:lang w:val="en-US" w:eastAsia="zh-CN"/>
              </w:rPr>
              <w:t>监测点位</w:t>
            </w:r>
            <w:r>
              <w:rPr>
                <w:rFonts w:hint="default"/>
                <w:color w:val="auto"/>
                <w:highlight w:val="none"/>
              </w:rPr>
              <w:t>现状监测数据，</w:t>
            </w:r>
            <w:r>
              <w:rPr>
                <w:rFonts w:hint="eastAsia"/>
                <w:color w:val="0000FF"/>
                <w:highlight w:val="none"/>
                <w:lang w:val="en-US" w:eastAsia="zh-CN"/>
              </w:rPr>
              <w:t>区域内监测点位</w:t>
            </w:r>
            <w:r>
              <w:rPr>
                <w:rFonts w:hint="eastAsia"/>
                <w:color w:val="0000FF"/>
                <w:highlight w:val="none"/>
              </w:rPr>
              <w:t>位于本项目厂区</w:t>
            </w:r>
            <w:r>
              <w:rPr>
                <w:rFonts w:hint="eastAsia"/>
                <w:color w:val="0000FF"/>
                <w:highlight w:val="none"/>
                <w:lang w:val="en-US" w:eastAsia="zh-CN"/>
              </w:rPr>
              <w:t>南侧580m开沃汽车（淮南）有限公司</w:t>
            </w:r>
            <w:r>
              <w:rPr>
                <w:rFonts w:hint="eastAsia"/>
                <w:color w:val="0000FF"/>
                <w:highlight w:val="none"/>
              </w:rPr>
              <w:t>，</w:t>
            </w:r>
            <w:r>
              <w:rPr>
                <w:rFonts w:hint="default"/>
                <w:color w:val="0000FF"/>
                <w:highlight w:val="none"/>
              </w:rPr>
              <w:t>监测时间：</w:t>
            </w:r>
            <w:r>
              <w:rPr>
                <w:rFonts w:hint="eastAsia" w:ascii="Times New Roman" w:eastAsia="宋体"/>
                <w:color w:val="0000FF"/>
                <w:highlight w:val="none"/>
                <w:lang w:val="en-US" w:eastAsia="zh-CN"/>
              </w:rPr>
              <w:t>202</w:t>
            </w:r>
            <w:r>
              <w:rPr>
                <w:rFonts w:hint="eastAsia"/>
                <w:color w:val="0000FF"/>
                <w:highlight w:val="none"/>
                <w:lang w:val="en-US" w:eastAsia="zh-CN"/>
              </w:rPr>
              <w:t>3</w:t>
            </w:r>
            <w:r>
              <w:rPr>
                <w:rFonts w:hint="eastAsia" w:ascii="Times New Roman" w:eastAsia="宋体"/>
                <w:color w:val="0000FF"/>
                <w:highlight w:val="none"/>
                <w:lang w:val="en-US" w:eastAsia="zh-CN"/>
              </w:rPr>
              <w:t>年</w:t>
            </w:r>
            <w:r>
              <w:rPr>
                <w:rFonts w:hint="eastAsia"/>
                <w:color w:val="0000FF"/>
                <w:highlight w:val="none"/>
                <w:lang w:val="en-US" w:eastAsia="zh-CN"/>
              </w:rPr>
              <w:t>8</w:t>
            </w:r>
            <w:r>
              <w:rPr>
                <w:rFonts w:hint="eastAsia" w:ascii="Times New Roman" w:eastAsia="宋体"/>
                <w:color w:val="0000FF"/>
                <w:highlight w:val="none"/>
                <w:lang w:val="en-US" w:eastAsia="zh-CN"/>
              </w:rPr>
              <w:t>月</w:t>
            </w:r>
            <w:r>
              <w:rPr>
                <w:rFonts w:hint="eastAsia"/>
                <w:color w:val="0000FF"/>
                <w:highlight w:val="none"/>
                <w:lang w:val="en-US" w:eastAsia="zh-CN"/>
              </w:rPr>
              <w:t>21</w:t>
            </w:r>
            <w:r>
              <w:rPr>
                <w:rFonts w:hint="eastAsia" w:ascii="Times New Roman" w:eastAsia="宋体"/>
                <w:color w:val="0000FF"/>
                <w:highlight w:val="none"/>
                <w:lang w:val="en-US" w:eastAsia="zh-CN"/>
              </w:rPr>
              <w:t>日-8月</w:t>
            </w:r>
            <w:r>
              <w:rPr>
                <w:rFonts w:hint="eastAsia"/>
                <w:color w:val="0000FF"/>
                <w:highlight w:val="none"/>
                <w:lang w:val="en-US" w:eastAsia="zh-CN"/>
              </w:rPr>
              <w:t>24</w:t>
            </w:r>
            <w:r>
              <w:rPr>
                <w:rFonts w:hint="eastAsia" w:ascii="Times New Roman" w:eastAsia="宋体"/>
                <w:color w:val="0000FF"/>
                <w:highlight w:val="none"/>
                <w:lang w:val="en-US" w:eastAsia="zh-CN"/>
              </w:rPr>
              <w:t>日</w:t>
            </w:r>
            <w:r>
              <w:rPr>
                <w:rFonts w:hint="eastAsia"/>
                <w:color w:val="0000FF"/>
                <w:highlight w:val="none"/>
                <w:lang w:val="en-US" w:eastAsia="zh-CN"/>
              </w:rPr>
              <w:t>、8</w:t>
            </w:r>
            <w:r>
              <w:rPr>
                <w:rFonts w:hint="eastAsia" w:ascii="Times New Roman" w:eastAsia="宋体"/>
                <w:color w:val="0000FF"/>
                <w:highlight w:val="none"/>
                <w:lang w:val="en-US" w:eastAsia="zh-CN"/>
              </w:rPr>
              <w:t>月</w:t>
            </w:r>
            <w:r>
              <w:rPr>
                <w:rFonts w:hint="eastAsia"/>
                <w:color w:val="0000FF"/>
                <w:highlight w:val="none"/>
                <w:lang w:val="en-US" w:eastAsia="zh-CN"/>
              </w:rPr>
              <w:t>25</w:t>
            </w:r>
            <w:r>
              <w:rPr>
                <w:rFonts w:hint="eastAsia" w:ascii="Times New Roman" w:eastAsia="宋体"/>
                <w:color w:val="0000FF"/>
                <w:highlight w:val="none"/>
                <w:lang w:val="en-US" w:eastAsia="zh-CN"/>
              </w:rPr>
              <w:t>日-8月</w:t>
            </w:r>
            <w:r>
              <w:rPr>
                <w:rFonts w:hint="eastAsia"/>
                <w:color w:val="0000FF"/>
                <w:highlight w:val="none"/>
                <w:lang w:val="en-US" w:eastAsia="zh-CN"/>
              </w:rPr>
              <w:t>27</w:t>
            </w:r>
            <w:r>
              <w:rPr>
                <w:rFonts w:hint="eastAsia" w:ascii="Times New Roman" w:eastAsia="宋体"/>
                <w:color w:val="0000FF"/>
                <w:highlight w:val="none"/>
                <w:lang w:val="en-US" w:eastAsia="zh-CN"/>
              </w:rPr>
              <w:t>日</w:t>
            </w:r>
            <w:r>
              <w:rPr>
                <w:rFonts w:hint="eastAsia"/>
                <w:color w:val="0000FF"/>
                <w:highlight w:val="none"/>
              </w:rPr>
              <w:t>，</w:t>
            </w:r>
            <w:r>
              <w:rPr>
                <w:rFonts w:hint="eastAsia"/>
                <w:color w:val="auto"/>
                <w:highlight w:val="none"/>
              </w:rPr>
              <w:t>与本项目相对位置及距离见图3-1，该点监测数据满足本项目特征污染物数据引用条件。</w:t>
            </w:r>
          </w:p>
          <w:p w14:paraId="43AADCAF">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color w:val="auto"/>
                <w:sz w:val="21"/>
                <w:szCs w:val="21"/>
                <w:highlight w:val="none"/>
              </w:rPr>
            </w:pPr>
            <w:r>
              <w:rPr>
                <w:rFonts w:hint="eastAsia"/>
                <w:color w:val="auto"/>
                <w:sz w:val="21"/>
                <w:szCs w:val="21"/>
                <w:highlight w:val="none"/>
              </w:rPr>
              <w:t xml:space="preserve">表3-2 </w:t>
            </w:r>
            <w:r>
              <w:rPr>
                <w:rFonts w:hint="eastAsia"/>
                <w:color w:val="auto"/>
                <w:sz w:val="21"/>
                <w:szCs w:val="21"/>
                <w:highlight w:val="none"/>
                <w:lang w:val="en-US" w:eastAsia="zh-CN"/>
              </w:rPr>
              <w:t xml:space="preserve"> </w:t>
            </w:r>
            <w:r>
              <w:rPr>
                <w:rFonts w:hint="eastAsia"/>
                <w:color w:val="auto"/>
                <w:sz w:val="21"/>
                <w:szCs w:val="21"/>
                <w:highlight w:val="none"/>
              </w:rPr>
              <w:t>环境空气TSP现状检测结果统计表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146"/>
              <w:gridCol w:w="875"/>
              <w:gridCol w:w="955"/>
              <w:gridCol w:w="1451"/>
              <w:gridCol w:w="1062"/>
              <w:gridCol w:w="740"/>
              <w:gridCol w:w="974"/>
            </w:tblGrid>
            <w:tr w14:paraId="5CC8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8" w:type="pct"/>
                  <w:noWrap w:val="0"/>
                  <w:vAlign w:val="center"/>
                </w:tcPr>
                <w:p w14:paraId="728D8549">
                  <w:pPr>
                    <w:pStyle w:val="27"/>
                    <w:keepNext w:val="0"/>
                    <w:keepLines w:val="0"/>
                    <w:suppressLineNumbers w:val="0"/>
                    <w:bidi w:val="0"/>
                    <w:spacing w:before="0" w:beforeAutospacing="0" w:after="0" w:afterAutospacing="0"/>
                    <w:ind w:left="0" w:right="0"/>
                    <w:rPr>
                      <w:rFonts w:hint="eastAsia"/>
                      <w:b/>
                      <w:bCs/>
                      <w:color w:val="auto"/>
                      <w:highlight w:val="none"/>
                    </w:rPr>
                  </w:pPr>
                  <w:r>
                    <w:rPr>
                      <w:b/>
                      <w:bCs/>
                      <w:color w:val="auto"/>
                      <w:highlight w:val="none"/>
                    </w:rPr>
                    <w:t>监测</w:t>
                  </w:r>
                </w:p>
                <w:p w14:paraId="72AF0A5D">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因子</w:t>
                  </w:r>
                </w:p>
              </w:tc>
              <w:tc>
                <w:tcPr>
                  <w:tcW w:w="719" w:type="pct"/>
                  <w:noWrap w:val="0"/>
                  <w:vAlign w:val="center"/>
                </w:tcPr>
                <w:p w14:paraId="784AF71E">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监测点位</w:t>
                  </w:r>
                </w:p>
              </w:tc>
              <w:tc>
                <w:tcPr>
                  <w:tcW w:w="549" w:type="pct"/>
                  <w:noWrap w:val="0"/>
                  <w:vAlign w:val="center"/>
                </w:tcPr>
                <w:p w14:paraId="073F9285">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平均</w:t>
                  </w:r>
                </w:p>
                <w:p w14:paraId="387D12F1">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时间</w:t>
                  </w:r>
                </w:p>
              </w:tc>
              <w:tc>
                <w:tcPr>
                  <w:tcW w:w="599" w:type="pct"/>
                  <w:noWrap w:val="0"/>
                  <w:vAlign w:val="center"/>
                </w:tcPr>
                <w:p w14:paraId="175F2CA3">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评价</w:t>
                  </w:r>
                </w:p>
                <w:p w14:paraId="05A803F0">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标准</w:t>
                  </w:r>
                </w:p>
              </w:tc>
              <w:tc>
                <w:tcPr>
                  <w:tcW w:w="910" w:type="pct"/>
                  <w:noWrap w:val="0"/>
                  <w:vAlign w:val="center"/>
                </w:tcPr>
                <w:p w14:paraId="3E5487A2">
                  <w:pPr>
                    <w:pStyle w:val="27"/>
                    <w:keepNext w:val="0"/>
                    <w:keepLines w:val="0"/>
                    <w:suppressLineNumbers w:val="0"/>
                    <w:bidi w:val="0"/>
                    <w:spacing w:before="0" w:beforeAutospacing="0" w:after="0" w:afterAutospacing="0"/>
                    <w:ind w:left="0" w:right="0"/>
                    <w:rPr>
                      <w:rFonts w:hint="eastAsia" w:eastAsia="宋体"/>
                      <w:b/>
                      <w:bCs/>
                      <w:color w:val="auto"/>
                      <w:highlight w:val="none"/>
                      <w:lang w:eastAsia="zh-CN"/>
                    </w:rPr>
                  </w:pPr>
                  <w:r>
                    <w:rPr>
                      <w:rFonts w:hint="eastAsia"/>
                      <w:b/>
                      <w:bCs/>
                      <w:color w:val="auto"/>
                      <w:highlight w:val="none"/>
                    </w:rPr>
                    <w:t>监测浓度范围</w:t>
                  </w:r>
                  <w:r>
                    <w:rPr>
                      <w:rFonts w:hint="default" w:ascii="Times New Roman" w:hAnsi="Times New Roman" w:cs="Times New Roman"/>
                      <w:b/>
                      <w:bCs/>
                      <w:color w:val="auto"/>
                      <w:highlight w:val="none"/>
                      <w:lang w:eastAsia="zh-CN"/>
                    </w:rPr>
                    <w:t>μg</w:t>
                  </w:r>
                  <w:r>
                    <w:rPr>
                      <w:rFonts w:hint="default" w:ascii="Times New Roman" w:hAnsi="Times New Roman" w:cs="Times New Roman"/>
                      <w:b/>
                      <w:bCs/>
                      <w:color w:val="auto"/>
                      <w:highlight w:val="none"/>
                    </w:rPr>
                    <w:t>/m</w:t>
                  </w:r>
                  <w:r>
                    <w:rPr>
                      <w:rFonts w:hint="default" w:ascii="Times New Roman" w:hAnsi="Times New Roman" w:cs="Times New Roman"/>
                      <w:b/>
                      <w:bCs/>
                      <w:color w:val="auto"/>
                      <w:highlight w:val="none"/>
                      <w:vertAlign w:val="superscript"/>
                      <w:lang w:val="en-US" w:eastAsia="zh-CN"/>
                    </w:rPr>
                    <w:t>3</w:t>
                  </w:r>
                </w:p>
              </w:tc>
              <w:tc>
                <w:tcPr>
                  <w:tcW w:w="666" w:type="pct"/>
                  <w:noWrap w:val="0"/>
                  <w:vAlign w:val="center"/>
                </w:tcPr>
                <w:p w14:paraId="2255D6FD">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最大浓度占标率%</w:t>
                  </w:r>
                </w:p>
              </w:tc>
              <w:tc>
                <w:tcPr>
                  <w:tcW w:w="464" w:type="pct"/>
                  <w:noWrap w:val="0"/>
                  <w:vAlign w:val="center"/>
                </w:tcPr>
                <w:p w14:paraId="552D2555">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超标率</w:t>
                  </w:r>
                </w:p>
              </w:tc>
              <w:tc>
                <w:tcPr>
                  <w:tcW w:w="611" w:type="pct"/>
                  <w:noWrap w:val="0"/>
                  <w:vAlign w:val="center"/>
                </w:tcPr>
                <w:p w14:paraId="5940CFAA">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达标情况</w:t>
                  </w:r>
                </w:p>
              </w:tc>
            </w:tr>
            <w:tr w14:paraId="4BAF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78" w:type="pct"/>
                  <w:noWrap w:val="0"/>
                  <w:vAlign w:val="center"/>
                </w:tcPr>
                <w:p w14:paraId="02E3B82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TSP</w:t>
                  </w:r>
                </w:p>
              </w:tc>
              <w:tc>
                <w:tcPr>
                  <w:tcW w:w="719" w:type="pct"/>
                  <w:noWrap w:val="0"/>
                  <w:vAlign w:val="center"/>
                </w:tcPr>
                <w:p w14:paraId="2C8280D0">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0000FF"/>
                      <w:highlight w:val="none"/>
                      <w:lang w:val="en-US" w:eastAsia="zh-CN"/>
                    </w:rPr>
                    <w:t>开沃汽车（淮南）有限公司</w:t>
                  </w:r>
                </w:p>
              </w:tc>
              <w:tc>
                <w:tcPr>
                  <w:tcW w:w="549" w:type="pct"/>
                  <w:noWrap w:val="0"/>
                  <w:vAlign w:val="center"/>
                </w:tcPr>
                <w:p w14:paraId="49421ED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日平均</w:t>
                  </w:r>
                </w:p>
              </w:tc>
              <w:tc>
                <w:tcPr>
                  <w:tcW w:w="599" w:type="pct"/>
                  <w:noWrap w:val="0"/>
                  <w:vAlign w:val="center"/>
                </w:tcPr>
                <w:p w14:paraId="550F6D3A">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300</w:t>
                  </w:r>
                  <w:r>
                    <w:rPr>
                      <w:rFonts w:hint="default" w:ascii="Times New Roman" w:hAnsi="Times New Roman" w:cs="Times New Roman"/>
                      <w:color w:val="auto"/>
                      <w:highlight w:val="none"/>
                      <w:lang w:eastAsia="zh-CN"/>
                    </w:rPr>
                    <w:t>μg</w:t>
                  </w:r>
                  <w:r>
                    <w:rPr>
                      <w:rFonts w:hint="default" w:ascii="Times New Roman" w:hAnsi="Times New Roman" w:cs="Times New Roman"/>
                      <w:color w:val="auto"/>
                      <w:highlight w:val="none"/>
                    </w:rPr>
                    <w:t>/m</w:t>
                  </w:r>
                  <w:r>
                    <w:rPr>
                      <w:rFonts w:hint="eastAsia" w:ascii="Times New Roman" w:hAnsi="Times New Roman" w:cs="Times New Roman"/>
                      <w:color w:val="auto"/>
                      <w:highlight w:val="none"/>
                      <w:vertAlign w:val="superscript"/>
                      <w:lang w:val="en-US" w:eastAsia="zh-CN"/>
                    </w:rPr>
                    <w:t>3</w:t>
                  </w:r>
                </w:p>
              </w:tc>
              <w:tc>
                <w:tcPr>
                  <w:tcW w:w="910" w:type="pct"/>
                  <w:noWrap w:val="0"/>
                  <w:vAlign w:val="center"/>
                </w:tcPr>
                <w:p w14:paraId="781EBDDD">
                  <w:pPr>
                    <w:pStyle w:val="27"/>
                    <w:keepNext w:val="0"/>
                    <w:keepLines w:val="0"/>
                    <w:suppressLineNumbers w:val="0"/>
                    <w:bidi w:val="0"/>
                    <w:spacing w:before="0" w:beforeAutospacing="0" w:after="0" w:afterAutospacing="0"/>
                    <w:ind w:left="0" w:right="0"/>
                    <w:rPr>
                      <w:rFonts w:hint="default" w:eastAsia="宋体"/>
                      <w:color w:val="0000FF"/>
                      <w:highlight w:val="none"/>
                      <w:lang w:val="en-US" w:eastAsia="zh-CN"/>
                    </w:rPr>
                  </w:pPr>
                  <w:r>
                    <w:rPr>
                      <w:rFonts w:hint="eastAsia"/>
                      <w:color w:val="0000FF"/>
                      <w:highlight w:val="none"/>
                      <w:lang w:val="en-US" w:eastAsia="zh-CN"/>
                    </w:rPr>
                    <w:t>170-188</w:t>
                  </w:r>
                </w:p>
              </w:tc>
              <w:tc>
                <w:tcPr>
                  <w:tcW w:w="666" w:type="pct"/>
                  <w:noWrap w:val="0"/>
                  <w:vAlign w:val="center"/>
                </w:tcPr>
                <w:p w14:paraId="1202F9F4">
                  <w:pPr>
                    <w:pStyle w:val="27"/>
                    <w:keepNext w:val="0"/>
                    <w:keepLines w:val="0"/>
                    <w:suppressLineNumbers w:val="0"/>
                    <w:bidi w:val="0"/>
                    <w:spacing w:before="0" w:beforeAutospacing="0" w:after="0" w:afterAutospacing="0"/>
                    <w:ind w:left="0" w:right="0"/>
                    <w:rPr>
                      <w:rFonts w:hint="default" w:eastAsia="宋体"/>
                      <w:color w:val="0000FF"/>
                      <w:highlight w:val="none"/>
                      <w:lang w:val="en-US" w:eastAsia="zh-CN"/>
                    </w:rPr>
                  </w:pPr>
                  <w:r>
                    <w:rPr>
                      <w:rFonts w:hint="eastAsia"/>
                      <w:color w:val="0000FF"/>
                      <w:highlight w:val="none"/>
                      <w:lang w:val="en-US" w:eastAsia="zh-CN"/>
                    </w:rPr>
                    <w:t>62.7</w:t>
                  </w:r>
                </w:p>
              </w:tc>
              <w:tc>
                <w:tcPr>
                  <w:tcW w:w="464" w:type="pct"/>
                  <w:noWrap w:val="0"/>
                  <w:vAlign w:val="center"/>
                </w:tcPr>
                <w:p w14:paraId="3BA4E74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0</w:t>
                  </w:r>
                </w:p>
              </w:tc>
              <w:tc>
                <w:tcPr>
                  <w:tcW w:w="611" w:type="pct"/>
                  <w:noWrap w:val="0"/>
                  <w:vAlign w:val="center"/>
                </w:tcPr>
                <w:p w14:paraId="01B586E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达标</w:t>
                  </w:r>
                </w:p>
              </w:tc>
            </w:tr>
          </w:tbl>
          <w:p w14:paraId="5126EEA3">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根据</w:t>
            </w:r>
            <w:r>
              <w:rPr>
                <w:rFonts w:hint="eastAsia"/>
                <w:color w:val="auto"/>
                <w:highlight w:val="none"/>
                <w:lang w:val="en-US" w:eastAsia="zh-CN"/>
              </w:rPr>
              <w:t>引用</w:t>
            </w:r>
            <w:r>
              <w:rPr>
                <w:rFonts w:hint="eastAsia"/>
                <w:color w:val="auto"/>
                <w:highlight w:val="none"/>
              </w:rPr>
              <w:t>监测数据可知，项目所在区域TSP满足《环境空气质量标准》（GB3095-2012）及修改单二级</w:t>
            </w:r>
            <w:r>
              <w:rPr>
                <w:rFonts w:hint="eastAsia"/>
                <w:color w:val="auto"/>
                <w:highlight w:val="none"/>
                <w:lang w:val="en-US" w:eastAsia="zh-CN"/>
              </w:rPr>
              <w:t>标准</w:t>
            </w:r>
            <w:r>
              <w:rPr>
                <w:rFonts w:hint="eastAsia"/>
                <w:color w:val="auto"/>
                <w:highlight w:val="none"/>
              </w:rPr>
              <w:t>中相关环境质量标准要求，区域环境质量良好。</w:t>
            </w:r>
          </w:p>
          <w:p w14:paraId="6A5CAC51">
            <w:pPr>
              <w:pStyle w:val="26"/>
              <w:keepNext w:val="0"/>
              <w:keepLines w:val="0"/>
              <w:suppressLineNumbers w:val="0"/>
              <w:bidi w:val="0"/>
              <w:spacing w:before="0" w:beforeAutospacing="0" w:after="0" w:afterAutospacing="0"/>
              <w:ind w:left="0" w:right="0"/>
              <w:rPr>
                <w:rFonts w:hint="eastAsia"/>
                <w:color w:val="auto"/>
                <w:highlight w:val="none"/>
              </w:rPr>
            </w:pPr>
            <w:r>
              <w:rPr>
                <w:rFonts w:hint="default"/>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2230120</wp:posOffset>
                      </wp:positionH>
                      <wp:positionV relativeFrom="paragraph">
                        <wp:posOffset>1819910</wp:posOffset>
                      </wp:positionV>
                      <wp:extent cx="490220" cy="238760"/>
                      <wp:effectExtent l="0" t="0" r="0" b="0"/>
                      <wp:wrapNone/>
                      <wp:docPr id="45" name="矩形 566"/>
                      <wp:cNvGraphicFramePr/>
                      <a:graphic xmlns:a="http://schemas.openxmlformats.org/drawingml/2006/main">
                        <a:graphicData uri="http://schemas.microsoft.com/office/word/2010/wordprocessingShape">
                          <wps:wsp>
                            <wps:cNvSpPr/>
                            <wps:spPr>
                              <a:xfrm>
                                <a:off x="3367405" y="3300095"/>
                                <a:ext cx="490220" cy="238760"/>
                              </a:xfrm>
                              <a:prstGeom prst="rect">
                                <a:avLst/>
                              </a:prstGeom>
                              <a:solidFill>
                                <a:srgbClr val="FFFFFF">
                                  <a:alpha val="0"/>
                                </a:srgbClr>
                              </a:solidFill>
                              <a:ln>
                                <a:noFill/>
                              </a:ln>
                            </wps:spPr>
                            <wps:txbx>
                              <w:txbxContent>
                                <w:p w14:paraId="02973F38">
                                  <w:pPr>
                                    <w:pStyle w:val="27"/>
                                    <w:bidi w:val="0"/>
                                    <w:rPr>
                                      <w:color w:val="FFFF00"/>
                                    </w:rPr>
                                  </w:pPr>
                                  <w:r>
                                    <w:rPr>
                                      <w:rFonts w:hint="eastAsia"/>
                                      <w:color w:val="FFFF00"/>
                                      <w:lang w:val="en-US" w:eastAsia="zh-CN"/>
                                    </w:rPr>
                                    <w:t>580</w:t>
                                  </w:r>
                                  <w:r>
                                    <w:rPr>
                                      <w:rFonts w:hint="eastAsia"/>
                                      <w:color w:val="FFFF00"/>
                                    </w:rPr>
                                    <w:t>m</w:t>
                                  </w:r>
                                </w:p>
                              </w:txbxContent>
                            </wps:txbx>
                            <wps:bodyPr wrap="square" lIns="0" tIns="0" rIns="0" bIns="0" upright="1"/>
                          </wps:wsp>
                        </a:graphicData>
                      </a:graphic>
                    </wp:anchor>
                  </w:drawing>
                </mc:Choice>
                <mc:Fallback>
                  <w:pict>
                    <v:rect id="矩形 566" o:spid="_x0000_s1026" o:spt="1" style="position:absolute;left:0pt;margin-left:175.6pt;margin-top:143.3pt;height:18.8pt;width:38.6pt;z-index:251659264;mso-width-relative:page;mso-height-relative:page;" fillcolor="#FFFFFF" filled="t" stroked="f" coordsize="21600,21600" o:gfxdata="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1FwY&#10;2QAAAAsBAAAPAAAAAAAAAAEAIAAAACIAAABkcnMvZG93bnJldi54bWxQSwECFAAUAAAACACHTuJA&#10;zswqUucBAADHAwAADgAAAAAAAAABACAAAAAoAQAAZHJzL2Uyb0RvYy54bWxQSwUGAAAAAAYABgBZ&#10;AQAAgQUAAAAA&#10;">
                      <v:fill on="t" opacity="0f" focussize="0,0"/>
                      <v:stroke on="f"/>
                      <v:imagedata o:title=""/>
                      <o:lock v:ext="edit" aspectratio="f"/>
                      <v:textbox inset="0mm,0mm,0mm,0mm">
                        <w:txbxContent>
                          <w:p w14:paraId="02973F38">
                            <w:pPr>
                              <w:pStyle w:val="27"/>
                              <w:bidi w:val="0"/>
                              <w:rPr>
                                <w:color w:val="FFFF00"/>
                              </w:rPr>
                            </w:pPr>
                            <w:r>
                              <w:rPr>
                                <w:rFonts w:hint="eastAsia"/>
                                <w:color w:val="FFFF00"/>
                                <w:lang w:val="en-US" w:eastAsia="zh-CN"/>
                              </w:rPr>
                              <w:t>580</w:t>
                            </w:r>
                            <w:r>
                              <w:rPr>
                                <w:rFonts w:hint="eastAsia"/>
                                <w:color w:val="FFFF00"/>
                              </w:rPr>
                              <w:t>m</w:t>
                            </w:r>
                          </w:p>
                        </w:txbxContent>
                      </v:textbox>
                    </v:rect>
                  </w:pict>
                </mc:Fallback>
              </mc:AlternateContent>
            </w:r>
            <w:r>
              <w:rPr>
                <w:rFonts w:hint="default" w:hAnsi="宋体"/>
                <w:b/>
                <w:bCs/>
                <w:color w:val="auto"/>
                <w:highlight w:val="none"/>
              </w:rPr>
              <w:drawing>
                <wp:anchor distT="0" distB="0" distL="114300" distR="114300" simplePos="0" relativeHeight="251670528" behindDoc="0" locked="0" layoutInCell="1" allowOverlap="1">
                  <wp:simplePos x="0" y="0"/>
                  <wp:positionH relativeFrom="column">
                    <wp:posOffset>4481830</wp:posOffset>
                  </wp:positionH>
                  <wp:positionV relativeFrom="paragraph">
                    <wp:posOffset>35560</wp:posOffset>
                  </wp:positionV>
                  <wp:extent cx="603250" cy="514985"/>
                  <wp:effectExtent l="9525" t="9525" r="15875" b="27940"/>
                  <wp:wrapNone/>
                  <wp:docPr id="14"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7"/>
                          <pic:cNvPicPr>
                            <a:picLocks noChangeAspect="1"/>
                          </pic:cNvPicPr>
                        </pic:nvPicPr>
                        <pic:blipFill>
                          <a:blip r:embed="rId10"/>
                          <a:stretch>
                            <a:fillRect/>
                          </a:stretch>
                        </pic:blipFill>
                        <pic:spPr>
                          <a:xfrm>
                            <a:off x="0" y="0"/>
                            <a:ext cx="603250" cy="51498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2697480</wp:posOffset>
                      </wp:positionH>
                      <wp:positionV relativeFrom="paragraph">
                        <wp:posOffset>820420</wp:posOffset>
                      </wp:positionV>
                      <wp:extent cx="22860" cy="1703070"/>
                      <wp:effectExtent l="16510" t="0" r="36830" b="11430"/>
                      <wp:wrapNone/>
                      <wp:docPr id="392" name="自选图形 515"/>
                      <wp:cNvGraphicFramePr/>
                      <a:graphic xmlns:a="http://schemas.openxmlformats.org/drawingml/2006/main">
                        <a:graphicData uri="http://schemas.microsoft.com/office/word/2010/wordprocessingShape">
                          <wps:wsp>
                            <wps:cNvCnPr/>
                            <wps:spPr>
                              <a:xfrm>
                                <a:off x="0" y="0"/>
                                <a:ext cx="22860" cy="1703070"/>
                              </a:xfrm>
                              <a:prstGeom prst="straightConnector1">
                                <a:avLst/>
                              </a:prstGeom>
                              <a:ln w="9525" cap="flat" cmpd="sng">
                                <a:solidFill>
                                  <a:srgbClr val="FFFF00"/>
                                </a:solidFill>
                                <a:prstDash val="solid"/>
                                <a:headEnd type="none" w="med" len="med"/>
                                <a:tailEnd type="triangle" w="med" len="med"/>
                              </a:ln>
                            </wps:spPr>
                            <wps:bodyPr/>
                          </wps:wsp>
                        </a:graphicData>
                      </a:graphic>
                    </wp:anchor>
                  </w:drawing>
                </mc:Choice>
                <mc:Fallback>
                  <w:pict>
                    <v:shape id="自选图形 515" o:spid="_x0000_s1026" o:spt="32" type="#_x0000_t32" style="position:absolute;left:0pt;margin-left:212.4pt;margin-top:64.6pt;height:134.1pt;width:1.8pt;z-index:251668480;mso-width-relative:page;mso-height-relative:page;" filled="f" stroked="t" coordsize="21600,21600" o:gfxdata="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usbaAAAACwEAAA8AAAAAAAAAAQAgAAAAIgAAAGRy&#10;cy9kb3ducmV2LnhtbFBLAQIUABQAAAAIAIdO4kBQDf0XAwIAAO8DAAAOAAAAAAAAAAEAIAAAACkB&#10;AABkcnMvZTJvRG9jLnhtbFBLBQYAAAAABgAGAFkBAACeBQAAAAA=&#10;">
                      <v:fill on="f" focussize="0,0"/>
                      <v:stroke color="#FFFF00" joinstyle="round" endarrow="block"/>
                      <v:imagedata o:title=""/>
                      <o:lock v:ext="edit" aspectratio="f"/>
                    </v:shape>
                  </w:pict>
                </mc:Fallback>
              </mc:AlternateContent>
            </w:r>
            <w:r>
              <w:rPr>
                <w:rFonts w:hint="default"/>
              </w:rPr>
              <w:drawing>
                <wp:inline distT="0" distB="0" distL="114300" distR="114300">
                  <wp:extent cx="5062220" cy="4429125"/>
                  <wp:effectExtent l="0" t="0" r="5080" b="952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1"/>
                          <a:stretch>
                            <a:fillRect/>
                          </a:stretch>
                        </pic:blipFill>
                        <pic:spPr>
                          <a:xfrm>
                            <a:off x="0" y="0"/>
                            <a:ext cx="5062220" cy="4429125"/>
                          </a:xfrm>
                          <a:prstGeom prst="rect">
                            <a:avLst/>
                          </a:prstGeom>
                          <a:noFill/>
                          <a:ln>
                            <a:noFill/>
                          </a:ln>
                        </pic:spPr>
                      </pic:pic>
                    </a:graphicData>
                  </a:graphic>
                </wp:inline>
              </w:drawing>
            </w:r>
          </w:p>
          <w:p w14:paraId="03EF2D27">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color w:val="auto"/>
                <w:highlight w:val="none"/>
              </w:rPr>
            </w:pPr>
            <w:r>
              <w:rPr>
                <w:rFonts w:hint="eastAsia"/>
                <w:color w:val="auto"/>
                <w:highlight w:val="none"/>
              </w:rPr>
              <w:t xml:space="preserve">图3-1 </w:t>
            </w:r>
            <w:r>
              <w:rPr>
                <w:rFonts w:hint="eastAsia"/>
                <w:color w:val="auto"/>
                <w:highlight w:val="none"/>
                <w:lang w:val="en-US" w:eastAsia="zh-CN"/>
              </w:rPr>
              <w:t xml:space="preserve"> </w:t>
            </w:r>
            <w:r>
              <w:rPr>
                <w:rFonts w:hint="eastAsia"/>
                <w:color w:val="auto"/>
                <w:highlight w:val="none"/>
              </w:rPr>
              <w:t>TSP大气环境监测点位图</w:t>
            </w:r>
          </w:p>
          <w:p w14:paraId="4C9930A8">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2、地表水环境质量</w:t>
            </w:r>
          </w:p>
          <w:p w14:paraId="4C8750DA">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p>
          <w:p w14:paraId="5D238F4F">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4A689CD1">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2CA62DB6">
            <w:pPr>
              <w:keepNext w:val="0"/>
              <w:keepLines w:val="0"/>
              <w:suppressLineNumbers w:val="0"/>
              <w:bidi w:val="0"/>
              <w:spacing w:before="0" w:beforeAutospacing="0" w:after="0" w:afterAutospacing="0"/>
              <w:ind w:left="0" w:right="0"/>
              <w:rPr>
                <w:rFonts w:hint="eastAsia"/>
                <w:b/>
                <w:bCs/>
                <w:color w:val="auto"/>
                <w:highlight w:val="none"/>
              </w:rPr>
            </w:pPr>
            <w:r>
              <w:rPr>
                <w:rFonts w:hint="default"/>
                <w:b/>
                <w:bCs/>
                <w:color w:val="auto"/>
                <w:highlight w:val="none"/>
              </w:rPr>
              <w:t>3、声环境质量现状评价</w:t>
            </w:r>
          </w:p>
          <w:p w14:paraId="3E58338A">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本项目位于</w:t>
            </w:r>
            <w:r>
              <w:rPr>
                <w:rFonts w:hint="default" w:ascii="Times New Roman" w:hAnsi="Times New Roman" w:eastAsia="Times New Roman" w:cs="Times New Roman"/>
                <w:b w:val="0"/>
                <w:bCs w:val="0"/>
                <w:color w:val="auto"/>
                <w:sz w:val="24"/>
                <w:szCs w:val="24"/>
                <w:highlight w:val="none"/>
              </w:rPr>
              <w:t>淮南</w:t>
            </w:r>
            <w:r>
              <w:rPr>
                <w:rFonts w:hint="eastAsia" w:ascii="Times New Roman" w:hAnsi="Times New Roman" w:eastAsia="宋体" w:cs="Times New Roman"/>
                <w:b w:val="0"/>
                <w:bCs w:val="0"/>
                <w:color w:val="auto"/>
                <w:sz w:val="24"/>
                <w:szCs w:val="24"/>
                <w:highlight w:val="none"/>
                <w:lang w:val="en-US" w:eastAsia="zh-CN"/>
              </w:rPr>
              <w:t>高新技术产业</w:t>
            </w:r>
            <w:r>
              <w:rPr>
                <w:rFonts w:hint="default" w:ascii="Times New Roman" w:hAnsi="Times New Roman" w:eastAsia="Times New Roman" w:cs="Times New Roman"/>
                <w:b w:val="0"/>
                <w:bCs w:val="0"/>
                <w:color w:val="auto"/>
                <w:sz w:val="24"/>
                <w:szCs w:val="24"/>
                <w:highlight w:val="none"/>
              </w:rPr>
              <w:t>开发区</w:t>
            </w:r>
            <w:r>
              <w:rPr>
                <w:rFonts w:hint="eastAsia"/>
                <w:color w:val="auto"/>
                <w:highlight w:val="none"/>
              </w:rPr>
              <w:t>内，项目厂界50m范围内没有声环境敏感目标，根据《指南》要求，新建项目区周边50m范围内无环境敏感点，未进行噪声现状监测。</w:t>
            </w:r>
          </w:p>
          <w:p w14:paraId="0102A348">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4、地下水和土壤环境质量现状</w:t>
            </w:r>
          </w:p>
          <w:p w14:paraId="699EAA72">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根据《建设项目环境影响报告表编制技术指南（污染影响类）（试行）》中要求，原则上不开展地下水和土壤环境质量现状调查。建设项目存在土壤、地下水环境污染途径的，应结合污染源、保护目标分布情况开展现状调查以留作背景值</w:t>
            </w:r>
            <w:r>
              <w:rPr>
                <w:rFonts w:hint="default"/>
                <w:color w:val="auto"/>
                <w:highlight w:val="none"/>
              </w:rPr>
              <w:t>。</w:t>
            </w:r>
          </w:p>
          <w:p w14:paraId="7A5453A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w:t>
            </w:r>
            <w:r>
              <w:rPr>
                <w:rFonts w:hint="eastAsia"/>
                <w:color w:val="auto"/>
                <w:highlight w:val="none"/>
                <w:lang w:val="en-US" w:eastAsia="zh-CN"/>
              </w:rPr>
              <w:t>建设位于办公楼内，检测过程涉及各种试剂均位于三楼，一楼危废间按照规范建设，基本切断了与地下水、土壤的污染途径</w:t>
            </w:r>
            <w:r>
              <w:rPr>
                <w:rFonts w:hint="eastAsia"/>
                <w:color w:val="auto"/>
                <w:highlight w:val="none"/>
              </w:rPr>
              <w:t>。生活污水经化粪池收集后经</w:t>
            </w:r>
            <w:r>
              <w:rPr>
                <w:rFonts w:hint="eastAsia"/>
                <w:color w:val="auto"/>
                <w:highlight w:val="none"/>
                <w:lang w:val="en-US" w:eastAsia="zh-CN"/>
              </w:rPr>
              <w:t>山南新区</w:t>
            </w:r>
            <w:r>
              <w:rPr>
                <w:rFonts w:hint="eastAsia"/>
                <w:color w:val="auto"/>
                <w:highlight w:val="none"/>
              </w:rPr>
              <w:t>污水处理厂处理。危废间等有液态物质存储区域采取重点防渗措施，液态物料存储于包装桶内，包装桶存放于防泄漏托盘内，存储物料不会外泄进入外环境对污染地下水和土壤造成污染。</w:t>
            </w:r>
          </w:p>
        </w:tc>
      </w:tr>
      <w:tr w14:paraId="14915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0" w:type="dxa"/>
            <w:noWrap w:val="0"/>
            <w:vAlign w:val="center"/>
          </w:tcPr>
          <w:p w14:paraId="4700E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环境</w:t>
            </w:r>
          </w:p>
          <w:p w14:paraId="153B97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保护</w:t>
            </w:r>
          </w:p>
          <w:p w14:paraId="55785F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kern w:val="0"/>
                <w:szCs w:val="21"/>
                <w:highlight w:val="none"/>
              </w:rPr>
            </w:pPr>
            <w:r>
              <w:rPr>
                <w:rFonts w:hint="default"/>
                <w:color w:val="auto"/>
                <w:highlight w:val="none"/>
              </w:rPr>
              <w:t>目标</w:t>
            </w:r>
          </w:p>
        </w:tc>
        <w:tc>
          <w:tcPr>
            <w:tcW w:w="8190" w:type="dxa"/>
            <w:noWrap w:val="0"/>
            <w:vAlign w:val="center"/>
          </w:tcPr>
          <w:p w14:paraId="43B28283">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本项目位于</w:t>
            </w:r>
            <w:r>
              <w:rPr>
                <w:rFonts w:hint="default" w:ascii="Times New Roman" w:hAnsi="Times New Roman" w:eastAsia="Times New Roman" w:cs="Times New Roman"/>
                <w:b w:val="0"/>
                <w:bCs w:val="0"/>
                <w:color w:val="auto"/>
                <w:sz w:val="24"/>
                <w:szCs w:val="24"/>
                <w:highlight w:val="none"/>
              </w:rPr>
              <w:t>淮南</w:t>
            </w:r>
            <w:r>
              <w:rPr>
                <w:rFonts w:hint="eastAsia" w:ascii="Times New Roman" w:hAnsi="Times New Roman" w:eastAsia="宋体" w:cs="Times New Roman"/>
                <w:b w:val="0"/>
                <w:bCs w:val="0"/>
                <w:color w:val="auto"/>
                <w:sz w:val="24"/>
                <w:szCs w:val="24"/>
                <w:highlight w:val="none"/>
                <w:lang w:val="en-US" w:eastAsia="zh-CN"/>
              </w:rPr>
              <w:t>高新技术产业</w:t>
            </w:r>
            <w:r>
              <w:rPr>
                <w:rFonts w:hint="default" w:ascii="Times New Roman" w:hAnsi="Times New Roman" w:eastAsia="Times New Roman" w:cs="Times New Roman"/>
                <w:b w:val="0"/>
                <w:bCs w:val="0"/>
                <w:color w:val="auto"/>
                <w:sz w:val="24"/>
                <w:szCs w:val="24"/>
                <w:highlight w:val="none"/>
              </w:rPr>
              <w:t>开发区</w:t>
            </w:r>
            <w:r>
              <w:rPr>
                <w:rFonts w:hint="eastAsia"/>
                <w:color w:val="auto"/>
                <w:highlight w:val="none"/>
              </w:rPr>
              <w:t>内</w:t>
            </w:r>
            <w:r>
              <w:rPr>
                <w:rFonts w:hint="default"/>
                <w:color w:val="auto"/>
                <w:highlight w:val="none"/>
              </w:rPr>
              <w:t>，项目评价范围内</w:t>
            </w:r>
            <w:r>
              <w:rPr>
                <w:rFonts w:hint="eastAsia"/>
                <w:color w:val="auto"/>
                <w:highlight w:val="none"/>
                <w:lang w:eastAsia="zh-CN"/>
              </w:rPr>
              <w:t>没有其他</w:t>
            </w:r>
            <w:r>
              <w:rPr>
                <w:rFonts w:hint="default"/>
                <w:color w:val="auto"/>
                <w:highlight w:val="none"/>
              </w:rPr>
              <w:t>自然保护区、风景旅游点和文物古迹等需要特殊保护的环境敏感对象。总体上不因本项目的实施而改变区域环境现有功能，具体环境保护目标如下：</w:t>
            </w:r>
          </w:p>
          <w:p w14:paraId="5835E791">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1、</w:t>
            </w:r>
            <w:r>
              <w:rPr>
                <w:rFonts w:hint="eastAsia"/>
                <w:b/>
                <w:bCs/>
                <w:color w:val="auto"/>
                <w:highlight w:val="none"/>
              </w:rPr>
              <w:t>大气环境保护目标</w:t>
            </w:r>
            <w:r>
              <w:rPr>
                <w:rFonts w:hint="default"/>
                <w:b/>
                <w:bCs/>
                <w:color w:val="auto"/>
                <w:highlight w:val="none"/>
              </w:rPr>
              <w:t>：</w:t>
            </w:r>
          </w:p>
          <w:p w14:paraId="00064802">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本</w:t>
            </w:r>
            <w:r>
              <w:rPr>
                <w:rFonts w:hint="default"/>
                <w:color w:val="auto"/>
                <w:highlight w:val="none"/>
              </w:rPr>
              <w:t>项目</w:t>
            </w:r>
            <w:r>
              <w:rPr>
                <w:rFonts w:hint="eastAsia"/>
                <w:color w:val="auto"/>
                <w:highlight w:val="none"/>
                <w:lang w:val="en-US" w:eastAsia="zh-CN"/>
              </w:rPr>
              <w:t>位于淮南宜青环境检测有限公司办公楼内，厂界西侧、东侧均新建办公楼，北侧开发区规划未利用工业用地，东侧为泰宁大街。</w:t>
            </w:r>
            <w:r>
              <w:rPr>
                <w:rFonts w:hint="default"/>
                <w:color w:val="auto"/>
                <w:highlight w:val="none"/>
              </w:rPr>
              <w:t>厂界外500米范围内</w:t>
            </w:r>
            <w:r>
              <w:rPr>
                <w:rFonts w:hint="eastAsia"/>
                <w:color w:val="auto"/>
                <w:highlight w:val="none"/>
              </w:rPr>
              <w:t>敏感点有</w:t>
            </w:r>
            <w:r>
              <w:rPr>
                <w:rFonts w:hint="eastAsia"/>
                <w:color w:val="auto"/>
                <w:highlight w:val="none"/>
                <w:lang w:val="en-US" w:eastAsia="zh-CN"/>
              </w:rPr>
              <w:t>5</w:t>
            </w:r>
            <w:r>
              <w:rPr>
                <w:rFonts w:hint="eastAsia"/>
                <w:color w:val="auto"/>
                <w:highlight w:val="none"/>
              </w:rPr>
              <w:t>个，</w:t>
            </w:r>
            <w:r>
              <w:rPr>
                <w:rFonts w:hint="default"/>
                <w:color w:val="auto"/>
                <w:highlight w:val="none"/>
              </w:rPr>
              <w:t>区域大气环境执行《环境空气质量标准》（GB3095-2012）中二级标准要求。</w:t>
            </w:r>
          </w:p>
          <w:p w14:paraId="2B710245">
            <w:pPr>
              <w:pStyle w:val="26"/>
              <w:keepNext w:val="0"/>
              <w:keepLines w:val="0"/>
              <w:suppressLineNumbers w:val="0"/>
              <w:bidi w:val="0"/>
              <w:spacing w:before="0" w:beforeAutospacing="0" w:after="0" w:afterAutospacing="0"/>
              <w:ind w:left="0" w:right="0"/>
              <w:rPr>
                <w:rFonts w:hint="eastAsia"/>
                <w:color w:val="auto"/>
                <w:highlight w:val="none"/>
                <w:lang w:val="zh-CN"/>
              </w:rPr>
            </w:pPr>
            <w:r>
              <w:rPr>
                <w:rFonts w:hint="default"/>
                <w:color w:val="auto"/>
                <w:highlight w:val="none"/>
                <w:lang w:val="zh-CN"/>
              </w:rPr>
              <w:t>表</w:t>
            </w:r>
            <w:r>
              <w:rPr>
                <w:rFonts w:hint="eastAsia"/>
                <w:color w:val="auto"/>
                <w:highlight w:val="none"/>
                <w:lang w:val="zh-CN"/>
              </w:rPr>
              <w:t>3-</w:t>
            </w:r>
            <w:r>
              <w:rPr>
                <w:rFonts w:hint="eastAsia"/>
                <w:color w:val="auto"/>
                <w:highlight w:val="none"/>
                <w:lang w:val="en-US" w:eastAsia="zh-CN"/>
              </w:rPr>
              <w:t>3</w:t>
            </w:r>
            <w:r>
              <w:rPr>
                <w:rFonts w:hint="eastAsia"/>
                <w:color w:val="auto"/>
                <w:highlight w:val="none"/>
                <w:lang w:val="zh-CN"/>
              </w:rPr>
              <w:t xml:space="preserve"> </w:t>
            </w:r>
            <w:r>
              <w:rPr>
                <w:rFonts w:hint="eastAsia"/>
                <w:color w:val="auto"/>
                <w:highlight w:val="none"/>
                <w:lang w:val="en-US" w:eastAsia="zh-CN"/>
              </w:rPr>
              <w:t xml:space="preserve"> </w:t>
            </w:r>
            <w:r>
              <w:rPr>
                <w:rFonts w:hint="default"/>
                <w:color w:val="auto"/>
                <w:highlight w:val="none"/>
                <w:lang w:val="zh-CN"/>
              </w:rPr>
              <w:t>项目周边主要大气环境保护目标一览表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128"/>
              <w:gridCol w:w="1235"/>
              <w:gridCol w:w="1176"/>
              <w:gridCol w:w="1265"/>
              <w:gridCol w:w="1003"/>
              <w:gridCol w:w="851"/>
              <w:gridCol w:w="882"/>
            </w:tblGrid>
            <w:tr w14:paraId="1077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vMerge w:val="restart"/>
                  <w:noWrap w:val="0"/>
                  <w:vAlign w:val="center"/>
                </w:tcPr>
                <w:p w14:paraId="6C421DF5">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序号</w:t>
                  </w:r>
                </w:p>
              </w:tc>
              <w:tc>
                <w:tcPr>
                  <w:tcW w:w="708" w:type="pct"/>
                  <w:vMerge w:val="restart"/>
                  <w:noWrap w:val="0"/>
                  <w:vAlign w:val="center"/>
                </w:tcPr>
                <w:p w14:paraId="4D5CB2CF">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名称</w:t>
                  </w:r>
                </w:p>
              </w:tc>
              <w:tc>
                <w:tcPr>
                  <w:tcW w:w="1513" w:type="pct"/>
                  <w:gridSpan w:val="2"/>
                  <w:noWrap w:val="0"/>
                  <w:vAlign w:val="center"/>
                </w:tcPr>
                <w:p w14:paraId="5B568D37">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坐标</w:t>
                  </w:r>
                </w:p>
              </w:tc>
              <w:tc>
                <w:tcPr>
                  <w:tcW w:w="794" w:type="pct"/>
                  <w:vMerge w:val="restart"/>
                  <w:noWrap w:val="0"/>
                  <w:vAlign w:val="center"/>
                </w:tcPr>
                <w:p w14:paraId="7CCDEC6A">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保护内容</w:t>
                  </w:r>
                  <w:r>
                    <w:rPr>
                      <w:rFonts w:hint="eastAsia"/>
                      <w:b/>
                      <w:bCs/>
                      <w:color w:val="auto"/>
                      <w:highlight w:val="none"/>
                    </w:rPr>
                    <w:t>（户/人）</w:t>
                  </w:r>
                </w:p>
              </w:tc>
              <w:tc>
                <w:tcPr>
                  <w:tcW w:w="629" w:type="pct"/>
                  <w:vMerge w:val="restart"/>
                  <w:noWrap w:val="0"/>
                  <w:vAlign w:val="center"/>
                </w:tcPr>
                <w:p w14:paraId="7B3E012F">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环境功能区划</w:t>
                  </w:r>
                </w:p>
              </w:tc>
              <w:tc>
                <w:tcPr>
                  <w:tcW w:w="534" w:type="pct"/>
                  <w:vMerge w:val="restart"/>
                  <w:noWrap w:val="0"/>
                  <w:vAlign w:val="center"/>
                </w:tcPr>
                <w:p w14:paraId="5C7DABC9">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相对厂址方位</w:t>
                  </w:r>
                </w:p>
              </w:tc>
              <w:tc>
                <w:tcPr>
                  <w:tcW w:w="553" w:type="pct"/>
                  <w:vMerge w:val="restart"/>
                  <w:noWrap w:val="0"/>
                  <w:vAlign w:val="center"/>
                </w:tcPr>
                <w:p w14:paraId="726B6223">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相对厂界距离</w:t>
                  </w:r>
                </w:p>
              </w:tc>
            </w:tr>
            <w:tr w14:paraId="186B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vMerge w:val="continue"/>
                  <w:noWrap w:val="0"/>
                  <w:vAlign w:val="center"/>
                </w:tcPr>
                <w:p w14:paraId="2B747143">
                  <w:pPr>
                    <w:pStyle w:val="27"/>
                    <w:keepNext w:val="0"/>
                    <w:keepLines w:val="0"/>
                    <w:suppressLineNumbers w:val="0"/>
                    <w:bidi w:val="0"/>
                    <w:spacing w:before="0" w:beforeAutospacing="0" w:after="0" w:afterAutospacing="0"/>
                    <w:ind w:left="0" w:right="0"/>
                    <w:rPr>
                      <w:color w:val="auto"/>
                      <w:highlight w:val="none"/>
                    </w:rPr>
                  </w:pPr>
                </w:p>
              </w:tc>
              <w:tc>
                <w:tcPr>
                  <w:tcW w:w="708" w:type="pct"/>
                  <w:vMerge w:val="continue"/>
                  <w:noWrap w:val="0"/>
                  <w:vAlign w:val="center"/>
                </w:tcPr>
                <w:p w14:paraId="054C814A">
                  <w:pPr>
                    <w:pStyle w:val="27"/>
                    <w:keepNext w:val="0"/>
                    <w:keepLines w:val="0"/>
                    <w:suppressLineNumbers w:val="0"/>
                    <w:bidi w:val="0"/>
                    <w:spacing w:before="0" w:beforeAutospacing="0" w:after="0" w:afterAutospacing="0"/>
                    <w:ind w:left="0" w:right="0"/>
                    <w:rPr>
                      <w:color w:val="auto"/>
                      <w:highlight w:val="none"/>
                    </w:rPr>
                  </w:pPr>
                </w:p>
              </w:tc>
              <w:tc>
                <w:tcPr>
                  <w:tcW w:w="775" w:type="pct"/>
                  <w:noWrap w:val="0"/>
                  <w:vAlign w:val="center"/>
                </w:tcPr>
                <w:p w14:paraId="7D833DA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X</w:t>
                  </w:r>
                </w:p>
              </w:tc>
              <w:tc>
                <w:tcPr>
                  <w:tcW w:w="738" w:type="pct"/>
                  <w:noWrap w:val="0"/>
                  <w:vAlign w:val="center"/>
                </w:tcPr>
                <w:p w14:paraId="3782890F">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Y</w:t>
                  </w:r>
                </w:p>
              </w:tc>
              <w:tc>
                <w:tcPr>
                  <w:tcW w:w="794" w:type="pct"/>
                  <w:vMerge w:val="continue"/>
                  <w:noWrap w:val="0"/>
                  <w:vAlign w:val="center"/>
                </w:tcPr>
                <w:p w14:paraId="257E787B">
                  <w:pPr>
                    <w:pStyle w:val="27"/>
                    <w:keepNext w:val="0"/>
                    <w:keepLines w:val="0"/>
                    <w:suppressLineNumbers w:val="0"/>
                    <w:bidi w:val="0"/>
                    <w:spacing w:before="0" w:beforeAutospacing="0" w:after="0" w:afterAutospacing="0"/>
                    <w:ind w:left="0" w:right="0"/>
                    <w:rPr>
                      <w:color w:val="auto"/>
                      <w:highlight w:val="none"/>
                    </w:rPr>
                  </w:pPr>
                </w:p>
              </w:tc>
              <w:tc>
                <w:tcPr>
                  <w:tcW w:w="629" w:type="pct"/>
                  <w:vMerge w:val="continue"/>
                  <w:noWrap w:val="0"/>
                  <w:vAlign w:val="center"/>
                </w:tcPr>
                <w:p w14:paraId="2E485938">
                  <w:pPr>
                    <w:pStyle w:val="27"/>
                    <w:keepNext w:val="0"/>
                    <w:keepLines w:val="0"/>
                    <w:suppressLineNumbers w:val="0"/>
                    <w:bidi w:val="0"/>
                    <w:spacing w:before="0" w:beforeAutospacing="0" w:after="0" w:afterAutospacing="0"/>
                    <w:ind w:left="0" w:right="0"/>
                    <w:rPr>
                      <w:color w:val="auto"/>
                      <w:highlight w:val="none"/>
                    </w:rPr>
                  </w:pPr>
                </w:p>
              </w:tc>
              <w:tc>
                <w:tcPr>
                  <w:tcW w:w="534" w:type="pct"/>
                  <w:vMerge w:val="continue"/>
                  <w:noWrap w:val="0"/>
                  <w:vAlign w:val="center"/>
                </w:tcPr>
                <w:p w14:paraId="5738BBC7">
                  <w:pPr>
                    <w:pStyle w:val="27"/>
                    <w:keepNext w:val="0"/>
                    <w:keepLines w:val="0"/>
                    <w:suppressLineNumbers w:val="0"/>
                    <w:bidi w:val="0"/>
                    <w:spacing w:before="0" w:beforeAutospacing="0" w:after="0" w:afterAutospacing="0"/>
                    <w:ind w:left="0" w:right="0"/>
                    <w:rPr>
                      <w:color w:val="auto"/>
                      <w:highlight w:val="none"/>
                    </w:rPr>
                  </w:pPr>
                </w:p>
              </w:tc>
              <w:tc>
                <w:tcPr>
                  <w:tcW w:w="553" w:type="pct"/>
                  <w:vMerge w:val="continue"/>
                  <w:noWrap w:val="0"/>
                  <w:vAlign w:val="center"/>
                </w:tcPr>
                <w:p w14:paraId="42E8D280">
                  <w:pPr>
                    <w:pStyle w:val="27"/>
                    <w:keepNext w:val="0"/>
                    <w:keepLines w:val="0"/>
                    <w:suppressLineNumbers w:val="0"/>
                    <w:bidi w:val="0"/>
                    <w:spacing w:before="0" w:beforeAutospacing="0" w:after="0" w:afterAutospacing="0"/>
                    <w:ind w:left="0" w:right="0"/>
                    <w:rPr>
                      <w:color w:val="auto"/>
                      <w:highlight w:val="none"/>
                    </w:rPr>
                  </w:pPr>
                </w:p>
              </w:tc>
            </w:tr>
            <w:tr w14:paraId="7531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noWrap w:val="0"/>
                  <w:vAlign w:val="center"/>
                </w:tcPr>
                <w:p w14:paraId="0FCFA63C">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1</w:t>
                  </w:r>
                </w:p>
              </w:tc>
              <w:tc>
                <w:tcPr>
                  <w:tcW w:w="708" w:type="pct"/>
                  <w:noWrap w:val="0"/>
                  <w:vAlign w:val="center"/>
                </w:tcPr>
                <w:p w14:paraId="6699978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英伦联邦</w:t>
                  </w:r>
                </w:p>
              </w:tc>
              <w:tc>
                <w:tcPr>
                  <w:tcW w:w="775" w:type="pct"/>
                  <w:noWrap w:val="0"/>
                  <w:vAlign w:val="center"/>
                </w:tcPr>
                <w:p w14:paraId="6AF7CFA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11</w:t>
                  </w:r>
                  <w:r>
                    <w:rPr>
                      <w:rFonts w:hint="eastAsia"/>
                      <w:color w:val="auto"/>
                      <w:highlight w:val="none"/>
                      <w:lang w:val="en-US" w:eastAsia="zh-CN"/>
                    </w:rPr>
                    <w:t>7.007717</w:t>
                  </w:r>
                </w:p>
              </w:tc>
              <w:tc>
                <w:tcPr>
                  <w:tcW w:w="738" w:type="pct"/>
                  <w:noWrap w:val="0"/>
                  <w:vAlign w:val="center"/>
                </w:tcPr>
                <w:p w14:paraId="2779094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32.</w:t>
                  </w:r>
                  <w:r>
                    <w:rPr>
                      <w:rFonts w:hint="eastAsia"/>
                      <w:color w:val="auto"/>
                      <w:highlight w:val="none"/>
                      <w:lang w:val="en-US" w:eastAsia="zh-CN"/>
                    </w:rPr>
                    <w:t>563006</w:t>
                  </w:r>
                </w:p>
              </w:tc>
              <w:tc>
                <w:tcPr>
                  <w:tcW w:w="794" w:type="pct"/>
                  <w:noWrap w:val="0"/>
                  <w:vAlign w:val="center"/>
                </w:tcPr>
                <w:p w14:paraId="37291BD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3234户9702人</w:t>
                  </w:r>
                </w:p>
              </w:tc>
              <w:tc>
                <w:tcPr>
                  <w:tcW w:w="629" w:type="pct"/>
                  <w:vMerge w:val="restart"/>
                  <w:noWrap w:val="0"/>
                  <w:vAlign w:val="center"/>
                </w:tcPr>
                <w:p w14:paraId="1DA9CE9C">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《环境空气质量标准</w:t>
                  </w:r>
                  <w:r>
                    <w:rPr>
                      <w:rFonts w:hint="eastAsia"/>
                      <w:color w:val="auto"/>
                      <w:highlight w:val="none"/>
                    </w:rPr>
                    <w:t>》</w:t>
                  </w:r>
                  <w:r>
                    <w:rPr>
                      <w:color w:val="auto"/>
                      <w:highlight w:val="none"/>
                    </w:rPr>
                    <w:t>（GB3095-2012）中的二级标准</w:t>
                  </w:r>
                </w:p>
              </w:tc>
              <w:tc>
                <w:tcPr>
                  <w:tcW w:w="534" w:type="pct"/>
                  <w:noWrap w:val="0"/>
                  <w:vAlign w:val="center"/>
                </w:tcPr>
                <w:p w14:paraId="46657A5C">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E</w:t>
                  </w:r>
                </w:p>
              </w:tc>
              <w:tc>
                <w:tcPr>
                  <w:tcW w:w="553" w:type="pct"/>
                  <w:noWrap w:val="0"/>
                  <w:vAlign w:val="center"/>
                </w:tcPr>
                <w:p w14:paraId="525787D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407</w:t>
                  </w:r>
                  <w:r>
                    <w:rPr>
                      <w:color w:val="auto"/>
                      <w:highlight w:val="none"/>
                    </w:rPr>
                    <w:t>m</w:t>
                  </w:r>
                </w:p>
              </w:tc>
            </w:tr>
            <w:tr w14:paraId="2844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noWrap w:val="0"/>
                  <w:vAlign w:val="center"/>
                </w:tcPr>
                <w:p w14:paraId="76F37767">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2</w:t>
                  </w:r>
                </w:p>
              </w:tc>
              <w:tc>
                <w:tcPr>
                  <w:tcW w:w="708" w:type="pct"/>
                  <w:noWrap w:val="0"/>
                  <w:vAlign w:val="center"/>
                </w:tcPr>
                <w:p w14:paraId="1832DF2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市场监督管理局</w:t>
                  </w:r>
                </w:p>
              </w:tc>
              <w:tc>
                <w:tcPr>
                  <w:tcW w:w="775" w:type="pct"/>
                  <w:noWrap w:val="0"/>
                  <w:vAlign w:val="center"/>
                </w:tcPr>
                <w:p w14:paraId="4261383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117.004075</w:t>
                  </w:r>
                </w:p>
              </w:tc>
              <w:tc>
                <w:tcPr>
                  <w:tcW w:w="738" w:type="pct"/>
                  <w:noWrap w:val="0"/>
                  <w:vAlign w:val="center"/>
                </w:tcPr>
                <w:p w14:paraId="0B5726E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32.556558</w:t>
                  </w:r>
                </w:p>
              </w:tc>
              <w:tc>
                <w:tcPr>
                  <w:tcW w:w="794" w:type="pct"/>
                  <w:noWrap w:val="0"/>
                  <w:vAlign w:val="center"/>
                </w:tcPr>
                <w:p w14:paraId="2737F9FD">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约80人</w:t>
                  </w:r>
                </w:p>
              </w:tc>
              <w:tc>
                <w:tcPr>
                  <w:tcW w:w="629" w:type="pct"/>
                  <w:vMerge w:val="continue"/>
                  <w:noWrap w:val="0"/>
                  <w:vAlign w:val="center"/>
                </w:tcPr>
                <w:p w14:paraId="3C0F65A4">
                  <w:pPr>
                    <w:pStyle w:val="27"/>
                    <w:keepNext w:val="0"/>
                    <w:keepLines w:val="0"/>
                    <w:suppressLineNumbers w:val="0"/>
                    <w:bidi w:val="0"/>
                    <w:spacing w:before="0" w:beforeAutospacing="0" w:after="0" w:afterAutospacing="0"/>
                    <w:ind w:left="0" w:right="0"/>
                    <w:rPr>
                      <w:color w:val="auto"/>
                      <w:highlight w:val="none"/>
                    </w:rPr>
                  </w:pPr>
                </w:p>
              </w:tc>
              <w:tc>
                <w:tcPr>
                  <w:tcW w:w="534" w:type="pct"/>
                  <w:noWrap w:val="0"/>
                  <w:vAlign w:val="center"/>
                </w:tcPr>
                <w:p w14:paraId="5FEF9F7D">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SE</w:t>
                  </w:r>
                </w:p>
              </w:tc>
              <w:tc>
                <w:tcPr>
                  <w:tcW w:w="553" w:type="pct"/>
                  <w:noWrap w:val="0"/>
                  <w:vAlign w:val="center"/>
                </w:tcPr>
                <w:p w14:paraId="0FEAE7CE">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441</w:t>
                  </w:r>
                  <w:r>
                    <w:rPr>
                      <w:color w:val="auto"/>
                      <w:highlight w:val="none"/>
                    </w:rPr>
                    <w:t>m</w:t>
                  </w:r>
                </w:p>
              </w:tc>
            </w:tr>
            <w:tr w14:paraId="5B69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noWrap w:val="0"/>
                  <w:vAlign w:val="center"/>
                </w:tcPr>
                <w:p w14:paraId="4A4D9EFD">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3</w:t>
                  </w:r>
                </w:p>
              </w:tc>
              <w:tc>
                <w:tcPr>
                  <w:tcW w:w="708" w:type="pct"/>
                  <w:noWrap w:val="0"/>
                  <w:vAlign w:val="center"/>
                </w:tcPr>
                <w:p w14:paraId="2A046A19">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行政办公楼</w:t>
                  </w:r>
                </w:p>
              </w:tc>
              <w:tc>
                <w:tcPr>
                  <w:tcW w:w="775" w:type="pct"/>
                  <w:noWrap w:val="0"/>
                  <w:vAlign w:val="center"/>
                </w:tcPr>
                <w:p w14:paraId="7F98CE0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116.998818</w:t>
                  </w:r>
                </w:p>
              </w:tc>
              <w:tc>
                <w:tcPr>
                  <w:tcW w:w="738" w:type="pct"/>
                  <w:noWrap w:val="0"/>
                  <w:vAlign w:val="center"/>
                </w:tcPr>
                <w:p w14:paraId="1342775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32.557706</w:t>
                  </w:r>
                </w:p>
              </w:tc>
              <w:tc>
                <w:tcPr>
                  <w:tcW w:w="794" w:type="pct"/>
                  <w:noWrap w:val="0"/>
                  <w:vAlign w:val="center"/>
                </w:tcPr>
                <w:p w14:paraId="10CD3CEE">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约200人</w:t>
                  </w:r>
                </w:p>
              </w:tc>
              <w:tc>
                <w:tcPr>
                  <w:tcW w:w="629" w:type="pct"/>
                  <w:vMerge w:val="continue"/>
                  <w:noWrap w:val="0"/>
                  <w:vAlign w:val="center"/>
                </w:tcPr>
                <w:p w14:paraId="218C12E6">
                  <w:pPr>
                    <w:pStyle w:val="27"/>
                    <w:keepNext w:val="0"/>
                    <w:keepLines w:val="0"/>
                    <w:suppressLineNumbers w:val="0"/>
                    <w:bidi w:val="0"/>
                    <w:spacing w:before="0" w:beforeAutospacing="0" w:after="0" w:afterAutospacing="0"/>
                    <w:ind w:left="0" w:right="0"/>
                    <w:rPr>
                      <w:color w:val="auto"/>
                      <w:highlight w:val="none"/>
                    </w:rPr>
                  </w:pPr>
                </w:p>
              </w:tc>
              <w:tc>
                <w:tcPr>
                  <w:tcW w:w="534" w:type="pct"/>
                  <w:noWrap w:val="0"/>
                  <w:vAlign w:val="center"/>
                </w:tcPr>
                <w:p w14:paraId="53805B85">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SW</w:t>
                  </w:r>
                </w:p>
              </w:tc>
              <w:tc>
                <w:tcPr>
                  <w:tcW w:w="553" w:type="pct"/>
                  <w:noWrap w:val="0"/>
                  <w:vAlign w:val="center"/>
                </w:tcPr>
                <w:p w14:paraId="0C5861B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307</w:t>
                  </w:r>
                  <w:r>
                    <w:rPr>
                      <w:color w:val="auto"/>
                      <w:highlight w:val="none"/>
                    </w:rPr>
                    <w:t>m</w:t>
                  </w:r>
                </w:p>
              </w:tc>
            </w:tr>
            <w:tr w14:paraId="7DD2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noWrap w:val="0"/>
                  <w:vAlign w:val="center"/>
                </w:tcPr>
                <w:p w14:paraId="2F822062">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4</w:t>
                  </w:r>
                </w:p>
              </w:tc>
              <w:tc>
                <w:tcPr>
                  <w:tcW w:w="708" w:type="pct"/>
                  <w:noWrap w:val="0"/>
                  <w:vAlign w:val="center"/>
                </w:tcPr>
                <w:p w14:paraId="5870116B">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淮南大气科学研究院</w:t>
                  </w:r>
                </w:p>
              </w:tc>
              <w:tc>
                <w:tcPr>
                  <w:tcW w:w="775" w:type="pct"/>
                  <w:noWrap w:val="0"/>
                  <w:vAlign w:val="center"/>
                </w:tcPr>
                <w:p w14:paraId="4485D29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116.996736</w:t>
                  </w:r>
                </w:p>
              </w:tc>
              <w:tc>
                <w:tcPr>
                  <w:tcW w:w="738" w:type="pct"/>
                  <w:noWrap w:val="0"/>
                  <w:vAlign w:val="center"/>
                </w:tcPr>
                <w:p w14:paraId="75C3C2E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32.557513</w:t>
                  </w:r>
                </w:p>
              </w:tc>
              <w:tc>
                <w:tcPr>
                  <w:tcW w:w="794" w:type="pct"/>
                  <w:noWrap w:val="0"/>
                  <w:vAlign w:val="center"/>
                </w:tcPr>
                <w:p w14:paraId="2F11C82A">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约65人</w:t>
                  </w:r>
                </w:p>
              </w:tc>
              <w:tc>
                <w:tcPr>
                  <w:tcW w:w="629" w:type="pct"/>
                  <w:vMerge w:val="continue"/>
                  <w:noWrap w:val="0"/>
                  <w:vAlign w:val="center"/>
                </w:tcPr>
                <w:p w14:paraId="3F1BE0A7">
                  <w:pPr>
                    <w:pStyle w:val="27"/>
                    <w:keepNext w:val="0"/>
                    <w:keepLines w:val="0"/>
                    <w:suppressLineNumbers w:val="0"/>
                    <w:bidi w:val="0"/>
                    <w:spacing w:before="0" w:beforeAutospacing="0" w:after="0" w:afterAutospacing="0"/>
                    <w:ind w:left="0" w:right="0"/>
                    <w:rPr>
                      <w:color w:val="auto"/>
                      <w:highlight w:val="none"/>
                    </w:rPr>
                  </w:pPr>
                </w:p>
              </w:tc>
              <w:tc>
                <w:tcPr>
                  <w:tcW w:w="534" w:type="pct"/>
                  <w:noWrap w:val="0"/>
                  <w:vAlign w:val="center"/>
                </w:tcPr>
                <w:p w14:paraId="4EC0DA89">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SW</w:t>
                  </w:r>
                </w:p>
              </w:tc>
              <w:tc>
                <w:tcPr>
                  <w:tcW w:w="553" w:type="pct"/>
                  <w:noWrap w:val="0"/>
                  <w:vAlign w:val="center"/>
                </w:tcPr>
                <w:p w14:paraId="59314DC0">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468</w:t>
                  </w:r>
                  <w:r>
                    <w:rPr>
                      <w:color w:val="auto"/>
                      <w:highlight w:val="none"/>
                    </w:rPr>
                    <w:t>m</w:t>
                  </w:r>
                </w:p>
              </w:tc>
            </w:tr>
            <w:tr w14:paraId="5B01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6" w:type="pct"/>
                  <w:noWrap w:val="0"/>
                  <w:vAlign w:val="center"/>
                </w:tcPr>
                <w:p w14:paraId="03DCF7E8">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5</w:t>
                  </w:r>
                </w:p>
              </w:tc>
              <w:tc>
                <w:tcPr>
                  <w:tcW w:w="708" w:type="pct"/>
                  <w:noWrap w:val="0"/>
                  <w:vAlign w:val="center"/>
                </w:tcPr>
                <w:p w14:paraId="602F6599">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高新区管委会</w:t>
                  </w:r>
                </w:p>
              </w:tc>
              <w:tc>
                <w:tcPr>
                  <w:tcW w:w="775" w:type="pct"/>
                  <w:noWrap w:val="0"/>
                  <w:vAlign w:val="center"/>
                </w:tcPr>
                <w:p w14:paraId="681C5B8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116.998914</w:t>
                  </w:r>
                </w:p>
              </w:tc>
              <w:tc>
                <w:tcPr>
                  <w:tcW w:w="738" w:type="pct"/>
                  <w:noWrap w:val="0"/>
                  <w:vAlign w:val="center"/>
                </w:tcPr>
                <w:p w14:paraId="6D9D2AD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32.556257</w:t>
                  </w:r>
                </w:p>
              </w:tc>
              <w:tc>
                <w:tcPr>
                  <w:tcW w:w="794" w:type="pct"/>
                  <w:noWrap w:val="0"/>
                  <w:vAlign w:val="center"/>
                </w:tcPr>
                <w:p w14:paraId="1AD93BBB">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约60人</w:t>
                  </w:r>
                </w:p>
              </w:tc>
              <w:tc>
                <w:tcPr>
                  <w:tcW w:w="629" w:type="pct"/>
                  <w:vMerge w:val="continue"/>
                  <w:noWrap w:val="0"/>
                  <w:vAlign w:val="center"/>
                </w:tcPr>
                <w:p w14:paraId="5271BABD">
                  <w:pPr>
                    <w:pStyle w:val="27"/>
                    <w:keepNext w:val="0"/>
                    <w:keepLines w:val="0"/>
                    <w:suppressLineNumbers w:val="0"/>
                    <w:bidi w:val="0"/>
                    <w:spacing w:before="0" w:beforeAutospacing="0" w:after="0" w:afterAutospacing="0"/>
                    <w:ind w:left="0" w:right="0"/>
                    <w:rPr>
                      <w:color w:val="auto"/>
                      <w:highlight w:val="none"/>
                    </w:rPr>
                  </w:pPr>
                </w:p>
              </w:tc>
              <w:tc>
                <w:tcPr>
                  <w:tcW w:w="534" w:type="pct"/>
                  <w:noWrap w:val="0"/>
                  <w:vAlign w:val="center"/>
                </w:tcPr>
                <w:p w14:paraId="59A25F4E">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SW</w:t>
                  </w:r>
                </w:p>
              </w:tc>
              <w:tc>
                <w:tcPr>
                  <w:tcW w:w="553" w:type="pct"/>
                  <w:noWrap w:val="0"/>
                  <w:vAlign w:val="center"/>
                </w:tcPr>
                <w:p w14:paraId="6EEAFB63">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451</w:t>
                  </w:r>
                  <w:r>
                    <w:rPr>
                      <w:color w:val="auto"/>
                      <w:highlight w:val="none"/>
                    </w:rPr>
                    <w:t>m</w:t>
                  </w:r>
                </w:p>
              </w:tc>
            </w:tr>
          </w:tbl>
          <w:p w14:paraId="078D98EC">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2、</w:t>
            </w:r>
            <w:r>
              <w:rPr>
                <w:rFonts w:hint="default"/>
                <w:b/>
                <w:bCs/>
                <w:color w:val="auto"/>
                <w:highlight w:val="none"/>
              </w:rPr>
              <w:t>声</w:t>
            </w:r>
            <w:r>
              <w:rPr>
                <w:rFonts w:hint="eastAsia"/>
                <w:b/>
                <w:bCs/>
                <w:color w:val="auto"/>
                <w:highlight w:val="none"/>
              </w:rPr>
              <w:t>环境保护目标</w:t>
            </w:r>
            <w:r>
              <w:rPr>
                <w:rFonts w:hint="default"/>
                <w:b/>
                <w:bCs/>
                <w:color w:val="auto"/>
                <w:highlight w:val="none"/>
              </w:rPr>
              <w:t>：</w:t>
            </w:r>
          </w:p>
          <w:p w14:paraId="3B40DBBD">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项目区声环境执行《声环境质量标准》（GB3096-2008）中3类区标准要求</w:t>
            </w:r>
            <w:r>
              <w:rPr>
                <w:rFonts w:hint="eastAsia"/>
                <w:color w:val="auto"/>
                <w:highlight w:val="none"/>
              </w:rPr>
              <w:t>，</w:t>
            </w:r>
            <w:r>
              <w:rPr>
                <w:rFonts w:hint="eastAsia"/>
                <w:color w:val="auto"/>
                <w:highlight w:val="none"/>
                <w:lang w:val="en-US" w:eastAsia="zh-CN"/>
              </w:rPr>
              <w:t>项目厂界</w:t>
            </w:r>
            <w:r>
              <w:rPr>
                <w:rFonts w:hint="default"/>
                <w:color w:val="auto"/>
                <w:highlight w:val="none"/>
              </w:rPr>
              <w:t>外50米范围内，无声环境保护目标</w:t>
            </w:r>
            <w:r>
              <w:rPr>
                <w:rFonts w:hint="eastAsia"/>
                <w:color w:val="auto"/>
                <w:highlight w:val="none"/>
              </w:rPr>
              <w:t>。</w:t>
            </w:r>
          </w:p>
          <w:p w14:paraId="7559BD5C">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3、</w:t>
            </w:r>
            <w:r>
              <w:rPr>
                <w:rFonts w:hint="eastAsia"/>
                <w:b/>
                <w:bCs/>
                <w:color w:val="auto"/>
                <w:highlight w:val="none"/>
              </w:rPr>
              <w:t>地下水环境保护目标</w:t>
            </w:r>
          </w:p>
          <w:p w14:paraId="4C50ECD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本项目位于</w:t>
            </w:r>
            <w:r>
              <w:rPr>
                <w:rFonts w:hint="default" w:ascii="Times New Roman" w:hAnsi="Times New Roman" w:eastAsia="Times New Roman" w:cs="Times New Roman"/>
                <w:b w:val="0"/>
                <w:bCs w:val="0"/>
                <w:color w:val="auto"/>
                <w:sz w:val="24"/>
                <w:szCs w:val="24"/>
                <w:highlight w:val="none"/>
              </w:rPr>
              <w:t>淮南</w:t>
            </w:r>
            <w:r>
              <w:rPr>
                <w:rFonts w:hint="eastAsia" w:ascii="Times New Roman" w:hAnsi="Times New Roman" w:eastAsia="宋体" w:cs="Times New Roman"/>
                <w:b w:val="0"/>
                <w:bCs w:val="0"/>
                <w:color w:val="auto"/>
                <w:sz w:val="24"/>
                <w:szCs w:val="24"/>
                <w:highlight w:val="none"/>
                <w:lang w:val="en-US" w:eastAsia="zh-CN"/>
              </w:rPr>
              <w:t>高新技术产业</w:t>
            </w:r>
            <w:r>
              <w:rPr>
                <w:rFonts w:hint="default" w:ascii="Times New Roman" w:hAnsi="Times New Roman" w:eastAsia="Times New Roman" w:cs="Times New Roman"/>
                <w:b w:val="0"/>
                <w:bCs w:val="0"/>
                <w:color w:val="auto"/>
                <w:sz w:val="24"/>
                <w:szCs w:val="24"/>
                <w:highlight w:val="none"/>
              </w:rPr>
              <w:t>开发区</w:t>
            </w:r>
            <w:r>
              <w:rPr>
                <w:rFonts w:hint="eastAsia"/>
                <w:color w:val="auto"/>
                <w:highlight w:val="none"/>
              </w:rPr>
              <w:t>，项目厂界外500米范围内不涉及地下水集中式饮用水水源和热水、矿泉水、温泉等特殊地下水资源。</w:t>
            </w:r>
          </w:p>
          <w:p w14:paraId="7E59C56E">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lang w:val="en-US" w:eastAsia="zh-CN"/>
              </w:rPr>
              <w:t>4、</w:t>
            </w:r>
            <w:r>
              <w:rPr>
                <w:rFonts w:hint="eastAsia"/>
                <w:b/>
                <w:bCs/>
                <w:color w:val="auto"/>
                <w:highlight w:val="none"/>
              </w:rPr>
              <w:t>生态环境保护目标</w:t>
            </w:r>
          </w:p>
          <w:p w14:paraId="35499B70">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本项目位于</w:t>
            </w:r>
            <w:r>
              <w:rPr>
                <w:rFonts w:hint="default" w:ascii="Times New Roman" w:hAnsi="Times New Roman" w:eastAsia="Times New Roman" w:cs="Times New Roman"/>
                <w:b w:val="0"/>
                <w:bCs w:val="0"/>
                <w:color w:val="auto"/>
                <w:sz w:val="24"/>
                <w:szCs w:val="24"/>
                <w:highlight w:val="none"/>
              </w:rPr>
              <w:t>淮南</w:t>
            </w:r>
            <w:r>
              <w:rPr>
                <w:rFonts w:hint="eastAsia" w:ascii="Times New Roman" w:hAnsi="Times New Roman" w:eastAsia="宋体" w:cs="Times New Roman"/>
                <w:b w:val="0"/>
                <w:bCs w:val="0"/>
                <w:color w:val="auto"/>
                <w:sz w:val="24"/>
                <w:szCs w:val="24"/>
                <w:highlight w:val="none"/>
                <w:lang w:val="en-US" w:eastAsia="zh-CN"/>
              </w:rPr>
              <w:t>高新技术产业</w:t>
            </w:r>
            <w:r>
              <w:rPr>
                <w:rFonts w:hint="default" w:ascii="Times New Roman" w:hAnsi="Times New Roman" w:eastAsia="Times New Roman" w:cs="Times New Roman"/>
                <w:b w:val="0"/>
                <w:bCs w:val="0"/>
                <w:color w:val="auto"/>
                <w:sz w:val="24"/>
                <w:szCs w:val="24"/>
                <w:highlight w:val="none"/>
              </w:rPr>
              <w:t>开发区</w:t>
            </w:r>
            <w:r>
              <w:rPr>
                <w:rFonts w:hint="eastAsia"/>
                <w:color w:val="auto"/>
                <w:highlight w:val="none"/>
              </w:rPr>
              <w:t>，项目租赁</w:t>
            </w:r>
            <w:r>
              <w:rPr>
                <w:rFonts w:hint="eastAsia"/>
                <w:color w:val="auto"/>
                <w:highlight w:val="none"/>
                <w:lang w:val="en-US" w:eastAsia="zh-CN"/>
              </w:rPr>
              <w:t>淮南宜青环境检测有限公司办公楼</w:t>
            </w:r>
            <w:r>
              <w:rPr>
                <w:rFonts w:hint="eastAsia"/>
                <w:color w:val="auto"/>
                <w:highlight w:val="none"/>
              </w:rPr>
              <w:t>进行生产建设，用地范围内不涉及生态环境保护目标。</w:t>
            </w:r>
          </w:p>
        </w:tc>
      </w:tr>
      <w:tr w14:paraId="4E122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800" w:type="dxa"/>
            <w:noWrap w:val="0"/>
            <w:tcMar>
              <w:left w:w="28" w:type="dxa"/>
              <w:right w:w="28" w:type="dxa"/>
            </w:tcMar>
            <w:vAlign w:val="center"/>
          </w:tcPr>
          <w:p w14:paraId="137AF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kern w:val="0"/>
                <w:sz w:val="24"/>
                <w:highlight w:val="none"/>
              </w:rPr>
              <w:t>污染</w:t>
            </w:r>
          </w:p>
          <w:p w14:paraId="1FE3A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kern w:val="0"/>
                <w:sz w:val="24"/>
                <w:highlight w:val="none"/>
              </w:rPr>
              <w:t>物排</w:t>
            </w:r>
          </w:p>
          <w:p w14:paraId="27DBE4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kern w:val="0"/>
                <w:sz w:val="24"/>
                <w:highlight w:val="none"/>
              </w:rPr>
              <w:t>放控</w:t>
            </w:r>
          </w:p>
          <w:p w14:paraId="5FA729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 w:val="24"/>
                <w:highlight w:val="none"/>
              </w:rPr>
            </w:pPr>
            <w:r>
              <w:rPr>
                <w:rFonts w:hint="default"/>
                <w:color w:val="auto"/>
                <w:kern w:val="0"/>
                <w:sz w:val="24"/>
                <w:highlight w:val="none"/>
              </w:rPr>
              <w:t>制标</w:t>
            </w:r>
          </w:p>
          <w:p w14:paraId="3E2A6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kern w:val="0"/>
                <w:szCs w:val="21"/>
                <w:highlight w:val="none"/>
              </w:rPr>
            </w:pPr>
            <w:r>
              <w:rPr>
                <w:rFonts w:hint="default"/>
                <w:color w:val="auto"/>
                <w:kern w:val="0"/>
                <w:sz w:val="24"/>
                <w:highlight w:val="none"/>
              </w:rPr>
              <w:t>准</w:t>
            </w:r>
          </w:p>
        </w:tc>
        <w:tc>
          <w:tcPr>
            <w:tcW w:w="8190" w:type="dxa"/>
            <w:noWrap w:val="0"/>
            <w:vAlign w:val="center"/>
          </w:tcPr>
          <w:p w14:paraId="76FE6C50">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1、废气</w:t>
            </w:r>
            <w:r>
              <w:rPr>
                <w:rFonts w:hint="eastAsia"/>
                <w:b/>
                <w:bCs/>
                <w:color w:val="auto"/>
                <w:highlight w:val="none"/>
              </w:rPr>
              <w:t>排放标准</w:t>
            </w:r>
          </w:p>
          <w:p w14:paraId="2EA4717B">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项目排放的硫酸雾、氮氧化物、氯化氢、非甲烷总烃、颗粒物</w:t>
            </w:r>
            <w:r>
              <w:rPr>
                <w:rFonts w:hint="eastAsia"/>
                <w:color w:val="auto"/>
                <w:highlight w:val="none"/>
                <w:lang w:eastAsia="zh-CN"/>
              </w:rPr>
              <w:t>、</w:t>
            </w:r>
            <w:r>
              <w:rPr>
                <w:rFonts w:hint="eastAsia"/>
                <w:color w:val="auto"/>
                <w:highlight w:val="none"/>
                <w:lang w:val="en-US" w:eastAsia="zh-CN"/>
              </w:rPr>
              <w:t>甲醛</w:t>
            </w:r>
            <w:r>
              <w:rPr>
                <w:rFonts w:hint="default"/>
                <w:color w:val="auto"/>
                <w:highlight w:val="none"/>
              </w:rPr>
              <w:t>排放执行《大气污染物综合排放标准》（</w:t>
            </w:r>
            <w:r>
              <w:rPr>
                <w:rFonts w:hint="eastAsia"/>
                <w:color w:val="auto"/>
                <w:highlight w:val="none"/>
                <w:lang w:val="en-US" w:eastAsia="zh-CN"/>
              </w:rPr>
              <w:t>GB16297-1996</w:t>
            </w:r>
            <w:r>
              <w:rPr>
                <w:rFonts w:hint="default"/>
                <w:color w:val="auto"/>
                <w:highlight w:val="none"/>
              </w:rPr>
              <w:t>）表</w:t>
            </w:r>
            <w:r>
              <w:rPr>
                <w:rFonts w:hint="eastAsia"/>
                <w:color w:val="auto"/>
                <w:highlight w:val="none"/>
                <w:lang w:val="en-US" w:eastAsia="zh-CN"/>
              </w:rPr>
              <w:t>2</w:t>
            </w:r>
            <w:r>
              <w:rPr>
                <w:rFonts w:hint="default"/>
                <w:color w:val="auto"/>
                <w:highlight w:val="none"/>
              </w:rPr>
              <w:t>标准限值要求；氨、臭气浓度执行《恶臭污染物排放标准》（GB14554-93）表1、表2标准。非甲烷总烃厂房外无组织监控点浓度排放执行《挥发性有机物无组织排放控制标准》（GB37822-2019）中标准要求。具体标准限值见下表。</w:t>
            </w:r>
          </w:p>
          <w:p w14:paraId="344A2DD2">
            <w:pPr>
              <w:pStyle w:val="26"/>
              <w:keepNext w:val="0"/>
              <w:keepLines w:val="0"/>
              <w:suppressLineNumbers w:val="0"/>
              <w:bidi w:val="0"/>
              <w:spacing w:before="0" w:beforeAutospacing="0" w:after="0" w:afterAutospacing="0"/>
              <w:ind w:left="0" w:right="0"/>
              <w:rPr>
                <w:rFonts w:hint="eastAsia"/>
                <w:color w:val="auto"/>
                <w:highlight w:val="none"/>
                <w:lang w:val="zh-CN"/>
              </w:rPr>
            </w:pPr>
          </w:p>
          <w:p w14:paraId="59D93634">
            <w:pPr>
              <w:keepNext w:val="0"/>
              <w:keepLines w:val="0"/>
              <w:suppressLineNumbers w:val="0"/>
              <w:spacing w:before="0" w:beforeAutospacing="0" w:after="0" w:afterAutospacing="0"/>
              <w:ind w:left="0" w:right="0"/>
              <w:rPr>
                <w:rFonts w:hint="eastAsia"/>
                <w:lang w:val="zh-CN"/>
              </w:rPr>
            </w:pPr>
          </w:p>
          <w:p w14:paraId="11E8184C">
            <w:pPr>
              <w:pStyle w:val="26"/>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zh-CN"/>
              </w:rPr>
              <w:t>表</w:t>
            </w:r>
            <w:r>
              <w:rPr>
                <w:rFonts w:hint="eastAsia"/>
                <w:color w:val="auto"/>
                <w:highlight w:val="none"/>
              </w:rPr>
              <w:t>3</w:t>
            </w:r>
            <w:r>
              <w:rPr>
                <w:rFonts w:hint="eastAsia"/>
                <w:color w:val="auto"/>
                <w:highlight w:val="none"/>
                <w:lang w:val="zh-CN"/>
              </w:rPr>
              <w:t>-</w:t>
            </w:r>
            <w:r>
              <w:rPr>
                <w:rFonts w:hint="eastAsia"/>
                <w:color w:val="auto"/>
                <w:highlight w:val="none"/>
                <w:lang w:val="en-US" w:eastAsia="zh-CN"/>
              </w:rPr>
              <w:t xml:space="preserve">4 </w:t>
            </w:r>
            <w:r>
              <w:rPr>
                <w:rFonts w:hint="eastAsia"/>
                <w:color w:val="auto"/>
                <w:highlight w:val="none"/>
                <w:lang w:val="zh-CN"/>
              </w:rPr>
              <w:t xml:space="preserve"> </w:t>
            </w:r>
            <w:r>
              <w:rPr>
                <w:rFonts w:hint="eastAsia"/>
                <w:color w:val="auto"/>
                <w:highlight w:val="none"/>
                <w:lang w:val="en-US" w:eastAsia="zh-CN"/>
              </w:rPr>
              <w:t>废气</w:t>
            </w:r>
            <w:r>
              <w:rPr>
                <w:rFonts w:hint="eastAsia"/>
                <w:color w:val="auto"/>
                <w:highlight w:val="none"/>
                <w:lang w:val="zh-CN"/>
              </w:rPr>
              <w:t>污染物排放标准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211"/>
              <w:gridCol w:w="1006"/>
              <w:gridCol w:w="1359"/>
              <w:gridCol w:w="1483"/>
              <w:gridCol w:w="1524"/>
            </w:tblGrid>
            <w:tr w14:paraId="3717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noWrap w:val="0"/>
                  <w:vAlign w:val="center"/>
                </w:tcPr>
                <w:p w14:paraId="753E6B91">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污染物</w:t>
                  </w:r>
                </w:p>
              </w:tc>
              <w:tc>
                <w:tcPr>
                  <w:tcW w:w="760" w:type="pct"/>
                  <w:vMerge w:val="restart"/>
                  <w:noWrap w:val="0"/>
                  <w:vAlign w:val="center"/>
                </w:tcPr>
                <w:p w14:paraId="5F0CDCF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最高允许排放浓度mg/m</w:t>
                  </w:r>
                  <w:r>
                    <w:rPr>
                      <w:b/>
                      <w:bCs/>
                      <w:color w:val="auto"/>
                      <w:highlight w:val="none"/>
                      <w:vertAlign w:val="superscript"/>
                    </w:rPr>
                    <w:t>3</w:t>
                  </w:r>
                </w:p>
              </w:tc>
              <w:tc>
                <w:tcPr>
                  <w:tcW w:w="631" w:type="pct"/>
                  <w:vMerge w:val="restart"/>
                  <w:noWrap w:val="0"/>
                  <w:vAlign w:val="center"/>
                </w:tcPr>
                <w:p w14:paraId="66A0AA1E">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最高允许排放速率kg/h</w:t>
                  </w:r>
                </w:p>
              </w:tc>
              <w:tc>
                <w:tcPr>
                  <w:tcW w:w="1784" w:type="pct"/>
                  <w:gridSpan w:val="2"/>
                  <w:noWrap w:val="0"/>
                  <w:vAlign w:val="center"/>
                </w:tcPr>
                <w:p w14:paraId="25C00BD3">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无组织排放监控浓度值</w:t>
                  </w:r>
                </w:p>
              </w:tc>
              <w:tc>
                <w:tcPr>
                  <w:tcW w:w="956" w:type="pct"/>
                  <w:vMerge w:val="restart"/>
                  <w:noWrap w:val="0"/>
                  <w:vAlign w:val="center"/>
                </w:tcPr>
                <w:p w14:paraId="32A2EF0E">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标准</w:t>
                  </w:r>
                </w:p>
              </w:tc>
            </w:tr>
            <w:tr w14:paraId="41B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05B2ED3E">
                  <w:pPr>
                    <w:pStyle w:val="27"/>
                    <w:keepNext w:val="0"/>
                    <w:keepLines w:val="0"/>
                    <w:suppressLineNumbers w:val="0"/>
                    <w:bidi w:val="0"/>
                    <w:spacing w:before="0" w:beforeAutospacing="0" w:after="0" w:afterAutospacing="0"/>
                    <w:ind w:left="0" w:right="0"/>
                    <w:rPr>
                      <w:color w:val="auto"/>
                      <w:highlight w:val="none"/>
                    </w:rPr>
                  </w:pPr>
                </w:p>
              </w:tc>
              <w:tc>
                <w:tcPr>
                  <w:tcW w:w="760" w:type="pct"/>
                  <w:vMerge w:val="continue"/>
                  <w:noWrap w:val="0"/>
                  <w:vAlign w:val="center"/>
                </w:tcPr>
                <w:p w14:paraId="3B3F9489">
                  <w:pPr>
                    <w:pStyle w:val="27"/>
                    <w:keepNext w:val="0"/>
                    <w:keepLines w:val="0"/>
                    <w:suppressLineNumbers w:val="0"/>
                    <w:bidi w:val="0"/>
                    <w:spacing w:before="0" w:beforeAutospacing="0" w:after="0" w:afterAutospacing="0"/>
                    <w:ind w:left="0" w:right="0"/>
                    <w:rPr>
                      <w:color w:val="auto"/>
                      <w:highlight w:val="none"/>
                    </w:rPr>
                  </w:pPr>
                </w:p>
              </w:tc>
              <w:tc>
                <w:tcPr>
                  <w:tcW w:w="631" w:type="pct"/>
                  <w:vMerge w:val="continue"/>
                  <w:noWrap w:val="0"/>
                  <w:vAlign w:val="center"/>
                </w:tcPr>
                <w:p w14:paraId="6E1BB2DD">
                  <w:pPr>
                    <w:pStyle w:val="27"/>
                    <w:keepNext w:val="0"/>
                    <w:keepLines w:val="0"/>
                    <w:suppressLineNumbers w:val="0"/>
                    <w:bidi w:val="0"/>
                    <w:spacing w:before="0" w:beforeAutospacing="0" w:after="0" w:afterAutospacing="0"/>
                    <w:ind w:left="0" w:right="0"/>
                    <w:rPr>
                      <w:color w:val="auto"/>
                      <w:highlight w:val="none"/>
                    </w:rPr>
                  </w:pPr>
                </w:p>
              </w:tc>
              <w:tc>
                <w:tcPr>
                  <w:tcW w:w="853" w:type="pct"/>
                  <w:noWrap w:val="0"/>
                  <w:vAlign w:val="center"/>
                </w:tcPr>
                <w:p w14:paraId="678E0E30">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监控点</w:t>
                  </w:r>
                </w:p>
              </w:tc>
              <w:tc>
                <w:tcPr>
                  <w:tcW w:w="931" w:type="pct"/>
                  <w:noWrap w:val="0"/>
                  <w:vAlign w:val="center"/>
                </w:tcPr>
                <w:p w14:paraId="389E2FF7">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浓度mg/m</w:t>
                  </w:r>
                  <w:r>
                    <w:rPr>
                      <w:b/>
                      <w:bCs/>
                      <w:color w:val="auto"/>
                      <w:highlight w:val="none"/>
                      <w:vertAlign w:val="superscript"/>
                    </w:rPr>
                    <w:t>3</w:t>
                  </w:r>
                </w:p>
              </w:tc>
              <w:tc>
                <w:tcPr>
                  <w:tcW w:w="956" w:type="pct"/>
                  <w:vMerge w:val="continue"/>
                  <w:noWrap w:val="0"/>
                  <w:vAlign w:val="center"/>
                </w:tcPr>
                <w:p w14:paraId="0BE67C3D">
                  <w:pPr>
                    <w:pStyle w:val="27"/>
                    <w:keepNext w:val="0"/>
                    <w:keepLines w:val="0"/>
                    <w:suppressLineNumbers w:val="0"/>
                    <w:bidi w:val="0"/>
                    <w:spacing w:before="0" w:beforeAutospacing="0" w:after="0" w:afterAutospacing="0"/>
                    <w:ind w:left="0" w:right="0"/>
                    <w:rPr>
                      <w:color w:val="auto"/>
                      <w:highlight w:val="none"/>
                    </w:rPr>
                  </w:pPr>
                </w:p>
              </w:tc>
            </w:tr>
            <w:tr w14:paraId="1F9D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noWrap w:val="0"/>
                  <w:vAlign w:val="center"/>
                </w:tcPr>
                <w:p w14:paraId="48638E6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颗粒物</w:t>
                  </w:r>
                </w:p>
              </w:tc>
              <w:tc>
                <w:tcPr>
                  <w:tcW w:w="760" w:type="pct"/>
                  <w:noWrap w:val="0"/>
                  <w:vAlign w:val="center"/>
                </w:tcPr>
                <w:p w14:paraId="0648DABE">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120</w:t>
                  </w:r>
                </w:p>
              </w:tc>
              <w:tc>
                <w:tcPr>
                  <w:tcW w:w="631" w:type="pct"/>
                  <w:noWrap w:val="0"/>
                  <w:vAlign w:val="center"/>
                </w:tcPr>
                <w:p w14:paraId="5EE3C78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5.9</w:t>
                  </w:r>
                </w:p>
              </w:tc>
              <w:tc>
                <w:tcPr>
                  <w:tcW w:w="853" w:type="pct"/>
                  <w:vMerge w:val="restart"/>
                  <w:noWrap w:val="0"/>
                  <w:vAlign w:val="center"/>
                </w:tcPr>
                <w:p w14:paraId="3048F85C">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周界外浓度最高点</w:t>
                  </w:r>
                </w:p>
              </w:tc>
              <w:tc>
                <w:tcPr>
                  <w:tcW w:w="931" w:type="pct"/>
                  <w:noWrap w:val="0"/>
                  <w:vAlign w:val="center"/>
                </w:tcPr>
                <w:p w14:paraId="366DD4C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1.0</w:t>
                  </w:r>
                </w:p>
              </w:tc>
              <w:tc>
                <w:tcPr>
                  <w:tcW w:w="956" w:type="pct"/>
                  <w:vMerge w:val="restart"/>
                  <w:noWrap w:val="0"/>
                  <w:vAlign w:val="center"/>
                </w:tcPr>
                <w:p w14:paraId="66467F0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GB</w:t>
                  </w:r>
                  <w:r>
                    <w:rPr>
                      <w:rFonts w:hint="eastAsia"/>
                      <w:color w:val="auto"/>
                      <w:highlight w:val="none"/>
                    </w:rPr>
                    <w:t>16297-1996</w:t>
                  </w:r>
                </w:p>
              </w:tc>
            </w:tr>
            <w:tr w14:paraId="19A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noWrap w:val="0"/>
                  <w:vAlign w:val="center"/>
                </w:tcPr>
                <w:p w14:paraId="20FC83F7">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硫酸雾</w:t>
                  </w:r>
                </w:p>
              </w:tc>
              <w:tc>
                <w:tcPr>
                  <w:tcW w:w="760" w:type="pct"/>
                  <w:noWrap w:val="0"/>
                  <w:vAlign w:val="center"/>
                </w:tcPr>
                <w:p w14:paraId="5B56D04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c>
                <w:tcPr>
                  <w:tcW w:w="631" w:type="pct"/>
                  <w:noWrap w:val="0"/>
                  <w:vAlign w:val="center"/>
                </w:tcPr>
                <w:p w14:paraId="69C6185A">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2.6</w:t>
                  </w:r>
                </w:p>
              </w:tc>
              <w:tc>
                <w:tcPr>
                  <w:tcW w:w="853" w:type="pct"/>
                  <w:vMerge w:val="continue"/>
                  <w:noWrap w:val="0"/>
                  <w:vAlign w:val="center"/>
                </w:tcPr>
                <w:p w14:paraId="63B40245">
                  <w:pPr>
                    <w:pStyle w:val="27"/>
                    <w:keepNext w:val="0"/>
                    <w:keepLines w:val="0"/>
                    <w:suppressLineNumbers w:val="0"/>
                    <w:bidi w:val="0"/>
                    <w:spacing w:before="0" w:beforeAutospacing="0" w:after="0" w:afterAutospacing="0"/>
                    <w:ind w:left="0" w:right="0"/>
                    <w:rPr>
                      <w:color w:val="auto"/>
                      <w:highlight w:val="none"/>
                    </w:rPr>
                  </w:pPr>
                </w:p>
              </w:tc>
              <w:tc>
                <w:tcPr>
                  <w:tcW w:w="931" w:type="pct"/>
                  <w:noWrap w:val="0"/>
                  <w:vAlign w:val="center"/>
                </w:tcPr>
                <w:p w14:paraId="491B38D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1.2</w:t>
                  </w:r>
                </w:p>
              </w:tc>
              <w:tc>
                <w:tcPr>
                  <w:tcW w:w="956" w:type="pct"/>
                  <w:vMerge w:val="continue"/>
                  <w:noWrap w:val="0"/>
                  <w:vAlign w:val="center"/>
                </w:tcPr>
                <w:p w14:paraId="5EF35772">
                  <w:pPr>
                    <w:pStyle w:val="27"/>
                    <w:keepNext w:val="0"/>
                    <w:keepLines w:val="0"/>
                    <w:suppressLineNumbers w:val="0"/>
                    <w:bidi w:val="0"/>
                    <w:spacing w:before="0" w:beforeAutospacing="0" w:after="0" w:afterAutospacing="0"/>
                    <w:ind w:left="0" w:right="0"/>
                    <w:rPr>
                      <w:color w:val="auto"/>
                      <w:highlight w:val="none"/>
                    </w:rPr>
                  </w:pPr>
                </w:p>
              </w:tc>
            </w:tr>
            <w:tr w14:paraId="2D69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noWrap w:val="0"/>
                  <w:vAlign w:val="center"/>
                </w:tcPr>
                <w:p w14:paraId="26D300C9">
                  <w:pPr>
                    <w:pStyle w:val="27"/>
                    <w:keepNext w:val="0"/>
                    <w:keepLines w:val="0"/>
                    <w:suppressLineNumbers w:val="0"/>
                    <w:bidi w:val="0"/>
                    <w:spacing w:before="0" w:beforeAutospacing="0" w:after="0" w:afterAutospacing="0"/>
                    <w:ind w:left="0" w:right="0"/>
                    <w:rPr>
                      <w:color w:val="auto"/>
                      <w:highlight w:val="none"/>
                    </w:rPr>
                  </w:pPr>
                  <w:r>
                    <w:rPr>
                      <w:rFonts w:hint="default"/>
                      <w:color w:val="auto"/>
                      <w:highlight w:val="none"/>
                    </w:rPr>
                    <w:t>氮氧化物</w:t>
                  </w:r>
                </w:p>
              </w:tc>
              <w:tc>
                <w:tcPr>
                  <w:tcW w:w="760" w:type="pct"/>
                  <w:noWrap w:val="0"/>
                  <w:vAlign w:val="center"/>
                </w:tcPr>
                <w:p w14:paraId="4A4A23B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240</w:t>
                  </w:r>
                </w:p>
              </w:tc>
              <w:tc>
                <w:tcPr>
                  <w:tcW w:w="631" w:type="pct"/>
                  <w:noWrap w:val="0"/>
                  <w:vAlign w:val="center"/>
                </w:tcPr>
                <w:p w14:paraId="3DF501C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1.3</w:t>
                  </w:r>
                </w:p>
              </w:tc>
              <w:tc>
                <w:tcPr>
                  <w:tcW w:w="853" w:type="pct"/>
                  <w:vMerge w:val="continue"/>
                  <w:noWrap w:val="0"/>
                  <w:vAlign w:val="center"/>
                </w:tcPr>
                <w:p w14:paraId="1C6D2E89">
                  <w:pPr>
                    <w:pStyle w:val="27"/>
                    <w:keepNext w:val="0"/>
                    <w:keepLines w:val="0"/>
                    <w:suppressLineNumbers w:val="0"/>
                    <w:bidi w:val="0"/>
                    <w:spacing w:before="0" w:beforeAutospacing="0" w:after="0" w:afterAutospacing="0"/>
                    <w:ind w:left="0" w:right="0"/>
                    <w:rPr>
                      <w:color w:val="auto"/>
                      <w:highlight w:val="none"/>
                    </w:rPr>
                  </w:pPr>
                </w:p>
              </w:tc>
              <w:tc>
                <w:tcPr>
                  <w:tcW w:w="931" w:type="pct"/>
                  <w:noWrap w:val="0"/>
                  <w:vAlign w:val="center"/>
                </w:tcPr>
                <w:p w14:paraId="59AE17F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0.12</w:t>
                  </w:r>
                </w:p>
              </w:tc>
              <w:tc>
                <w:tcPr>
                  <w:tcW w:w="956" w:type="pct"/>
                  <w:vMerge w:val="continue"/>
                  <w:noWrap w:val="0"/>
                  <w:vAlign w:val="center"/>
                </w:tcPr>
                <w:p w14:paraId="1B088B5E">
                  <w:pPr>
                    <w:pStyle w:val="27"/>
                    <w:keepNext w:val="0"/>
                    <w:keepLines w:val="0"/>
                    <w:suppressLineNumbers w:val="0"/>
                    <w:bidi w:val="0"/>
                    <w:spacing w:before="0" w:beforeAutospacing="0" w:after="0" w:afterAutospacing="0"/>
                    <w:ind w:left="0" w:right="0"/>
                    <w:rPr>
                      <w:color w:val="auto"/>
                      <w:highlight w:val="none"/>
                    </w:rPr>
                  </w:pPr>
                </w:p>
              </w:tc>
            </w:tr>
            <w:tr w14:paraId="3548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noWrap w:val="0"/>
                  <w:vAlign w:val="center"/>
                </w:tcPr>
                <w:p w14:paraId="7837E403">
                  <w:pPr>
                    <w:pStyle w:val="27"/>
                    <w:keepNext w:val="0"/>
                    <w:keepLines w:val="0"/>
                    <w:suppressLineNumbers w:val="0"/>
                    <w:bidi w:val="0"/>
                    <w:spacing w:before="0" w:beforeAutospacing="0" w:after="0" w:afterAutospacing="0"/>
                    <w:ind w:left="0" w:right="0"/>
                    <w:rPr>
                      <w:color w:val="auto"/>
                      <w:highlight w:val="none"/>
                    </w:rPr>
                  </w:pPr>
                  <w:r>
                    <w:rPr>
                      <w:rFonts w:hint="default"/>
                      <w:color w:val="auto"/>
                      <w:highlight w:val="none"/>
                    </w:rPr>
                    <w:t>氯化氢</w:t>
                  </w:r>
                </w:p>
              </w:tc>
              <w:tc>
                <w:tcPr>
                  <w:tcW w:w="760" w:type="pct"/>
                  <w:noWrap w:val="0"/>
                  <w:vAlign w:val="center"/>
                </w:tcPr>
                <w:p w14:paraId="63A53064">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100</w:t>
                  </w:r>
                </w:p>
              </w:tc>
              <w:tc>
                <w:tcPr>
                  <w:tcW w:w="631" w:type="pct"/>
                  <w:noWrap w:val="0"/>
                  <w:vAlign w:val="center"/>
                </w:tcPr>
                <w:p w14:paraId="33B44C5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0.43</w:t>
                  </w:r>
                </w:p>
              </w:tc>
              <w:tc>
                <w:tcPr>
                  <w:tcW w:w="853" w:type="pct"/>
                  <w:vMerge w:val="continue"/>
                  <w:noWrap w:val="0"/>
                  <w:vAlign w:val="center"/>
                </w:tcPr>
                <w:p w14:paraId="63483505">
                  <w:pPr>
                    <w:pStyle w:val="27"/>
                    <w:keepNext w:val="0"/>
                    <w:keepLines w:val="0"/>
                    <w:suppressLineNumbers w:val="0"/>
                    <w:bidi w:val="0"/>
                    <w:spacing w:before="0" w:beforeAutospacing="0" w:after="0" w:afterAutospacing="0"/>
                    <w:ind w:left="0" w:right="0"/>
                    <w:rPr>
                      <w:color w:val="auto"/>
                      <w:highlight w:val="none"/>
                    </w:rPr>
                  </w:pPr>
                </w:p>
              </w:tc>
              <w:tc>
                <w:tcPr>
                  <w:tcW w:w="931" w:type="pct"/>
                  <w:noWrap w:val="0"/>
                  <w:vAlign w:val="center"/>
                </w:tcPr>
                <w:p w14:paraId="732D894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0.2</w:t>
                  </w:r>
                </w:p>
              </w:tc>
              <w:tc>
                <w:tcPr>
                  <w:tcW w:w="956" w:type="pct"/>
                  <w:vMerge w:val="continue"/>
                  <w:noWrap w:val="0"/>
                  <w:vAlign w:val="center"/>
                </w:tcPr>
                <w:p w14:paraId="0D1DB02E">
                  <w:pPr>
                    <w:pStyle w:val="27"/>
                    <w:keepNext w:val="0"/>
                    <w:keepLines w:val="0"/>
                    <w:suppressLineNumbers w:val="0"/>
                    <w:bidi w:val="0"/>
                    <w:spacing w:before="0" w:beforeAutospacing="0" w:after="0" w:afterAutospacing="0"/>
                    <w:ind w:left="0" w:right="0"/>
                    <w:rPr>
                      <w:color w:val="auto"/>
                      <w:highlight w:val="none"/>
                    </w:rPr>
                  </w:pPr>
                </w:p>
              </w:tc>
            </w:tr>
            <w:tr w14:paraId="0C8D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bottom w:val="single" w:color="auto" w:sz="4" w:space="0"/>
                  </w:tcBorders>
                  <w:noWrap w:val="0"/>
                  <w:vAlign w:val="center"/>
                </w:tcPr>
                <w:p w14:paraId="1FC4CFC6">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非甲烷总烃</w:t>
                  </w:r>
                </w:p>
              </w:tc>
              <w:tc>
                <w:tcPr>
                  <w:tcW w:w="760" w:type="pct"/>
                  <w:tcBorders>
                    <w:bottom w:val="single" w:color="auto" w:sz="4" w:space="0"/>
                  </w:tcBorders>
                  <w:noWrap w:val="0"/>
                  <w:vAlign w:val="center"/>
                </w:tcPr>
                <w:p w14:paraId="388BE7FC">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120</w:t>
                  </w:r>
                </w:p>
              </w:tc>
              <w:tc>
                <w:tcPr>
                  <w:tcW w:w="631" w:type="pct"/>
                  <w:tcBorders>
                    <w:bottom w:val="single" w:color="auto" w:sz="4" w:space="0"/>
                  </w:tcBorders>
                  <w:noWrap w:val="0"/>
                  <w:vAlign w:val="center"/>
                </w:tcPr>
                <w:p w14:paraId="1E5BE0B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17</w:t>
                  </w:r>
                </w:p>
              </w:tc>
              <w:tc>
                <w:tcPr>
                  <w:tcW w:w="853" w:type="pct"/>
                  <w:vMerge w:val="continue"/>
                  <w:noWrap w:val="0"/>
                  <w:vAlign w:val="center"/>
                </w:tcPr>
                <w:p w14:paraId="0330BE44">
                  <w:pPr>
                    <w:pStyle w:val="27"/>
                    <w:keepNext w:val="0"/>
                    <w:keepLines w:val="0"/>
                    <w:suppressLineNumbers w:val="0"/>
                    <w:bidi w:val="0"/>
                    <w:spacing w:before="0" w:beforeAutospacing="0" w:after="0" w:afterAutospacing="0"/>
                    <w:ind w:left="0" w:right="0"/>
                    <w:rPr>
                      <w:color w:val="auto"/>
                      <w:highlight w:val="none"/>
                    </w:rPr>
                  </w:pPr>
                </w:p>
              </w:tc>
              <w:tc>
                <w:tcPr>
                  <w:tcW w:w="931" w:type="pct"/>
                  <w:tcBorders>
                    <w:bottom w:val="single" w:color="auto" w:sz="4" w:space="0"/>
                  </w:tcBorders>
                  <w:noWrap w:val="0"/>
                  <w:vAlign w:val="center"/>
                </w:tcPr>
                <w:p w14:paraId="4E58A2E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4.0</w:t>
                  </w:r>
                </w:p>
              </w:tc>
              <w:tc>
                <w:tcPr>
                  <w:tcW w:w="956" w:type="pct"/>
                  <w:vMerge w:val="continue"/>
                  <w:noWrap w:val="0"/>
                  <w:vAlign w:val="center"/>
                </w:tcPr>
                <w:p w14:paraId="7F7D47D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p>
              </w:tc>
            </w:tr>
            <w:tr w14:paraId="6F77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bottom w:val="single" w:color="auto" w:sz="4" w:space="0"/>
                  </w:tcBorders>
                  <w:noWrap w:val="0"/>
                  <w:vAlign w:val="center"/>
                </w:tcPr>
                <w:p w14:paraId="0F5D469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甲醛</w:t>
                  </w:r>
                </w:p>
              </w:tc>
              <w:tc>
                <w:tcPr>
                  <w:tcW w:w="760" w:type="pct"/>
                  <w:tcBorders>
                    <w:bottom w:val="single" w:color="auto" w:sz="4" w:space="0"/>
                  </w:tcBorders>
                  <w:noWrap w:val="0"/>
                  <w:vAlign w:val="center"/>
                </w:tcPr>
                <w:p w14:paraId="7830C022">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25</w:t>
                  </w:r>
                </w:p>
              </w:tc>
              <w:tc>
                <w:tcPr>
                  <w:tcW w:w="631" w:type="pct"/>
                  <w:tcBorders>
                    <w:bottom w:val="single" w:color="auto" w:sz="4" w:space="0"/>
                  </w:tcBorders>
                  <w:noWrap w:val="0"/>
                  <w:vAlign w:val="center"/>
                </w:tcPr>
                <w:p w14:paraId="183DFFCC">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0.43</w:t>
                  </w:r>
                </w:p>
              </w:tc>
              <w:tc>
                <w:tcPr>
                  <w:tcW w:w="853" w:type="pct"/>
                  <w:vMerge w:val="continue"/>
                  <w:tcBorders>
                    <w:bottom w:val="single" w:color="auto" w:sz="4" w:space="0"/>
                  </w:tcBorders>
                  <w:noWrap w:val="0"/>
                  <w:vAlign w:val="center"/>
                </w:tcPr>
                <w:p w14:paraId="4EEDA431">
                  <w:pPr>
                    <w:pStyle w:val="27"/>
                    <w:keepNext w:val="0"/>
                    <w:keepLines w:val="0"/>
                    <w:suppressLineNumbers w:val="0"/>
                    <w:bidi w:val="0"/>
                    <w:spacing w:before="0" w:beforeAutospacing="0" w:after="0" w:afterAutospacing="0"/>
                    <w:ind w:left="0" w:right="0"/>
                    <w:rPr>
                      <w:color w:val="auto"/>
                      <w:highlight w:val="none"/>
                    </w:rPr>
                  </w:pPr>
                </w:p>
              </w:tc>
              <w:tc>
                <w:tcPr>
                  <w:tcW w:w="931" w:type="pct"/>
                  <w:tcBorders>
                    <w:bottom w:val="single" w:color="auto" w:sz="4" w:space="0"/>
                  </w:tcBorders>
                  <w:noWrap w:val="0"/>
                  <w:vAlign w:val="center"/>
                </w:tcPr>
                <w:p w14:paraId="7E0F381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w:t>
                  </w:r>
                </w:p>
              </w:tc>
              <w:tc>
                <w:tcPr>
                  <w:tcW w:w="956" w:type="pct"/>
                  <w:vMerge w:val="continue"/>
                  <w:tcBorders>
                    <w:bottom w:val="single" w:color="auto" w:sz="4" w:space="0"/>
                  </w:tcBorders>
                  <w:noWrap w:val="0"/>
                  <w:vAlign w:val="center"/>
                </w:tcPr>
                <w:p w14:paraId="088334F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p>
              </w:tc>
            </w:tr>
            <w:tr w14:paraId="2CE2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bottom w:val="single" w:color="auto" w:sz="4" w:space="0"/>
                  </w:tcBorders>
                  <w:noWrap w:val="0"/>
                  <w:vAlign w:val="center"/>
                </w:tcPr>
                <w:p w14:paraId="4E671F87">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氨</w:t>
                  </w:r>
                </w:p>
              </w:tc>
              <w:tc>
                <w:tcPr>
                  <w:tcW w:w="760" w:type="pct"/>
                  <w:tcBorders>
                    <w:bottom w:val="single" w:color="auto" w:sz="4" w:space="0"/>
                  </w:tcBorders>
                  <w:noWrap w:val="0"/>
                  <w:vAlign w:val="center"/>
                </w:tcPr>
                <w:p w14:paraId="47C2BE2A">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631" w:type="pct"/>
                  <w:tcBorders>
                    <w:bottom w:val="single" w:color="auto" w:sz="4" w:space="0"/>
                  </w:tcBorders>
                  <w:noWrap w:val="0"/>
                  <w:vAlign w:val="center"/>
                </w:tcPr>
                <w:p w14:paraId="27CBD121">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8.7</w:t>
                  </w:r>
                </w:p>
              </w:tc>
              <w:tc>
                <w:tcPr>
                  <w:tcW w:w="853" w:type="pct"/>
                  <w:vMerge w:val="restart"/>
                  <w:noWrap w:val="0"/>
                  <w:vAlign w:val="center"/>
                </w:tcPr>
                <w:p w14:paraId="019C3A1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厂界</w:t>
                  </w:r>
                </w:p>
              </w:tc>
              <w:tc>
                <w:tcPr>
                  <w:tcW w:w="931" w:type="pct"/>
                  <w:tcBorders>
                    <w:bottom w:val="single" w:color="auto" w:sz="4" w:space="0"/>
                  </w:tcBorders>
                  <w:noWrap w:val="0"/>
                  <w:vAlign w:val="center"/>
                </w:tcPr>
                <w:p w14:paraId="492CE5DB">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1.5</w:t>
                  </w:r>
                </w:p>
              </w:tc>
              <w:tc>
                <w:tcPr>
                  <w:tcW w:w="956" w:type="pct"/>
                  <w:vMerge w:val="restart"/>
                  <w:noWrap w:val="0"/>
                  <w:vAlign w:val="center"/>
                </w:tcPr>
                <w:p w14:paraId="4714833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GB14554-93</w:t>
                  </w:r>
                </w:p>
              </w:tc>
            </w:tr>
            <w:tr w14:paraId="7F2A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bottom w:val="single" w:color="auto" w:sz="4" w:space="0"/>
                  </w:tcBorders>
                  <w:noWrap w:val="0"/>
                  <w:vAlign w:val="center"/>
                </w:tcPr>
                <w:p w14:paraId="78595373">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臭气浓度</w:t>
                  </w:r>
                </w:p>
              </w:tc>
              <w:tc>
                <w:tcPr>
                  <w:tcW w:w="760" w:type="pct"/>
                  <w:tcBorders>
                    <w:bottom w:val="single" w:color="auto" w:sz="4" w:space="0"/>
                  </w:tcBorders>
                  <w:noWrap w:val="0"/>
                  <w:vAlign w:val="center"/>
                </w:tcPr>
                <w:p w14:paraId="2A45738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631" w:type="pct"/>
                  <w:tcBorders>
                    <w:bottom w:val="single" w:color="auto" w:sz="4" w:space="0"/>
                  </w:tcBorders>
                  <w:noWrap w:val="0"/>
                  <w:vAlign w:val="center"/>
                </w:tcPr>
                <w:p w14:paraId="72590ADA">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2000（无量纲）</w:t>
                  </w:r>
                </w:p>
              </w:tc>
              <w:tc>
                <w:tcPr>
                  <w:tcW w:w="853" w:type="pct"/>
                  <w:vMerge w:val="continue"/>
                  <w:tcBorders>
                    <w:bottom w:val="single" w:color="auto" w:sz="4" w:space="0"/>
                  </w:tcBorders>
                  <w:noWrap w:val="0"/>
                  <w:vAlign w:val="center"/>
                </w:tcPr>
                <w:p w14:paraId="3C416FE2">
                  <w:pPr>
                    <w:pStyle w:val="27"/>
                    <w:keepNext w:val="0"/>
                    <w:keepLines w:val="0"/>
                    <w:suppressLineNumbers w:val="0"/>
                    <w:bidi w:val="0"/>
                    <w:spacing w:before="0" w:beforeAutospacing="0" w:after="0" w:afterAutospacing="0"/>
                    <w:ind w:left="0" w:right="0"/>
                    <w:rPr>
                      <w:color w:val="auto"/>
                      <w:highlight w:val="none"/>
                    </w:rPr>
                  </w:pPr>
                </w:p>
              </w:tc>
              <w:tc>
                <w:tcPr>
                  <w:tcW w:w="931" w:type="pct"/>
                  <w:tcBorders>
                    <w:bottom w:val="single" w:color="auto" w:sz="4" w:space="0"/>
                  </w:tcBorders>
                  <w:noWrap w:val="0"/>
                  <w:vAlign w:val="center"/>
                </w:tcPr>
                <w:p w14:paraId="0D6E3D2A">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20（无量纲）</w:t>
                  </w:r>
                </w:p>
              </w:tc>
              <w:tc>
                <w:tcPr>
                  <w:tcW w:w="956" w:type="pct"/>
                  <w:vMerge w:val="continue"/>
                  <w:tcBorders>
                    <w:bottom w:val="single" w:color="auto" w:sz="4" w:space="0"/>
                  </w:tcBorders>
                  <w:noWrap w:val="0"/>
                  <w:vAlign w:val="center"/>
                </w:tcPr>
                <w:p w14:paraId="792A962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p>
              </w:tc>
            </w:tr>
            <w:tr w14:paraId="56A3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noWrap w:val="0"/>
                  <w:vAlign w:val="center"/>
                </w:tcPr>
                <w:p w14:paraId="6D2D5C0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非甲烷总烃</w:t>
                  </w:r>
                </w:p>
              </w:tc>
              <w:tc>
                <w:tcPr>
                  <w:tcW w:w="760" w:type="pct"/>
                  <w:vMerge w:val="restart"/>
                  <w:noWrap w:val="0"/>
                  <w:vAlign w:val="center"/>
                </w:tcPr>
                <w:p w14:paraId="78CDAEB2">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631" w:type="pct"/>
                  <w:vMerge w:val="restart"/>
                  <w:noWrap w:val="0"/>
                  <w:vAlign w:val="center"/>
                </w:tcPr>
                <w:p w14:paraId="02F77CE4">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853" w:type="pct"/>
                  <w:vMerge w:val="restart"/>
                  <w:noWrap w:val="0"/>
                  <w:vAlign w:val="center"/>
                </w:tcPr>
                <w:p w14:paraId="35C2A9D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在厂房外设置监控点</w:t>
                  </w:r>
                </w:p>
              </w:tc>
              <w:tc>
                <w:tcPr>
                  <w:tcW w:w="931" w:type="pct"/>
                  <w:noWrap w:val="0"/>
                  <w:vAlign w:val="center"/>
                </w:tcPr>
                <w:p w14:paraId="40C3B37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6.0（1h平均）</w:t>
                  </w:r>
                </w:p>
              </w:tc>
              <w:tc>
                <w:tcPr>
                  <w:tcW w:w="956" w:type="pct"/>
                  <w:vMerge w:val="restart"/>
                  <w:noWrap w:val="0"/>
                  <w:vAlign w:val="center"/>
                </w:tcPr>
                <w:p w14:paraId="34BAFFB4">
                  <w:pPr>
                    <w:pStyle w:val="27"/>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GB37822-2019</w:t>
                  </w:r>
                </w:p>
              </w:tc>
            </w:tr>
            <w:tr w14:paraId="7628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noWrap w:val="0"/>
                  <w:vAlign w:val="center"/>
                </w:tcPr>
                <w:p w14:paraId="68288F04">
                  <w:pPr>
                    <w:pStyle w:val="27"/>
                    <w:keepNext w:val="0"/>
                    <w:keepLines w:val="0"/>
                    <w:suppressLineNumbers w:val="0"/>
                    <w:bidi w:val="0"/>
                    <w:spacing w:before="0" w:beforeAutospacing="0" w:after="0" w:afterAutospacing="0"/>
                    <w:ind w:left="0" w:right="0"/>
                    <w:rPr>
                      <w:color w:val="auto"/>
                      <w:highlight w:val="none"/>
                    </w:rPr>
                  </w:pPr>
                </w:p>
              </w:tc>
              <w:tc>
                <w:tcPr>
                  <w:tcW w:w="760" w:type="pct"/>
                  <w:vMerge w:val="continue"/>
                  <w:noWrap w:val="0"/>
                  <w:vAlign w:val="center"/>
                </w:tcPr>
                <w:p w14:paraId="4ACFEE51">
                  <w:pPr>
                    <w:pStyle w:val="27"/>
                    <w:keepNext w:val="0"/>
                    <w:keepLines w:val="0"/>
                    <w:suppressLineNumbers w:val="0"/>
                    <w:bidi w:val="0"/>
                    <w:spacing w:before="0" w:beforeAutospacing="0" w:after="0" w:afterAutospacing="0"/>
                    <w:ind w:left="0" w:right="0"/>
                    <w:rPr>
                      <w:color w:val="auto"/>
                      <w:highlight w:val="none"/>
                    </w:rPr>
                  </w:pPr>
                </w:p>
              </w:tc>
              <w:tc>
                <w:tcPr>
                  <w:tcW w:w="631" w:type="pct"/>
                  <w:vMerge w:val="continue"/>
                  <w:noWrap w:val="0"/>
                  <w:vAlign w:val="center"/>
                </w:tcPr>
                <w:p w14:paraId="5479C1E8">
                  <w:pPr>
                    <w:pStyle w:val="27"/>
                    <w:keepNext w:val="0"/>
                    <w:keepLines w:val="0"/>
                    <w:suppressLineNumbers w:val="0"/>
                    <w:bidi w:val="0"/>
                    <w:spacing w:before="0" w:beforeAutospacing="0" w:after="0" w:afterAutospacing="0"/>
                    <w:ind w:left="0" w:right="0"/>
                    <w:rPr>
                      <w:color w:val="auto"/>
                      <w:highlight w:val="none"/>
                    </w:rPr>
                  </w:pPr>
                </w:p>
              </w:tc>
              <w:tc>
                <w:tcPr>
                  <w:tcW w:w="853" w:type="pct"/>
                  <w:vMerge w:val="continue"/>
                  <w:noWrap w:val="0"/>
                  <w:vAlign w:val="center"/>
                </w:tcPr>
                <w:p w14:paraId="630FB983">
                  <w:pPr>
                    <w:pStyle w:val="27"/>
                    <w:keepNext w:val="0"/>
                    <w:keepLines w:val="0"/>
                    <w:suppressLineNumbers w:val="0"/>
                    <w:bidi w:val="0"/>
                    <w:spacing w:before="0" w:beforeAutospacing="0" w:after="0" w:afterAutospacing="0"/>
                    <w:ind w:left="0" w:right="0"/>
                    <w:rPr>
                      <w:color w:val="auto"/>
                      <w:highlight w:val="none"/>
                    </w:rPr>
                  </w:pPr>
                </w:p>
              </w:tc>
              <w:tc>
                <w:tcPr>
                  <w:tcW w:w="931" w:type="pct"/>
                  <w:noWrap w:val="0"/>
                  <w:vAlign w:val="center"/>
                </w:tcPr>
                <w:p w14:paraId="29A46E1E">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20（任意一次）</w:t>
                  </w:r>
                </w:p>
              </w:tc>
              <w:tc>
                <w:tcPr>
                  <w:tcW w:w="956" w:type="pct"/>
                  <w:vMerge w:val="continue"/>
                  <w:noWrap w:val="0"/>
                  <w:vAlign w:val="center"/>
                </w:tcPr>
                <w:p w14:paraId="119D8D3A">
                  <w:pPr>
                    <w:pStyle w:val="27"/>
                    <w:keepNext w:val="0"/>
                    <w:keepLines w:val="0"/>
                    <w:suppressLineNumbers w:val="0"/>
                    <w:bidi w:val="0"/>
                    <w:spacing w:before="0" w:beforeAutospacing="0" w:after="0" w:afterAutospacing="0"/>
                    <w:ind w:left="0" w:right="0"/>
                    <w:rPr>
                      <w:rFonts w:hint="eastAsia"/>
                      <w:color w:val="auto"/>
                      <w:highlight w:val="none"/>
                    </w:rPr>
                  </w:pPr>
                </w:p>
              </w:tc>
            </w:tr>
          </w:tbl>
          <w:p w14:paraId="70FFF51F">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2、废水</w:t>
            </w:r>
            <w:r>
              <w:rPr>
                <w:rFonts w:hint="eastAsia"/>
                <w:b/>
                <w:bCs/>
                <w:color w:val="auto"/>
                <w:highlight w:val="none"/>
              </w:rPr>
              <w:t>排放标准</w:t>
            </w:r>
          </w:p>
          <w:p w14:paraId="2570C81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项目生产过程</w:t>
            </w:r>
            <w:r>
              <w:rPr>
                <w:rFonts w:hint="eastAsia"/>
                <w:color w:val="auto"/>
                <w:highlight w:val="none"/>
                <w:lang w:val="en-US" w:eastAsia="zh-CN"/>
              </w:rPr>
              <w:t>产生的检验废水等废水经污水处理设施处理接管山南新区污水处理厂</w:t>
            </w:r>
            <w:r>
              <w:rPr>
                <w:rFonts w:hint="eastAsia"/>
                <w:color w:val="auto"/>
                <w:highlight w:val="none"/>
              </w:rPr>
              <w:t>，</w:t>
            </w:r>
            <w:r>
              <w:rPr>
                <w:rFonts w:hint="eastAsia"/>
                <w:color w:val="0000FF"/>
                <w:highlight w:val="none"/>
              </w:rPr>
              <w:t>生活污水</w:t>
            </w:r>
            <w:r>
              <w:rPr>
                <w:rFonts w:hint="eastAsia"/>
                <w:color w:val="0000FF"/>
                <w:highlight w:val="none"/>
                <w:lang w:eastAsia="zh-CN"/>
              </w:rPr>
              <w:t>、</w:t>
            </w:r>
            <w:r>
              <w:rPr>
                <w:rFonts w:hint="eastAsia"/>
                <w:color w:val="0000FF"/>
                <w:highlight w:val="none"/>
                <w:lang w:val="en-US" w:eastAsia="zh-CN"/>
              </w:rPr>
              <w:t>保洁废水</w:t>
            </w:r>
            <w:r>
              <w:rPr>
                <w:rFonts w:hint="eastAsia"/>
                <w:color w:val="0000FF"/>
                <w:highlight w:val="none"/>
              </w:rPr>
              <w:t>经厂区现有化粪池预处理后经管线进入</w:t>
            </w:r>
            <w:r>
              <w:rPr>
                <w:rFonts w:hint="eastAsia"/>
                <w:color w:val="0000FF"/>
                <w:highlight w:val="none"/>
                <w:lang w:val="en-US" w:eastAsia="zh-CN"/>
              </w:rPr>
              <w:t>山南新区污水处理厂</w:t>
            </w:r>
            <w:r>
              <w:rPr>
                <w:rFonts w:hint="eastAsia"/>
                <w:color w:val="0000FF"/>
                <w:highlight w:val="none"/>
              </w:rPr>
              <w:t>处理</w:t>
            </w:r>
            <w:r>
              <w:rPr>
                <w:rFonts w:hint="eastAsia"/>
                <w:color w:val="0000FF"/>
                <w:highlight w:val="none"/>
                <w:lang w:eastAsia="zh-CN"/>
              </w:rPr>
              <w:t>，</w:t>
            </w:r>
            <w:r>
              <w:rPr>
                <w:rFonts w:hint="eastAsia"/>
                <w:color w:val="auto"/>
                <w:highlight w:val="none"/>
                <w:lang w:val="en-US" w:eastAsia="zh-CN"/>
              </w:rPr>
              <w:t>纯水制备产生浓水直接经园区污水管网接管市政污水管网进入山南新区污水处理厂</w:t>
            </w:r>
            <w:r>
              <w:rPr>
                <w:rFonts w:hint="eastAsia"/>
                <w:color w:val="auto"/>
                <w:highlight w:val="none"/>
              </w:rPr>
              <w:t>。污水排放</w:t>
            </w:r>
            <w:r>
              <w:rPr>
                <w:rFonts w:hint="eastAsia"/>
                <w:color w:val="auto"/>
                <w:highlight w:val="none"/>
                <w:lang w:val="en-US" w:eastAsia="zh-CN"/>
              </w:rPr>
              <w:t>执行《污水综合排放标准》（GB8978-1996）中三级标准及山南新区污水处理厂接管标准中较严值。</w:t>
            </w:r>
            <w:r>
              <w:rPr>
                <w:rFonts w:hint="eastAsia"/>
                <w:color w:val="auto"/>
                <w:highlight w:val="none"/>
              </w:rPr>
              <w:t>污水处理厂</w:t>
            </w:r>
            <w:r>
              <w:rPr>
                <w:rFonts w:hint="default"/>
                <w:color w:val="auto"/>
                <w:highlight w:val="none"/>
              </w:rPr>
              <w:t>尾水达到《城镇污水处理厂污染物排放标准》（GB18918-2002）一级A标准后外排进入高塘湖。</w:t>
            </w:r>
          </w:p>
          <w:p w14:paraId="5BA61037">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rPr>
              <w:t>表3-</w:t>
            </w:r>
            <w:r>
              <w:rPr>
                <w:rFonts w:hint="eastAsia"/>
                <w:color w:val="auto"/>
                <w:highlight w:val="none"/>
                <w:lang w:val="en-US" w:eastAsia="zh-CN"/>
              </w:rPr>
              <w:t>5</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废水排放标准</w:t>
            </w:r>
            <w:r>
              <w:rPr>
                <w:rFonts w:hint="eastAsia"/>
                <w:color w:val="auto"/>
                <w:highlight w:val="none"/>
                <w:lang w:eastAsia="zh-CN"/>
              </w:rPr>
              <w:t>（</w:t>
            </w:r>
            <w:r>
              <w:rPr>
                <w:rFonts w:hint="eastAsia"/>
                <w:color w:val="auto"/>
                <w:highlight w:val="none"/>
              </w:rPr>
              <w:t>单位：mg/L</w:t>
            </w:r>
            <w:r>
              <w:rPr>
                <w:rFonts w:hint="eastAsia"/>
                <w:color w:val="auto"/>
                <w:highlight w:val="none"/>
                <w:lang w:eastAsia="zh-CN"/>
              </w:rPr>
              <w:t>，</w:t>
            </w:r>
            <w:r>
              <w:rPr>
                <w:rFonts w:hint="eastAsia"/>
                <w:color w:val="auto"/>
                <w:highlight w:val="none"/>
              </w:rPr>
              <w:t>pH</w:t>
            </w:r>
            <w:r>
              <w:rPr>
                <w:rFonts w:hint="eastAsia"/>
                <w:color w:val="auto"/>
                <w:highlight w:val="none"/>
                <w:lang w:eastAsia="zh-CN"/>
              </w:rPr>
              <w:t>：</w:t>
            </w:r>
            <w:r>
              <w:rPr>
                <w:rFonts w:hint="eastAsia"/>
                <w:color w:val="auto"/>
                <w:highlight w:val="none"/>
              </w:rPr>
              <w:t>无量纲</w:t>
            </w:r>
            <w:r>
              <w:rPr>
                <w:rFonts w:hint="eastAsia"/>
                <w:color w:val="auto"/>
                <w:highlight w:val="none"/>
                <w:lang w:eastAsia="zh-CN"/>
              </w:rPr>
              <w: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750"/>
              <w:gridCol w:w="750"/>
              <w:gridCol w:w="782"/>
              <w:gridCol w:w="849"/>
              <w:gridCol w:w="682"/>
              <w:gridCol w:w="785"/>
              <w:gridCol w:w="716"/>
            </w:tblGrid>
            <w:tr w14:paraId="3FC6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1" w:type="pct"/>
                  <w:noWrap w:val="0"/>
                  <w:vAlign w:val="center"/>
                </w:tcPr>
                <w:p w14:paraId="301F0FB8">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水质指标</w:t>
                  </w:r>
                </w:p>
              </w:tc>
              <w:tc>
                <w:tcPr>
                  <w:tcW w:w="471" w:type="pct"/>
                  <w:noWrap w:val="0"/>
                  <w:vAlign w:val="center"/>
                </w:tcPr>
                <w:p w14:paraId="0EBE618A">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pH</w:t>
                  </w:r>
                </w:p>
              </w:tc>
              <w:tc>
                <w:tcPr>
                  <w:tcW w:w="471" w:type="pct"/>
                  <w:noWrap w:val="0"/>
                  <w:vAlign w:val="center"/>
                </w:tcPr>
                <w:p w14:paraId="4BA25602">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COD</w:t>
                  </w:r>
                </w:p>
              </w:tc>
              <w:tc>
                <w:tcPr>
                  <w:tcW w:w="491" w:type="pct"/>
                  <w:noWrap w:val="0"/>
                  <w:vAlign w:val="center"/>
                </w:tcPr>
                <w:p w14:paraId="5B90C331">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BOD</w:t>
                  </w:r>
                  <w:r>
                    <w:rPr>
                      <w:b/>
                      <w:bCs/>
                      <w:color w:val="auto"/>
                      <w:highlight w:val="none"/>
                      <w:vertAlign w:val="subscript"/>
                    </w:rPr>
                    <w:t>5</w:t>
                  </w:r>
                </w:p>
              </w:tc>
              <w:tc>
                <w:tcPr>
                  <w:tcW w:w="533" w:type="pct"/>
                  <w:noWrap w:val="0"/>
                  <w:vAlign w:val="center"/>
                </w:tcPr>
                <w:p w14:paraId="67C43930">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428" w:type="pct"/>
                  <w:noWrap w:val="0"/>
                  <w:vAlign w:val="center"/>
                </w:tcPr>
                <w:p w14:paraId="70FD89D5">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SS</w:t>
                  </w:r>
                </w:p>
              </w:tc>
              <w:tc>
                <w:tcPr>
                  <w:tcW w:w="492" w:type="pct"/>
                  <w:noWrap w:val="0"/>
                  <w:vAlign w:val="center"/>
                </w:tcPr>
                <w:p w14:paraId="52F16D86">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TP</w:t>
                  </w:r>
                </w:p>
              </w:tc>
              <w:tc>
                <w:tcPr>
                  <w:tcW w:w="449" w:type="pct"/>
                  <w:noWrap w:val="0"/>
                  <w:vAlign w:val="center"/>
                </w:tcPr>
                <w:p w14:paraId="485AE028">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TN</w:t>
                  </w:r>
                </w:p>
              </w:tc>
            </w:tr>
            <w:tr w14:paraId="6519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1" w:type="pct"/>
                  <w:noWrap w:val="0"/>
                  <w:vAlign w:val="center"/>
                </w:tcPr>
                <w:p w14:paraId="624F31C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《污水综合排放标准》</w:t>
                  </w:r>
                </w:p>
                <w:p w14:paraId="01534252">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eastAsia="zh-CN"/>
                    </w:rPr>
                    <w:t>（</w:t>
                  </w:r>
                  <w:r>
                    <w:rPr>
                      <w:color w:val="auto"/>
                      <w:highlight w:val="none"/>
                    </w:rPr>
                    <w:t>GB8978-1996</w:t>
                  </w:r>
                  <w:r>
                    <w:rPr>
                      <w:rFonts w:hint="eastAsia"/>
                      <w:color w:val="auto"/>
                      <w:highlight w:val="none"/>
                      <w:lang w:eastAsia="zh-CN"/>
                    </w:rPr>
                    <w:t>）</w:t>
                  </w:r>
                  <w:r>
                    <w:rPr>
                      <w:color w:val="auto"/>
                      <w:highlight w:val="none"/>
                    </w:rPr>
                    <w:t>三级标准</w:t>
                  </w:r>
                </w:p>
              </w:tc>
              <w:tc>
                <w:tcPr>
                  <w:tcW w:w="471" w:type="pct"/>
                  <w:noWrap w:val="0"/>
                  <w:vAlign w:val="center"/>
                </w:tcPr>
                <w:p w14:paraId="4A0B05F3">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6~9</w:t>
                  </w:r>
                </w:p>
              </w:tc>
              <w:tc>
                <w:tcPr>
                  <w:tcW w:w="471" w:type="pct"/>
                  <w:noWrap w:val="0"/>
                  <w:vAlign w:val="center"/>
                </w:tcPr>
                <w:p w14:paraId="562EB95D">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500</w:t>
                  </w:r>
                </w:p>
              </w:tc>
              <w:tc>
                <w:tcPr>
                  <w:tcW w:w="491" w:type="pct"/>
                  <w:noWrap w:val="0"/>
                  <w:vAlign w:val="center"/>
                </w:tcPr>
                <w:p w14:paraId="4474DF04">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300</w:t>
                  </w:r>
                </w:p>
              </w:tc>
              <w:tc>
                <w:tcPr>
                  <w:tcW w:w="533" w:type="pct"/>
                  <w:noWrap w:val="0"/>
                  <w:vAlign w:val="center"/>
                </w:tcPr>
                <w:p w14:paraId="3B4CDB2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428" w:type="pct"/>
                  <w:noWrap w:val="0"/>
                  <w:vAlign w:val="center"/>
                </w:tcPr>
                <w:p w14:paraId="35D55C2A">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400</w:t>
                  </w:r>
                </w:p>
              </w:tc>
              <w:tc>
                <w:tcPr>
                  <w:tcW w:w="492" w:type="pct"/>
                  <w:noWrap w:val="0"/>
                  <w:vAlign w:val="center"/>
                </w:tcPr>
                <w:p w14:paraId="5799930E">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449" w:type="pct"/>
                  <w:noWrap w:val="0"/>
                  <w:vAlign w:val="center"/>
                </w:tcPr>
                <w:p w14:paraId="1E3D97D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r>
            <w:tr w14:paraId="0761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1" w:type="pct"/>
                  <w:noWrap w:val="0"/>
                  <w:vAlign w:val="center"/>
                </w:tcPr>
                <w:p w14:paraId="10C8D149">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山南新区污水处理厂</w:t>
                  </w:r>
                  <w:r>
                    <w:rPr>
                      <w:rFonts w:hint="eastAsia"/>
                      <w:color w:val="auto"/>
                      <w:highlight w:val="none"/>
                    </w:rPr>
                    <w:t>接管标准</w:t>
                  </w:r>
                </w:p>
              </w:tc>
              <w:tc>
                <w:tcPr>
                  <w:tcW w:w="471" w:type="pct"/>
                  <w:noWrap w:val="0"/>
                  <w:vAlign w:val="center"/>
                </w:tcPr>
                <w:p w14:paraId="57AAB5F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color w:val="auto"/>
                      <w:highlight w:val="none"/>
                    </w:rPr>
                    <w:t>6~9</w:t>
                  </w:r>
                </w:p>
              </w:tc>
              <w:tc>
                <w:tcPr>
                  <w:tcW w:w="471" w:type="pct"/>
                  <w:noWrap w:val="0"/>
                  <w:vAlign w:val="center"/>
                </w:tcPr>
                <w:p w14:paraId="5A4C709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400</w:t>
                  </w:r>
                </w:p>
              </w:tc>
              <w:tc>
                <w:tcPr>
                  <w:tcW w:w="491" w:type="pct"/>
                  <w:noWrap w:val="0"/>
                  <w:vAlign w:val="center"/>
                </w:tcPr>
                <w:p w14:paraId="39A6F85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180</w:t>
                  </w:r>
                </w:p>
              </w:tc>
              <w:tc>
                <w:tcPr>
                  <w:tcW w:w="533" w:type="pct"/>
                  <w:noWrap w:val="0"/>
                  <w:vAlign w:val="center"/>
                </w:tcPr>
                <w:p w14:paraId="453287E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35</w:t>
                  </w:r>
                </w:p>
              </w:tc>
              <w:tc>
                <w:tcPr>
                  <w:tcW w:w="428" w:type="pct"/>
                  <w:noWrap w:val="0"/>
                  <w:vAlign w:val="center"/>
                </w:tcPr>
                <w:p w14:paraId="65AC8E4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200</w:t>
                  </w:r>
                </w:p>
              </w:tc>
              <w:tc>
                <w:tcPr>
                  <w:tcW w:w="492" w:type="pct"/>
                  <w:noWrap w:val="0"/>
                  <w:vAlign w:val="center"/>
                </w:tcPr>
                <w:p w14:paraId="724BDCD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c>
                <w:tcPr>
                  <w:tcW w:w="449" w:type="pct"/>
                  <w:noWrap w:val="0"/>
                  <w:vAlign w:val="center"/>
                </w:tcPr>
                <w:p w14:paraId="2DF1299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r>
            <w:tr w14:paraId="3FC3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1" w:type="pct"/>
                  <w:noWrap w:val="0"/>
                  <w:vAlign w:val="center"/>
                </w:tcPr>
                <w:p w14:paraId="09EDDB5B">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本项目执行标准</w:t>
                  </w:r>
                </w:p>
              </w:tc>
              <w:tc>
                <w:tcPr>
                  <w:tcW w:w="471" w:type="pct"/>
                  <w:noWrap w:val="0"/>
                  <w:vAlign w:val="center"/>
                </w:tcPr>
                <w:p w14:paraId="16ED847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6~9</w:t>
                  </w:r>
                </w:p>
              </w:tc>
              <w:tc>
                <w:tcPr>
                  <w:tcW w:w="471" w:type="pct"/>
                  <w:noWrap w:val="0"/>
                  <w:vAlign w:val="center"/>
                </w:tcPr>
                <w:p w14:paraId="34F8F79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400</w:t>
                  </w:r>
                </w:p>
              </w:tc>
              <w:tc>
                <w:tcPr>
                  <w:tcW w:w="491" w:type="pct"/>
                  <w:noWrap w:val="0"/>
                  <w:vAlign w:val="center"/>
                </w:tcPr>
                <w:p w14:paraId="270CE47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180</w:t>
                  </w:r>
                </w:p>
              </w:tc>
              <w:tc>
                <w:tcPr>
                  <w:tcW w:w="533" w:type="pct"/>
                  <w:noWrap w:val="0"/>
                  <w:vAlign w:val="center"/>
                </w:tcPr>
                <w:p w14:paraId="669F43C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35</w:t>
                  </w:r>
                </w:p>
              </w:tc>
              <w:tc>
                <w:tcPr>
                  <w:tcW w:w="428" w:type="pct"/>
                  <w:noWrap w:val="0"/>
                  <w:vAlign w:val="center"/>
                </w:tcPr>
                <w:p w14:paraId="24D44C4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200</w:t>
                  </w:r>
                </w:p>
              </w:tc>
              <w:tc>
                <w:tcPr>
                  <w:tcW w:w="492" w:type="pct"/>
                  <w:noWrap w:val="0"/>
                  <w:vAlign w:val="center"/>
                </w:tcPr>
                <w:p w14:paraId="5216ED9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c>
                <w:tcPr>
                  <w:tcW w:w="449" w:type="pct"/>
                  <w:noWrap w:val="0"/>
                  <w:vAlign w:val="center"/>
                </w:tcPr>
                <w:p w14:paraId="4EAACBA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45</w:t>
                  </w:r>
                </w:p>
              </w:tc>
            </w:tr>
            <w:tr w14:paraId="7702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1" w:type="pct"/>
                  <w:noWrap w:val="0"/>
                  <w:vAlign w:val="center"/>
                </w:tcPr>
                <w:p w14:paraId="602F7AC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GB18918-2002一级A标准</w:t>
                  </w:r>
                </w:p>
              </w:tc>
              <w:tc>
                <w:tcPr>
                  <w:tcW w:w="471" w:type="pct"/>
                  <w:noWrap w:val="0"/>
                  <w:vAlign w:val="center"/>
                </w:tcPr>
                <w:p w14:paraId="43E0AC79">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6~9</w:t>
                  </w:r>
                </w:p>
              </w:tc>
              <w:tc>
                <w:tcPr>
                  <w:tcW w:w="471" w:type="pct"/>
                  <w:noWrap w:val="0"/>
                  <w:vAlign w:val="center"/>
                </w:tcPr>
                <w:p w14:paraId="00EC031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50</w:t>
                  </w:r>
                </w:p>
              </w:tc>
              <w:tc>
                <w:tcPr>
                  <w:tcW w:w="491" w:type="pct"/>
                  <w:noWrap w:val="0"/>
                  <w:vAlign w:val="center"/>
                </w:tcPr>
                <w:p w14:paraId="2F5D6AB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10</w:t>
                  </w:r>
                </w:p>
              </w:tc>
              <w:tc>
                <w:tcPr>
                  <w:tcW w:w="533" w:type="pct"/>
                  <w:noWrap w:val="0"/>
                  <w:vAlign w:val="center"/>
                </w:tcPr>
                <w:p w14:paraId="525C78C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5(8)</w:t>
                  </w:r>
                </w:p>
              </w:tc>
              <w:tc>
                <w:tcPr>
                  <w:tcW w:w="428" w:type="pct"/>
                  <w:noWrap w:val="0"/>
                  <w:vAlign w:val="center"/>
                </w:tcPr>
                <w:p w14:paraId="7EF311A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10</w:t>
                  </w:r>
                </w:p>
              </w:tc>
              <w:tc>
                <w:tcPr>
                  <w:tcW w:w="492" w:type="pct"/>
                  <w:noWrap w:val="0"/>
                  <w:vAlign w:val="center"/>
                </w:tcPr>
                <w:p w14:paraId="29F144C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0.5</w:t>
                  </w:r>
                </w:p>
              </w:tc>
              <w:tc>
                <w:tcPr>
                  <w:tcW w:w="449" w:type="pct"/>
                  <w:noWrap w:val="0"/>
                  <w:vAlign w:val="center"/>
                </w:tcPr>
                <w:p w14:paraId="632EF316">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15</w:t>
                  </w:r>
                </w:p>
              </w:tc>
            </w:tr>
          </w:tbl>
          <w:p w14:paraId="423CD31F">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3、</w:t>
            </w:r>
            <w:r>
              <w:rPr>
                <w:rFonts w:hint="default"/>
                <w:b/>
                <w:bCs/>
                <w:color w:val="auto"/>
                <w:highlight w:val="none"/>
              </w:rPr>
              <w:t>噪声</w:t>
            </w:r>
            <w:r>
              <w:rPr>
                <w:rFonts w:hint="eastAsia"/>
                <w:b/>
                <w:bCs/>
                <w:color w:val="auto"/>
                <w:highlight w:val="none"/>
              </w:rPr>
              <w:t>排放标准</w:t>
            </w:r>
          </w:p>
          <w:p w14:paraId="473923CD">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运营期厂界噪声排放执行《工业企业厂界环境噪声排放标准》（GB12348-2008）中3类标准。具体见下表。</w:t>
            </w:r>
          </w:p>
          <w:p w14:paraId="5BD33CF4">
            <w:pPr>
              <w:keepNext w:val="0"/>
              <w:keepLines w:val="0"/>
              <w:suppressLineNumbers w:val="0"/>
              <w:bidi w:val="0"/>
              <w:spacing w:before="0" w:beforeAutospacing="0" w:after="0" w:afterAutospacing="0"/>
              <w:ind w:left="0" w:right="0"/>
              <w:rPr>
                <w:rFonts w:hint="default"/>
                <w:color w:val="auto"/>
                <w:highlight w:val="none"/>
              </w:rPr>
            </w:pPr>
          </w:p>
          <w:p w14:paraId="17318904">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表</w:t>
            </w:r>
            <w:r>
              <w:rPr>
                <w:rFonts w:hint="eastAsia"/>
                <w:color w:val="auto"/>
                <w:highlight w:val="none"/>
              </w:rPr>
              <w:t>3-</w:t>
            </w:r>
            <w:r>
              <w:rPr>
                <w:rFonts w:hint="eastAsia"/>
                <w:color w:val="auto"/>
                <w:highlight w:val="none"/>
                <w:lang w:val="en-US" w:eastAsia="zh-CN"/>
              </w:rPr>
              <w:t xml:space="preserve">6 </w:t>
            </w:r>
            <w:r>
              <w:rPr>
                <w:rFonts w:hint="default"/>
                <w:color w:val="auto"/>
                <w:highlight w:val="none"/>
              </w:rPr>
              <w:t xml:space="preserve"> 噪声排放标准</w:t>
            </w:r>
            <w:r>
              <w:rPr>
                <w:rFonts w:hint="eastAsia"/>
                <w:color w:val="auto"/>
                <w:highlight w:val="none"/>
                <w:lang w:eastAsia="zh-CN"/>
              </w:rPr>
              <w:t>（</w:t>
            </w:r>
            <w:r>
              <w:rPr>
                <w:rFonts w:hint="default"/>
                <w:color w:val="auto"/>
                <w:highlight w:val="none"/>
              </w:rPr>
              <w:t>单位：dB(A)</w:t>
            </w:r>
            <w:r>
              <w:rPr>
                <w:rFonts w:hint="eastAsia"/>
                <w:color w:val="auto"/>
                <w:highlight w:val="none"/>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5"/>
              <w:gridCol w:w="1230"/>
              <w:gridCol w:w="1099"/>
            </w:tblGrid>
            <w:tr w14:paraId="0F2A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35" w:type="dxa"/>
                  <w:noWrap w:val="0"/>
                  <w:vAlign w:val="center"/>
                </w:tcPr>
                <w:p w14:paraId="7031880E">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类别</w:t>
                  </w:r>
                </w:p>
              </w:tc>
              <w:tc>
                <w:tcPr>
                  <w:tcW w:w="1230" w:type="dxa"/>
                  <w:noWrap w:val="0"/>
                  <w:vAlign w:val="center"/>
                </w:tcPr>
                <w:p w14:paraId="5521DDC4">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昼间</w:t>
                  </w:r>
                </w:p>
              </w:tc>
              <w:tc>
                <w:tcPr>
                  <w:tcW w:w="1099" w:type="dxa"/>
                  <w:noWrap w:val="0"/>
                  <w:vAlign w:val="center"/>
                </w:tcPr>
                <w:p w14:paraId="6E9B0536">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夜间</w:t>
                  </w:r>
                </w:p>
              </w:tc>
            </w:tr>
            <w:tr w14:paraId="2E38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35" w:type="dxa"/>
                  <w:noWrap w:val="0"/>
                  <w:vAlign w:val="center"/>
                </w:tcPr>
                <w:p w14:paraId="5B53984B">
                  <w:pPr>
                    <w:pStyle w:val="27"/>
                    <w:keepNext w:val="0"/>
                    <w:keepLines w:val="0"/>
                    <w:suppressLineNumbers w:val="0"/>
                    <w:bidi w:val="0"/>
                    <w:spacing w:before="0" w:beforeAutospacing="0" w:after="0" w:afterAutospacing="0"/>
                    <w:ind w:left="0" w:right="0"/>
                    <w:rPr>
                      <w:color w:val="auto"/>
                      <w:highlight w:val="none"/>
                    </w:rPr>
                  </w:pPr>
                  <w:r>
                    <w:rPr>
                      <w:color w:val="auto"/>
                      <w:highlight w:val="none"/>
                      <w:lang w:val="en-US" w:eastAsia="zh-CN"/>
                    </w:rPr>
                    <w:t>《工业企业厂界环境噪声排放标准》（GB12348-2008）</w:t>
                  </w:r>
                  <w:r>
                    <w:rPr>
                      <w:color w:val="auto"/>
                      <w:highlight w:val="none"/>
                    </w:rPr>
                    <w:t>3类</w:t>
                  </w:r>
                </w:p>
              </w:tc>
              <w:tc>
                <w:tcPr>
                  <w:tcW w:w="1230" w:type="dxa"/>
                  <w:noWrap w:val="0"/>
                  <w:vAlign w:val="center"/>
                </w:tcPr>
                <w:p w14:paraId="179A98E2">
                  <w:pPr>
                    <w:pStyle w:val="27"/>
                    <w:keepNext w:val="0"/>
                    <w:keepLines w:val="0"/>
                    <w:suppressLineNumbers w:val="0"/>
                    <w:bidi w:val="0"/>
                    <w:spacing w:before="0" w:beforeAutospacing="0" w:after="0" w:afterAutospacing="0"/>
                    <w:ind w:left="0" w:right="0"/>
                    <w:rPr>
                      <w:color w:val="auto"/>
                      <w:highlight w:val="none"/>
                      <w:lang w:val="en-US" w:eastAsia="zh-CN"/>
                    </w:rPr>
                  </w:pPr>
                  <w:r>
                    <w:rPr>
                      <w:color w:val="auto"/>
                      <w:highlight w:val="none"/>
                      <w:lang w:val="en-US" w:eastAsia="zh-CN"/>
                    </w:rPr>
                    <w:t>65</w:t>
                  </w:r>
                </w:p>
              </w:tc>
              <w:tc>
                <w:tcPr>
                  <w:tcW w:w="1099" w:type="dxa"/>
                  <w:noWrap w:val="0"/>
                  <w:vAlign w:val="center"/>
                </w:tcPr>
                <w:p w14:paraId="35CFA3CE">
                  <w:pPr>
                    <w:pStyle w:val="27"/>
                    <w:keepNext w:val="0"/>
                    <w:keepLines w:val="0"/>
                    <w:suppressLineNumbers w:val="0"/>
                    <w:bidi w:val="0"/>
                    <w:spacing w:before="0" w:beforeAutospacing="0" w:after="0" w:afterAutospacing="0"/>
                    <w:ind w:left="0" w:right="0"/>
                    <w:rPr>
                      <w:color w:val="auto"/>
                      <w:highlight w:val="none"/>
                      <w:lang w:val="en-US" w:eastAsia="zh-CN"/>
                    </w:rPr>
                  </w:pPr>
                  <w:r>
                    <w:rPr>
                      <w:color w:val="auto"/>
                      <w:highlight w:val="none"/>
                      <w:lang w:val="en-US" w:eastAsia="zh-CN"/>
                    </w:rPr>
                    <w:t>55</w:t>
                  </w:r>
                </w:p>
              </w:tc>
            </w:tr>
          </w:tbl>
          <w:p w14:paraId="6CC200C5">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4、固废</w:t>
            </w:r>
          </w:p>
          <w:p w14:paraId="3754967B">
            <w:pPr>
              <w:keepNext w:val="0"/>
              <w:keepLines w:val="0"/>
              <w:suppressLineNumbers w:val="0"/>
              <w:bidi w:val="0"/>
              <w:spacing w:before="0" w:beforeAutospacing="0" w:after="0" w:afterAutospacing="0"/>
              <w:ind w:left="0" w:right="0"/>
              <w:rPr>
                <w:rFonts w:hint="default"/>
                <w:color w:val="auto"/>
                <w:kern w:val="0"/>
                <w:szCs w:val="21"/>
                <w:highlight w:val="none"/>
              </w:rPr>
            </w:pPr>
            <w:r>
              <w:rPr>
                <w:rFonts w:hint="default"/>
                <w:color w:val="auto"/>
                <w:highlight w:val="none"/>
              </w:rPr>
              <w:t>项目产生的一般工业固体废物</w:t>
            </w:r>
            <w:r>
              <w:rPr>
                <w:rFonts w:hint="eastAsia"/>
                <w:color w:val="auto"/>
                <w:highlight w:val="none"/>
              </w:rPr>
              <w:t>参照</w:t>
            </w:r>
            <w:r>
              <w:rPr>
                <w:rFonts w:hint="default"/>
                <w:color w:val="auto"/>
                <w:highlight w:val="none"/>
              </w:rPr>
              <w:t>执行《一般工业固体废物贮存</w:t>
            </w:r>
            <w:r>
              <w:rPr>
                <w:rFonts w:hint="eastAsia"/>
                <w:color w:val="auto"/>
                <w:highlight w:val="none"/>
              </w:rPr>
              <w:t>和填埋</w:t>
            </w:r>
            <w:r>
              <w:rPr>
                <w:rFonts w:hint="default"/>
                <w:color w:val="auto"/>
                <w:highlight w:val="none"/>
              </w:rPr>
              <w:t>污染控制标准》（GB18599-20</w:t>
            </w:r>
            <w:r>
              <w:rPr>
                <w:rFonts w:hint="eastAsia"/>
                <w:color w:val="auto"/>
                <w:highlight w:val="none"/>
              </w:rPr>
              <w:t>20</w:t>
            </w:r>
            <w:r>
              <w:rPr>
                <w:rFonts w:hint="default"/>
                <w:color w:val="auto"/>
                <w:highlight w:val="none"/>
              </w:rPr>
              <w:t>）中规定。危险废物执行《危险废物贮存污染控制标准》</w:t>
            </w:r>
            <w:r>
              <w:rPr>
                <w:rFonts w:hint="eastAsia"/>
                <w:color w:val="auto"/>
                <w:highlight w:val="none"/>
                <w:lang w:eastAsia="zh-CN"/>
              </w:rPr>
              <w:t>（</w:t>
            </w:r>
            <w:r>
              <w:rPr>
                <w:rFonts w:hint="default"/>
                <w:color w:val="auto"/>
                <w:highlight w:val="none"/>
              </w:rPr>
              <w:t>GB18597-20</w:t>
            </w:r>
            <w:r>
              <w:rPr>
                <w:rFonts w:hint="eastAsia"/>
                <w:color w:val="auto"/>
                <w:highlight w:val="none"/>
              </w:rPr>
              <w:t>23</w:t>
            </w:r>
            <w:r>
              <w:rPr>
                <w:rFonts w:hint="eastAsia"/>
                <w:color w:val="auto"/>
                <w:highlight w:val="none"/>
                <w:lang w:eastAsia="zh-CN"/>
              </w:rPr>
              <w:t>）</w:t>
            </w:r>
            <w:r>
              <w:rPr>
                <w:rFonts w:hint="default"/>
                <w:color w:val="auto"/>
                <w:highlight w:val="none"/>
              </w:rPr>
              <w:t>有关规定。</w:t>
            </w:r>
          </w:p>
        </w:tc>
      </w:tr>
      <w:tr w14:paraId="5526C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3D96A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总量</w:t>
            </w:r>
          </w:p>
          <w:p w14:paraId="6D0E1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highlight w:val="none"/>
              </w:rPr>
            </w:pPr>
            <w:r>
              <w:rPr>
                <w:rFonts w:hint="default"/>
                <w:color w:val="auto"/>
                <w:highlight w:val="none"/>
              </w:rPr>
              <w:t>控制</w:t>
            </w:r>
          </w:p>
          <w:p w14:paraId="3695B2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kern w:val="0"/>
                <w:szCs w:val="21"/>
                <w:highlight w:val="none"/>
              </w:rPr>
            </w:pPr>
            <w:r>
              <w:rPr>
                <w:rFonts w:hint="default"/>
                <w:color w:val="auto"/>
                <w:highlight w:val="none"/>
              </w:rPr>
              <w:t>指标</w:t>
            </w:r>
          </w:p>
        </w:tc>
        <w:tc>
          <w:tcPr>
            <w:tcW w:w="8190" w:type="dxa"/>
            <w:noWrap w:val="0"/>
            <w:vAlign w:val="center"/>
          </w:tcPr>
          <w:p w14:paraId="3FB24C6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安徽省环保厅关于进一步加强建设项目新增大气主要污染物总量指标管理工作的通知</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中有关规定，大气主要污染物总量指标从两项增加为四项，在SO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、NOx的基础上增加烟</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粉</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尘、挥发性有机物</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VOCs</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两项指标。</w:t>
            </w:r>
          </w:p>
          <w:p w14:paraId="0C3976BC">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1、总量控制因子</w:t>
            </w:r>
          </w:p>
          <w:p w14:paraId="38DBB71C">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废气：</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w:t>
            </w:r>
            <w:r>
              <w:rPr>
                <w:rFonts w:hint="eastAsia"/>
                <w:color w:val="auto"/>
                <w:highlight w:val="none"/>
              </w:rPr>
              <w:t>VOCs</w:t>
            </w:r>
            <w:r>
              <w:rPr>
                <w:rFonts w:hint="eastAsia"/>
                <w:color w:val="auto"/>
                <w:highlight w:val="none"/>
                <w:lang w:eastAsia="zh-CN"/>
              </w:rPr>
              <w:t>；</w:t>
            </w:r>
            <w:r>
              <w:rPr>
                <w:rFonts w:hint="eastAsia"/>
                <w:color w:val="auto"/>
                <w:highlight w:val="none"/>
              </w:rPr>
              <w:t>废水：COD、</w:t>
            </w:r>
            <w:r>
              <w:rPr>
                <w:rFonts w:hint="default"/>
                <w:color w:val="auto"/>
                <w:highlight w:val="none"/>
              </w:rPr>
              <w:t>NH</w:t>
            </w:r>
            <w:r>
              <w:rPr>
                <w:rFonts w:hint="default"/>
                <w:color w:val="auto"/>
                <w:highlight w:val="none"/>
                <w:vertAlign w:val="subscript"/>
              </w:rPr>
              <w:t>3</w:t>
            </w:r>
            <w:r>
              <w:rPr>
                <w:rFonts w:hint="default"/>
                <w:color w:val="auto"/>
                <w:highlight w:val="none"/>
              </w:rPr>
              <w:t>-N</w:t>
            </w:r>
          </w:p>
          <w:p w14:paraId="396F1F47">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2、总量控制指标。</w:t>
            </w:r>
          </w:p>
          <w:p w14:paraId="39FAECA3">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本项目新增废水总量指标：COD：0.</w:t>
            </w:r>
            <w:r>
              <w:rPr>
                <w:rFonts w:hint="eastAsia"/>
                <w:color w:val="auto"/>
                <w:highlight w:val="none"/>
                <w:lang w:val="en-US" w:eastAsia="zh-CN"/>
              </w:rPr>
              <w:t>5</w:t>
            </w:r>
            <w:r>
              <w:rPr>
                <w:rFonts w:hint="eastAsia"/>
                <w:color w:val="auto"/>
                <w:highlight w:val="none"/>
              </w:rPr>
              <w:t>t/a，氨氮0.0</w:t>
            </w:r>
            <w:r>
              <w:rPr>
                <w:rFonts w:hint="eastAsia"/>
                <w:color w:val="auto"/>
                <w:highlight w:val="none"/>
                <w:lang w:val="en-US" w:eastAsia="zh-CN"/>
              </w:rPr>
              <w:t>41</w:t>
            </w:r>
            <w:r>
              <w:rPr>
                <w:rFonts w:hint="eastAsia"/>
                <w:color w:val="auto"/>
                <w:highlight w:val="none"/>
              </w:rPr>
              <w:t>t/a。本项目废水水污染物排放量纳入</w:t>
            </w:r>
            <w:r>
              <w:rPr>
                <w:rFonts w:hint="default" w:ascii="Times New Roman" w:hAnsi="Times New Roman" w:cs="Times New Roman"/>
                <w:snapToGrid w:val="0"/>
                <w:color w:val="auto"/>
                <w:kern w:val="0"/>
                <w:sz w:val="24"/>
                <w:highlight w:val="none"/>
              </w:rPr>
              <w:t>山南新区污水处理厂</w:t>
            </w:r>
            <w:r>
              <w:rPr>
                <w:rFonts w:hint="eastAsia"/>
                <w:color w:val="auto"/>
                <w:highlight w:val="none"/>
              </w:rPr>
              <w:t>总量指标内，不单独申请。</w:t>
            </w:r>
          </w:p>
          <w:p w14:paraId="2056EB80">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本项目新增废气总量指标：VOCs：0.</w:t>
            </w:r>
            <w:r>
              <w:rPr>
                <w:rFonts w:hint="eastAsia"/>
                <w:color w:val="auto"/>
                <w:highlight w:val="none"/>
                <w:lang w:val="en-US" w:eastAsia="zh-CN"/>
              </w:rPr>
              <w:t>0063</w:t>
            </w:r>
            <w:r>
              <w:rPr>
                <w:rFonts w:hint="eastAsia"/>
                <w:color w:val="auto"/>
                <w:highlight w:val="none"/>
              </w:rPr>
              <w:t>t/a、</w:t>
            </w:r>
            <w:r>
              <w:rPr>
                <w:rFonts w:hint="eastAsia"/>
                <w:color w:val="auto"/>
                <w:highlight w:val="none"/>
                <w:lang w:val="en-US" w:eastAsia="zh-CN"/>
              </w:rPr>
              <w:t>氮氧化物0.0007</w:t>
            </w:r>
            <w:r>
              <w:rPr>
                <w:rFonts w:hint="eastAsia"/>
                <w:color w:val="auto"/>
                <w:highlight w:val="none"/>
              </w:rPr>
              <w:t>t/a。</w:t>
            </w:r>
          </w:p>
          <w:p w14:paraId="6916185B">
            <w:pPr>
              <w:keepNext w:val="0"/>
              <w:keepLines w:val="0"/>
              <w:suppressLineNumbers w:val="0"/>
              <w:bidi w:val="0"/>
              <w:spacing w:before="0" w:beforeAutospacing="0" w:after="0" w:afterAutospacing="0"/>
              <w:ind w:left="0" w:right="0"/>
              <w:rPr>
                <w:rFonts w:hint="eastAsia"/>
                <w:color w:val="auto"/>
                <w:highlight w:val="none"/>
              </w:rPr>
            </w:pPr>
          </w:p>
          <w:p w14:paraId="3635C35E">
            <w:pPr>
              <w:keepNext w:val="0"/>
              <w:keepLines w:val="0"/>
              <w:suppressLineNumbers w:val="0"/>
              <w:bidi w:val="0"/>
              <w:spacing w:before="0" w:beforeAutospacing="0" w:after="0" w:afterAutospacing="0"/>
              <w:ind w:left="0" w:right="0"/>
              <w:rPr>
                <w:rFonts w:hint="eastAsia"/>
                <w:color w:val="auto"/>
                <w:highlight w:val="none"/>
              </w:rPr>
            </w:pPr>
          </w:p>
          <w:p w14:paraId="576A1C42">
            <w:pPr>
              <w:keepNext w:val="0"/>
              <w:keepLines w:val="0"/>
              <w:suppressLineNumbers w:val="0"/>
              <w:bidi w:val="0"/>
              <w:spacing w:before="0" w:beforeAutospacing="0" w:after="0" w:afterAutospacing="0"/>
              <w:ind w:left="0" w:right="0"/>
              <w:rPr>
                <w:rFonts w:hint="eastAsia"/>
                <w:color w:val="auto"/>
                <w:highlight w:val="none"/>
              </w:rPr>
            </w:pPr>
          </w:p>
          <w:p w14:paraId="42E118D5">
            <w:pPr>
              <w:keepNext w:val="0"/>
              <w:keepLines w:val="0"/>
              <w:suppressLineNumbers w:val="0"/>
              <w:bidi w:val="0"/>
              <w:spacing w:before="0" w:beforeAutospacing="0" w:after="0" w:afterAutospacing="0"/>
              <w:ind w:left="0" w:right="0"/>
              <w:rPr>
                <w:rFonts w:hint="eastAsia"/>
                <w:color w:val="auto"/>
                <w:highlight w:val="none"/>
              </w:rPr>
            </w:pPr>
          </w:p>
          <w:p w14:paraId="637DB74C">
            <w:pPr>
              <w:keepNext w:val="0"/>
              <w:keepLines w:val="0"/>
              <w:suppressLineNumbers w:val="0"/>
              <w:bidi w:val="0"/>
              <w:spacing w:before="0" w:beforeAutospacing="0" w:after="0" w:afterAutospacing="0"/>
              <w:ind w:left="0" w:right="0"/>
              <w:rPr>
                <w:rFonts w:hint="eastAsia"/>
                <w:color w:val="auto"/>
                <w:highlight w:val="none"/>
              </w:rPr>
            </w:pPr>
          </w:p>
          <w:p w14:paraId="5E2FD30C">
            <w:pPr>
              <w:keepNext w:val="0"/>
              <w:keepLines w:val="0"/>
              <w:suppressLineNumbers w:val="0"/>
              <w:bidi w:val="0"/>
              <w:spacing w:before="0" w:beforeAutospacing="0" w:after="0" w:afterAutospacing="0"/>
              <w:ind w:left="0" w:right="0"/>
              <w:rPr>
                <w:rFonts w:hint="eastAsia"/>
                <w:color w:val="auto"/>
                <w:highlight w:val="none"/>
              </w:rPr>
            </w:pPr>
          </w:p>
          <w:p w14:paraId="277C2FB9">
            <w:pPr>
              <w:keepNext w:val="0"/>
              <w:keepLines w:val="0"/>
              <w:suppressLineNumbers w:val="0"/>
              <w:bidi w:val="0"/>
              <w:spacing w:before="0" w:beforeAutospacing="0" w:after="0" w:afterAutospacing="0"/>
              <w:ind w:left="0" w:right="0"/>
              <w:rPr>
                <w:rFonts w:hint="eastAsia"/>
                <w:color w:val="auto"/>
                <w:highlight w:val="none"/>
              </w:rPr>
            </w:pPr>
          </w:p>
          <w:p w14:paraId="33D96BFD">
            <w:pPr>
              <w:keepNext w:val="0"/>
              <w:keepLines w:val="0"/>
              <w:suppressLineNumbers w:val="0"/>
              <w:bidi w:val="0"/>
              <w:spacing w:before="0" w:beforeAutospacing="0" w:after="0" w:afterAutospacing="0"/>
              <w:ind w:left="0" w:right="0"/>
              <w:rPr>
                <w:rFonts w:hint="eastAsia"/>
                <w:color w:val="auto"/>
                <w:highlight w:val="none"/>
              </w:rPr>
            </w:pPr>
          </w:p>
          <w:p w14:paraId="762455AD">
            <w:pPr>
              <w:keepNext w:val="0"/>
              <w:keepLines w:val="0"/>
              <w:suppressLineNumbers w:val="0"/>
              <w:bidi w:val="0"/>
              <w:spacing w:before="0" w:beforeAutospacing="0" w:after="0" w:afterAutospacing="0"/>
              <w:ind w:left="0" w:right="0"/>
              <w:rPr>
                <w:rFonts w:hint="eastAsia"/>
                <w:color w:val="auto"/>
                <w:highlight w:val="none"/>
              </w:rPr>
            </w:pPr>
          </w:p>
          <w:p w14:paraId="392A33CF">
            <w:pPr>
              <w:keepNext w:val="0"/>
              <w:keepLines w:val="0"/>
              <w:suppressLineNumbers w:val="0"/>
              <w:bidi w:val="0"/>
              <w:spacing w:before="0" w:beforeAutospacing="0" w:after="0" w:afterAutospacing="0"/>
              <w:ind w:left="0" w:right="0"/>
              <w:rPr>
                <w:rFonts w:hint="eastAsia"/>
                <w:color w:val="auto"/>
                <w:highlight w:val="none"/>
              </w:rPr>
            </w:pPr>
          </w:p>
          <w:p w14:paraId="38878C6D">
            <w:pPr>
              <w:keepNext w:val="0"/>
              <w:keepLines w:val="0"/>
              <w:suppressLineNumbers w:val="0"/>
              <w:bidi w:val="0"/>
              <w:spacing w:before="0" w:beforeAutospacing="0" w:after="0" w:afterAutospacing="0"/>
              <w:ind w:left="0" w:right="0"/>
              <w:rPr>
                <w:rFonts w:hint="eastAsia"/>
                <w:color w:val="auto"/>
                <w:highlight w:val="none"/>
              </w:rPr>
            </w:pPr>
          </w:p>
          <w:p w14:paraId="376B9056">
            <w:pPr>
              <w:keepNext w:val="0"/>
              <w:keepLines w:val="0"/>
              <w:suppressLineNumbers w:val="0"/>
              <w:bidi w:val="0"/>
              <w:spacing w:before="0" w:beforeAutospacing="0" w:after="0" w:afterAutospacing="0"/>
              <w:ind w:left="0" w:right="0"/>
              <w:rPr>
                <w:rFonts w:hint="eastAsia"/>
                <w:color w:val="auto"/>
                <w:highlight w:val="none"/>
              </w:rPr>
            </w:pPr>
          </w:p>
          <w:p w14:paraId="605A7AB8">
            <w:pPr>
              <w:keepNext w:val="0"/>
              <w:keepLines w:val="0"/>
              <w:suppressLineNumbers w:val="0"/>
              <w:bidi w:val="0"/>
              <w:spacing w:before="0" w:beforeAutospacing="0" w:after="0" w:afterAutospacing="0"/>
              <w:ind w:left="0" w:right="0"/>
              <w:rPr>
                <w:rFonts w:hint="eastAsia"/>
                <w:color w:val="auto"/>
                <w:highlight w:val="none"/>
              </w:rPr>
            </w:pPr>
          </w:p>
          <w:p w14:paraId="510D67D1">
            <w:pPr>
              <w:keepNext w:val="0"/>
              <w:keepLines w:val="0"/>
              <w:suppressLineNumbers w:val="0"/>
              <w:bidi w:val="0"/>
              <w:spacing w:before="0" w:beforeAutospacing="0" w:after="0" w:afterAutospacing="0"/>
              <w:ind w:left="0" w:right="0"/>
              <w:rPr>
                <w:rFonts w:hint="eastAsia"/>
                <w:color w:val="auto"/>
                <w:highlight w:val="none"/>
              </w:rPr>
            </w:pPr>
          </w:p>
        </w:tc>
      </w:tr>
    </w:tbl>
    <w:p w14:paraId="0DC0CAA1">
      <w:pPr>
        <w:jc w:val="center"/>
        <w:outlineLvl w:val="0"/>
        <w:rPr>
          <w:rStyle w:val="29"/>
          <w:rFonts w:hint="eastAsia"/>
          <w:color w:val="auto"/>
          <w:highlight w:val="none"/>
          <w:lang w:eastAsia="zh-CN"/>
        </w:rPr>
      </w:pPr>
      <w:r>
        <w:rPr>
          <w:rFonts w:ascii="Times New Roman" w:hAnsi="Times New Roman" w:eastAsia="黑体"/>
          <w:snapToGrid w:val="0"/>
          <w:color w:val="auto"/>
          <w:sz w:val="36"/>
          <w:szCs w:val="36"/>
          <w:highlight w:val="none"/>
        </w:rPr>
        <w:br w:type="page"/>
      </w:r>
      <w:r>
        <w:rPr>
          <w:rStyle w:val="29"/>
          <w:color w:val="auto"/>
          <w:highlight w:val="none"/>
        </w:rPr>
        <w:t>四、主要环境影响和保护措施</w:t>
      </w:r>
    </w:p>
    <w:tbl>
      <w:tblPr>
        <w:tblStyle w:val="18"/>
        <w:tblW w:w="88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1" w:type="dxa"/>
          <w:bottom w:w="0" w:type="dxa"/>
          <w:right w:w="51" w:type="dxa"/>
        </w:tblCellMar>
      </w:tblPr>
      <w:tblGrid>
        <w:gridCol w:w="572"/>
        <w:gridCol w:w="8288"/>
      </w:tblGrid>
      <w:tr w14:paraId="0F487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10" w:hRule="atLeast"/>
          <w:jc w:val="center"/>
        </w:trPr>
        <w:tc>
          <w:tcPr>
            <w:tcW w:w="572" w:type="dxa"/>
            <w:noWrap w:val="0"/>
            <w:tcMar>
              <w:left w:w="28" w:type="dxa"/>
              <w:right w:w="28" w:type="dxa"/>
            </w:tcMar>
            <w:vAlign w:val="center"/>
          </w:tcPr>
          <w:p w14:paraId="3CC08F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宋体"/>
                <w:bCs/>
                <w:color w:val="auto"/>
                <w:kern w:val="2"/>
                <w:szCs w:val="24"/>
                <w:highlight w:val="none"/>
                <w:lang w:val="en-US" w:eastAsia="zh-CN"/>
              </w:rPr>
            </w:pPr>
            <w:r>
              <w:rPr>
                <w:rFonts w:hint="eastAsia"/>
                <w:color w:val="auto"/>
                <w:highlight w:val="none"/>
                <w:lang w:val="en-US" w:eastAsia="zh-CN"/>
              </w:rPr>
              <w:t>施工期</w:t>
            </w:r>
            <w:r>
              <w:rPr>
                <w:rFonts w:hint="default"/>
                <w:color w:val="auto"/>
                <w:highlight w:val="none"/>
              </w:rPr>
              <w:t>环境影响和保护措施</w:t>
            </w:r>
          </w:p>
        </w:tc>
        <w:tc>
          <w:tcPr>
            <w:tcW w:w="8288" w:type="dxa"/>
            <w:noWrap w:val="0"/>
            <w:vAlign w:val="center"/>
          </w:tcPr>
          <w:p w14:paraId="6AF1EA03">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施工期：</w:t>
            </w:r>
          </w:p>
          <w:p w14:paraId="193A1348">
            <w:pPr>
              <w:keepNext w:val="0"/>
              <w:keepLines w:val="0"/>
              <w:suppressLineNumbers w:val="0"/>
              <w:bidi w:val="0"/>
              <w:spacing w:before="0" w:beforeAutospacing="0" w:after="0" w:afterAutospacing="0"/>
              <w:ind w:left="0" w:right="0"/>
              <w:rPr>
                <w:rFonts w:hint="eastAsia"/>
                <w:color w:val="auto"/>
                <w:szCs w:val="24"/>
                <w:highlight w:val="none"/>
                <w:lang w:val="en-US" w:eastAsia="zh-CN"/>
              </w:rPr>
            </w:pPr>
            <w:r>
              <w:rPr>
                <w:rFonts w:hint="default"/>
                <w:color w:val="auto"/>
                <w:highlight w:val="none"/>
                <w:lang w:val="en-US" w:eastAsia="zh-CN"/>
              </w:rPr>
              <w:t>本项目为租赁</w:t>
            </w:r>
            <w:r>
              <w:rPr>
                <w:rFonts w:hint="eastAsia"/>
                <w:color w:val="auto"/>
                <w:highlight w:val="none"/>
                <w:lang w:val="en-US" w:eastAsia="zh-CN"/>
              </w:rPr>
              <w:t>现有办公楼</w:t>
            </w:r>
            <w:r>
              <w:rPr>
                <w:rFonts w:hint="default"/>
                <w:color w:val="auto"/>
                <w:highlight w:val="none"/>
                <w:lang w:val="en-US" w:eastAsia="zh-CN"/>
              </w:rPr>
              <w:t>生产，施工期仅进行设备安装，厂房已建成，故本项目施工期主要为设备安装，本项目施工期需落实好沿线居民点声环境影响，在允许的时间内进行施工，夜间不进行设备运输及安装作业，施工期间，建筑施工场界噪声应达到GB12523—2011中的有关规定。本项目施工期的噪声对周围声环境的不利影响随着工程竣工，噪声影响将降低或消失。</w:t>
            </w:r>
          </w:p>
        </w:tc>
      </w:tr>
      <w:tr w14:paraId="77F74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72" w:type="dxa"/>
            <w:noWrap w:val="0"/>
            <w:tcMar>
              <w:left w:w="28" w:type="dxa"/>
              <w:right w:w="28" w:type="dxa"/>
            </w:tcMar>
            <w:vAlign w:val="center"/>
          </w:tcPr>
          <w:p w14:paraId="27650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highlight w:val="none"/>
              </w:rPr>
            </w:pPr>
            <w:r>
              <w:rPr>
                <w:rFonts w:hint="default"/>
                <w:color w:val="auto"/>
                <w:highlight w:val="none"/>
              </w:rPr>
              <w:t>运营期环境影响和保护措施</w:t>
            </w:r>
          </w:p>
        </w:tc>
        <w:tc>
          <w:tcPr>
            <w:tcW w:w="8288" w:type="dxa"/>
            <w:noWrap w:val="0"/>
            <w:vAlign w:val="center"/>
          </w:tcPr>
          <w:p w14:paraId="38E79E9B">
            <w:pPr>
              <w:keepNext w:val="0"/>
              <w:keepLines w:val="0"/>
              <w:suppressLineNumbers w:val="0"/>
              <w:spacing w:before="0" w:beforeAutospacing="0" w:after="0" w:afterAutospacing="0"/>
              <w:ind w:left="0" w:right="0" w:firstLine="482"/>
              <w:rPr>
                <w:rFonts w:hint="default"/>
                <w:b/>
                <w:bCs/>
                <w:color w:val="auto"/>
                <w:sz w:val="24"/>
                <w:szCs w:val="24"/>
                <w:highlight w:val="none"/>
                <w:lang w:val="en-US" w:eastAsia="zh-CN"/>
              </w:rPr>
            </w:pPr>
            <w:r>
              <w:rPr>
                <w:rFonts w:hint="default"/>
                <w:b/>
                <w:bCs/>
                <w:color w:val="auto"/>
                <w:sz w:val="24"/>
                <w:szCs w:val="24"/>
                <w:highlight w:val="none"/>
                <w:lang w:val="en-US" w:eastAsia="zh-CN"/>
              </w:rPr>
              <w:t>1、废气</w:t>
            </w:r>
          </w:p>
          <w:p w14:paraId="705A2A0A">
            <w:pPr>
              <w:keepNext w:val="0"/>
              <w:keepLines w:val="0"/>
              <w:suppressLineNumbers w:val="0"/>
              <w:adjustRightInd w:val="0"/>
              <w:snapToGrid w:val="0"/>
              <w:spacing w:before="0" w:beforeAutospacing="0" w:after="0" w:afterAutospacing="0" w:line="360" w:lineRule="auto"/>
              <w:ind w:left="0" w:right="0" w:firstLine="482" w:firstLineChars="200"/>
              <w:rPr>
                <w:rFonts w:hint="eastAsia"/>
                <w:b/>
                <w:color w:val="auto"/>
                <w:kern w:val="0"/>
                <w:sz w:val="24"/>
                <w:highlight w:val="none"/>
              </w:rPr>
            </w:pPr>
            <w:r>
              <w:rPr>
                <w:rFonts w:hint="eastAsia"/>
                <w:b/>
                <w:color w:val="auto"/>
                <w:kern w:val="0"/>
                <w:sz w:val="24"/>
                <w:highlight w:val="none"/>
              </w:rPr>
              <w:t>本节内容具体见项目大气环境影响评价专项。</w:t>
            </w:r>
          </w:p>
          <w:p w14:paraId="2C107F84">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lang w:eastAsia="zh-CN"/>
              </w:rPr>
              <w:t>、</w:t>
            </w:r>
            <w:r>
              <w:rPr>
                <w:rFonts w:hint="default"/>
                <w:b/>
                <w:bCs/>
                <w:color w:val="auto"/>
                <w:highlight w:val="none"/>
              </w:rPr>
              <w:t>废水</w:t>
            </w:r>
          </w:p>
          <w:p w14:paraId="6A1087B6">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（1）废水污染源强</w:t>
            </w:r>
          </w:p>
          <w:p w14:paraId="11464B00">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本项目</w:t>
            </w:r>
            <w:r>
              <w:rPr>
                <w:rFonts w:hint="eastAsia"/>
                <w:color w:val="auto"/>
                <w:highlight w:val="none"/>
                <w:lang w:val="en-US" w:eastAsia="zh-CN"/>
              </w:rPr>
              <w:t>排放废水主要有实验废水、纯水制备浓水、保洁废水、喷淋废水及生活污水</w:t>
            </w:r>
            <w:r>
              <w:rPr>
                <w:rFonts w:hint="eastAsia"/>
                <w:color w:val="auto"/>
                <w:highlight w:val="none"/>
              </w:rPr>
              <w:t>。</w:t>
            </w:r>
          </w:p>
          <w:p w14:paraId="0940F586">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本项目劳动定员为</w:t>
            </w:r>
            <w:r>
              <w:rPr>
                <w:rFonts w:hint="eastAsia"/>
                <w:color w:val="auto"/>
                <w:highlight w:val="none"/>
                <w:lang w:val="en-US" w:eastAsia="zh-CN"/>
              </w:rPr>
              <w:t>4</w:t>
            </w:r>
            <w:r>
              <w:rPr>
                <w:rFonts w:hint="eastAsia"/>
                <w:color w:val="auto"/>
                <w:highlight w:val="none"/>
              </w:rPr>
              <w:t>0名，生活污水产生量为</w:t>
            </w:r>
            <w:r>
              <w:rPr>
                <w:rFonts w:hint="eastAsia"/>
                <w:color w:val="auto"/>
                <w:highlight w:val="none"/>
                <w:lang w:val="en-US" w:eastAsia="zh-CN"/>
              </w:rPr>
              <w:t>4.31</w:t>
            </w:r>
            <w:r>
              <w:rPr>
                <w:rFonts w:hint="eastAsia"/>
                <w:color w:val="auto"/>
                <w:highlight w:val="none"/>
              </w:rPr>
              <w:t>t/d，</w:t>
            </w:r>
            <w:r>
              <w:rPr>
                <w:rFonts w:hint="eastAsia"/>
                <w:color w:val="auto"/>
                <w:highlight w:val="none"/>
                <w:lang w:val="en-US" w:eastAsia="zh-CN"/>
              </w:rPr>
              <w:t>1292</w:t>
            </w:r>
            <w:r>
              <w:rPr>
                <w:rFonts w:hint="eastAsia"/>
                <w:color w:val="auto"/>
                <w:highlight w:val="none"/>
              </w:rPr>
              <w:t>t/a。</w:t>
            </w:r>
            <w:r>
              <w:rPr>
                <w:rFonts w:hint="eastAsia"/>
                <w:color w:val="auto"/>
                <w:highlight w:val="none"/>
                <w:lang w:val="en-US" w:eastAsia="zh-CN"/>
              </w:rPr>
              <w:t>生活污水、、保洁废水</w:t>
            </w:r>
            <w:r>
              <w:rPr>
                <w:rFonts w:hint="eastAsia"/>
                <w:color w:val="auto"/>
                <w:highlight w:val="none"/>
              </w:rPr>
              <w:t>经</w:t>
            </w:r>
            <w:r>
              <w:rPr>
                <w:rFonts w:hint="eastAsia"/>
                <w:color w:val="auto"/>
                <w:highlight w:val="none"/>
                <w:lang w:val="en-US" w:eastAsia="zh-CN"/>
              </w:rPr>
              <w:t>化粪池收集后经污水</w:t>
            </w:r>
            <w:r>
              <w:rPr>
                <w:rFonts w:hint="eastAsia"/>
                <w:color w:val="auto"/>
                <w:highlight w:val="none"/>
              </w:rPr>
              <w:t>管网排至</w:t>
            </w:r>
            <w:r>
              <w:rPr>
                <w:rFonts w:hint="eastAsia"/>
                <w:color w:val="auto"/>
                <w:highlight w:val="none"/>
                <w:lang w:val="en-US" w:eastAsia="zh-CN"/>
              </w:rPr>
              <w:t>山南新区污水处理厂</w:t>
            </w:r>
            <w:r>
              <w:rPr>
                <w:rFonts w:hint="eastAsia"/>
                <w:color w:val="auto"/>
                <w:highlight w:val="none"/>
              </w:rPr>
              <w:t>。</w:t>
            </w:r>
            <w:r>
              <w:rPr>
                <w:rFonts w:hint="eastAsia"/>
                <w:color w:val="auto"/>
                <w:highlight w:val="none"/>
                <w:lang w:val="en-US" w:eastAsia="zh-CN"/>
              </w:rPr>
              <w:t>实验废水、喷淋废水经污水处理设施处理后经园区污水管线进入市政污水管网，进入山南新区污水处理厂，纯水制备浓水直接接管市政污水管网，接管山南新区污水处理厂。</w:t>
            </w:r>
          </w:p>
          <w:p w14:paraId="33EE0659">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b/>
                <w:bCs/>
                <w:color w:val="auto"/>
                <w:kern w:val="0"/>
                <w:sz w:val="24"/>
                <w:highlight w:val="none"/>
              </w:rPr>
            </w:pPr>
            <w:r>
              <w:rPr>
                <w:rFonts w:hint="default"/>
                <w:b/>
                <w:bCs/>
                <w:color w:val="auto"/>
                <w:kern w:val="0"/>
                <w:sz w:val="24"/>
                <w:highlight w:val="none"/>
              </w:rPr>
              <w:t>（2）废水污染源强核算结果及相关参数一览</w:t>
            </w:r>
          </w:p>
          <w:p w14:paraId="6427C716">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生活污水水质指标参照《</w:t>
            </w:r>
            <w:r>
              <w:rPr>
                <w:rFonts w:hint="eastAsia"/>
                <w:color w:val="auto"/>
                <w:highlight w:val="none"/>
              </w:rPr>
              <w:t>生活污染源产排污系数手册</w:t>
            </w:r>
            <w:r>
              <w:rPr>
                <w:rFonts w:hint="default"/>
                <w:color w:val="auto"/>
                <w:highlight w:val="none"/>
              </w:rPr>
              <w:t>》中</w:t>
            </w:r>
            <w:r>
              <w:rPr>
                <w:rFonts w:hint="eastAsia"/>
                <w:color w:val="auto"/>
                <w:highlight w:val="none"/>
                <w:lang w:eastAsia="zh-CN"/>
              </w:rPr>
              <w:t>“</w:t>
            </w:r>
            <w:r>
              <w:rPr>
                <w:rFonts w:hint="default"/>
                <w:color w:val="auto"/>
                <w:highlight w:val="none"/>
              </w:rPr>
              <w:t>表1-1城镇生活源水污染物产生系数</w:t>
            </w:r>
            <w:r>
              <w:rPr>
                <w:rFonts w:hint="eastAsia"/>
                <w:color w:val="auto"/>
                <w:highlight w:val="none"/>
                <w:lang w:eastAsia="zh-CN"/>
              </w:rPr>
              <w:t>”</w:t>
            </w:r>
            <w:r>
              <w:rPr>
                <w:rFonts w:hint="default"/>
                <w:color w:val="auto"/>
                <w:highlight w:val="none"/>
              </w:rPr>
              <w:t>中四区产污系数，</w:t>
            </w:r>
            <w:r>
              <w:rPr>
                <w:rFonts w:hint="eastAsia"/>
                <w:color w:val="auto"/>
                <w:highlight w:val="none"/>
                <w:lang w:val="en-US" w:eastAsia="zh-CN"/>
              </w:rPr>
              <w:t>其他实验废水源强参照同类型实验室安徽步云环境科技有限公司环境监测实验室项目环境影响报告表中水质数据，该实验室与本项目监测项目基本相同，废水水质基本相同，纯水制备浓水、反冲洗废水、空调系统排水参照同类型常规纯水机</w:t>
            </w:r>
            <w:r>
              <w:rPr>
                <w:rFonts w:hint="default"/>
                <w:color w:val="auto"/>
                <w:highlight w:val="none"/>
              </w:rPr>
              <w:t>废水</w:t>
            </w:r>
            <w:r>
              <w:rPr>
                <w:rFonts w:hint="eastAsia"/>
                <w:color w:val="auto"/>
                <w:highlight w:val="none"/>
                <w:lang w:val="en-US" w:eastAsia="zh-CN"/>
              </w:rPr>
              <w:t>源强，</w:t>
            </w:r>
            <w:r>
              <w:rPr>
                <w:rFonts w:hint="default"/>
                <w:color w:val="auto"/>
                <w:highlight w:val="none"/>
              </w:rPr>
              <w:t>污染源强核算结果及相关参数一览见表</w:t>
            </w:r>
            <w:r>
              <w:rPr>
                <w:rFonts w:hint="eastAsia"/>
                <w:color w:val="auto"/>
                <w:highlight w:val="none"/>
              </w:rPr>
              <w:t>4-1</w:t>
            </w:r>
            <w:r>
              <w:rPr>
                <w:rFonts w:hint="default"/>
                <w:color w:val="auto"/>
                <w:highlight w:val="none"/>
              </w:rPr>
              <w:t>。</w:t>
            </w:r>
          </w:p>
          <w:p w14:paraId="6292B734">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表</w:t>
            </w:r>
            <w:r>
              <w:rPr>
                <w:rFonts w:hint="eastAsia"/>
                <w:color w:val="auto"/>
                <w:highlight w:val="none"/>
              </w:rPr>
              <w:t>4-1</w:t>
            </w:r>
            <w:r>
              <w:rPr>
                <w:rFonts w:hint="default"/>
                <w:color w:val="auto"/>
                <w:highlight w:val="none"/>
              </w:rPr>
              <w:t xml:space="preserve"> </w:t>
            </w:r>
            <w:r>
              <w:rPr>
                <w:rFonts w:hint="eastAsia"/>
                <w:color w:val="auto"/>
                <w:highlight w:val="none"/>
                <w:lang w:val="en-US" w:eastAsia="zh-CN"/>
              </w:rPr>
              <w:t xml:space="preserve"> </w:t>
            </w:r>
            <w:r>
              <w:rPr>
                <w:rFonts w:hint="eastAsia"/>
                <w:color w:val="auto"/>
                <w:highlight w:val="none"/>
              </w:rPr>
              <w:t>项目废水污染物产生与排放情况</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86"/>
              <w:gridCol w:w="764"/>
              <w:gridCol w:w="636"/>
              <w:gridCol w:w="755"/>
              <w:gridCol w:w="839"/>
              <w:gridCol w:w="909"/>
              <w:gridCol w:w="988"/>
              <w:gridCol w:w="818"/>
              <w:gridCol w:w="875"/>
              <w:gridCol w:w="1001"/>
            </w:tblGrid>
            <w:tr w14:paraId="79843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restart"/>
                  <w:noWrap w:val="0"/>
                  <w:vAlign w:val="center"/>
                </w:tcPr>
                <w:p w14:paraId="08CDFCC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时期</w:t>
                  </w:r>
                </w:p>
              </w:tc>
              <w:tc>
                <w:tcPr>
                  <w:tcW w:w="467" w:type="pct"/>
                  <w:vMerge w:val="restart"/>
                  <w:noWrap w:val="0"/>
                  <w:vAlign w:val="center"/>
                </w:tcPr>
                <w:p w14:paraId="32F0AC3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污染源</w:t>
                  </w:r>
                </w:p>
              </w:tc>
              <w:tc>
                <w:tcPr>
                  <w:tcW w:w="389" w:type="pct"/>
                  <w:vMerge w:val="restart"/>
                  <w:noWrap w:val="0"/>
                  <w:vAlign w:val="center"/>
                </w:tcPr>
                <w:p w14:paraId="38B2CF4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废水量t/a</w:t>
                  </w:r>
                </w:p>
              </w:tc>
              <w:tc>
                <w:tcPr>
                  <w:tcW w:w="461" w:type="pct"/>
                  <w:vMerge w:val="restart"/>
                  <w:noWrap w:val="0"/>
                  <w:vAlign w:val="center"/>
                </w:tcPr>
                <w:p w14:paraId="209045E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污染物</w:t>
                  </w:r>
                </w:p>
              </w:tc>
              <w:tc>
                <w:tcPr>
                  <w:tcW w:w="1069" w:type="pct"/>
                  <w:gridSpan w:val="2"/>
                  <w:noWrap w:val="0"/>
                  <w:vAlign w:val="center"/>
                </w:tcPr>
                <w:p w14:paraId="6C67EC7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产生情况</w:t>
                  </w:r>
                </w:p>
              </w:tc>
              <w:tc>
                <w:tcPr>
                  <w:tcW w:w="604" w:type="pct"/>
                  <w:vMerge w:val="restart"/>
                  <w:noWrap w:val="0"/>
                  <w:vAlign w:val="center"/>
                </w:tcPr>
                <w:p w14:paraId="01547C5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拟采取的处理措施</w:t>
                  </w:r>
                </w:p>
              </w:tc>
              <w:tc>
                <w:tcPr>
                  <w:tcW w:w="1035" w:type="pct"/>
                  <w:gridSpan w:val="2"/>
                  <w:noWrap w:val="0"/>
                  <w:vAlign w:val="center"/>
                </w:tcPr>
                <w:p w14:paraId="14F2CE5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接管排放情况</w:t>
                  </w:r>
                </w:p>
              </w:tc>
              <w:tc>
                <w:tcPr>
                  <w:tcW w:w="612" w:type="pct"/>
                  <w:vMerge w:val="restart"/>
                  <w:noWrap w:val="0"/>
                  <w:vAlign w:val="center"/>
                </w:tcPr>
                <w:p w14:paraId="5742EC4B">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排放方式及去向</w:t>
                  </w:r>
                </w:p>
              </w:tc>
            </w:tr>
            <w:tr w14:paraId="6984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5FB5024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p>
              </w:tc>
              <w:tc>
                <w:tcPr>
                  <w:tcW w:w="467" w:type="pct"/>
                  <w:vMerge w:val="continue"/>
                  <w:noWrap w:val="0"/>
                  <w:vAlign w:val="center"/>
                </w:tcPr>
                <w:p w14:paraId="7BFCD35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p>
              </w:tc>
              <w:tc>
                <w:tcPr>
                  <w:tcW w:w="389" w:type="pct"/>
                  <w:vMerge w:val="continue"/>
                  <w:noWrap w:val="0"/>
                  <w:vAlign w:val="center"/>
                </w:tcPr>
                <w:p w14:paraId="123F214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p>
              </w:tc>
              <w:tc>
                <w:tcPr>
                  <w:tcW w:w="461" w:type="pct"/>
                  <w:vMerge w:val="continue"/>
                  <w:noWrap w:val="0"/>
                  <w:vAlign w:val="center"/>
                </w:tcPr>
                <w:p w14:paraId="6C215CD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p>
              </w:tc>
              <w:tc>
                <w:tcPr>
                  <w:tcW w:w="513" w:type="pct"/>
                  <w:noWrap w:val="0"/>
                  <w:vAlign w:val="center"/>
                </w:tcPr>
                <w:p w14:paraId="597A29C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浓度mg/L</w:t>
                  </w:r>
                </w:p>
              </w:tc>
              <w:tc>
                <w:tcPr>
                  <w:tcW w:w="556" w:type="pct"/>
                  <w:noWrap w:val="0"/>
                  <w:vAlign w:val="center"/>
                </w:tcPr>
                <w:p w14:paraId="051E837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产生量t/a</w:t>
                  </w:r>
                </w:p>
              </w:tc>
              <w:tc>
                <w:tcPr>
                  <w:tcW w:w="604" w:type="pct"/>
                  <w:vMerge w:val="continue"/>
                  <w:noWrap w:val="0"/>
                  <w:vAlign w:val="center"/>
                </w:tcPr>
                <w:p w14:paraId="709696F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p>
              </w:tc>
              <w:tc>
                <w:tcPr>
                  <w:tcW w:w="500" w:type="pct"/>
                  <w:noWrap w:val="0"/>
                  <w:vAlign w:val="center"/>
                </w:tcPr>
                <w:p w14:paraId="4F32759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浓度mg/L</w:t>
                  </w:r>
                </w:p>
              </w:tc>
              <w:tc>
                <w:tcPr>
                  <w:tcW w:w="535" w:type="pct"/>
                  <w:noWrap w:val="0"/>
                  <w:vAlign w:val="center"/>
                </w:tcPr>
                <w:p w14:paraId="0027333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b/>
                      <w:bCs/>
                      <w:color w:val="auto"/>
                      <w:highlight w:val="none"/>
                    </w:rPr>
                  </w:pPr>
                  <w:r>
                    <w:rPr>
                      <w:rFonts w:hint="eastAsia"/>
                      <w:b/>
                      <w:bCs/>
                      <w:color w:val="auto"/>
                      <w:highlight w:val="none"/>
                    </w:rPr>
                    <w:t>排放量t/a</w:t>
                  </w:r>
                </w:p>
              </w:tc>
              <w:tc>
                <w:tcPr>
                  <w:tcW w:w="612" w:type="pct"/>
                  <w:vMerge w:val="continue"/>
                  <w:noWrap w:val="0"/>
                  <w:vAlign w:val="center"/>
                </w:tcPr>
                <w:p w14:paraId="50CF5620">
                  <w:pPr>
                    <w:pStyle w:val="27"/>
                    <w:keepNext w:val="0"/>
                    <w:keepLines w:val="0"/>
                    <w:suppressLineNumbers w:val="0"/>
                    <w:bidi w:val="0"/>
                    <w:spacing w:before="0" w:beforeAutospacing="0" w:after="0" w:afterAutospacing="0"/>
                    <w:ind w:left="0" w:right="0"/>
                    <w:rPr>
                      <w:rFonts w:hint="eastAsia"/>
                      <w:b/>
                      <w:bCs/>
                      <w:color w:val="auto"/>
                      <w:highlight w:val="none"/>
                    </w:rPr>
                  </w:pPr>
                </w:p>
              </w:tc>
            </w:tr>
            <w:tr w14:paraId="3835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restart"/>
                  <w:noWrap w:val="0"/>
                  <w:vAlign w:val="center"/>
                </w:tcPr>
                <w:p w14:paraId="14648F6F">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营运期</w:t>
                  </w:r>
                </w:p>
              </w:tc>
              <w:tc>
                <w:tcPr>
                  <w:tcW w:w="467" w:type="pct"/>
                  <w:vMerge w:val="restart"/>
                  <w:noWrap w:val="0"/>
                  <w:vAlign w:val="center"/>
                </w:tcPr>
                <w:p w14:paraId="1B0AC13F">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生活</w:t>
                  </w:r>
                </w:p>
                <w:p w14:paraId="0F51F818">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污水</w:t>
                  </w:r>
                </w:p>
              </w:tc>
              <w:tc>
                <w:tcPr>
                  <w:tcW w:w="389" w:type="pct"/>
                  <w:vMerge w:val="restart"/>
                  <w:noWrap w:val="0"/>
                  <w:vAlign w:val="center"/>
                </w:tcPr>
                <w:p w14:paraId="18CD0A4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1292</w:t>
                  </w:r>
                </w:p>
              </w:tc>
              <w:tc>
                <w:tcPr>
                  <w:tcW w:w="461" w:type="pct"/>
                  <w:noWrap w:val="0"/>
                  <w:vAlign w:val="center"/>
                </w:tcPr>
                <w:p w14:paraId="21D959E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pH</w:t>
                  </w:r>
                </w:p>
              </w:tc>
              <w:tc>
                <w:tcPr>
                  <w:tcW w:w="513" w:type="pct"/>
                  <w:noWrap w:val="0"/>
                  <w:vAlign w:val="center"/>
                </w:tcPr>
                <w:p w14:paraId="05FB8B62">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556" w:type="pct"/>
                  <w:noWrap w:val="0"/>
                  <w:vAlign w:val="center"/>
                </w:tcPr>
                <w:p w14:paraId="1F63A5E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604" w:type="pct"/>
                  <w:vMerge w:val="restart"/>
                  <w:noWrap w:val="0"/>
                  <w:vAlign w:val="center"/>
                </w:tcPr>
                <w:p w14:paraId="7DFFE678">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rPr>
                    <w:t>化粪池</w:t>
                  </w:r>
                </w:p>
              </w:tc>
              <w:tc>
                <w:tcPr>
                  <w:tcW w:w="500" w:type="pct"/>
                  <w:noWrap w:val="0"/>
                  <w:vAlign w:val="center"/>
                </w:tcPr>
                <w:p w14:paraId="135C08C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535" w:type="pct"/>
                  <w:noWrap w:val="0"/>
                  <w:vAlign w:val="center"/>
                </w:tcPr>
                <w:p w14:paraId="5D08832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612" w:type="pct"/>
                  <w:vMerge w:val="restart"/>
                  <w:noWrap w:val="0"/>
                  <w:vAlign w:val="center"/>
                </w:tcPr>
                <w:p w14:paraId="02B2EF0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山南新区污水</w:t>
                  </w:r>
                  <w:r>
                    <w:rPr>
                      <w:rFonts w:hint="eastAsia"/>
                      <w:color w:val="auto"/>
                      <w:highlight w:val="none"/>
                    </w:rPr>
                    <w:t>处理厂</w:t>
                  </w:r>
                </w:p>
              </w:tc>
            </w:tr>
            <w:tr w14:paraId="4224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4AB1EFE4">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61B221C8">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79F143F7">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652EF47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COD</w:t>
                  </w:r>
                </w:p>
              </w:tc>
              <w:tc>
                <w:tcPr>
                  <w:tcW w:w="513" w:type="pct"/>
                  <w:noWrap w:val="0"/>
                  <w:vAlign w:val="center"/>
                </w:tcPr>
                <w:p w14:paraId="621C855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340</w:t>
                  </w:r>
                </w:p>
              </w:tc>
              <w:tc>
                <w:tcPr>
                  <w:tcW w:w="556" w:type="pct"/>
                  <w:noWrap w:val="0"/>
                  <w:vAlign w:val="center"/>
                </w:tcPr>
                <w:p w14:paraId="3E5A6814">
                  <w:pPr>
                    <w:pStyle w:val="27"/>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rPr>
                    <w:t>0.</w:t>
                  </w:r>
                  <w:r>
                    <w:rPr>
                      <w:rFonts w:hint="eastAsia"/>
                      <w:color w:val="auto"/>
                      <w:highlight w:val="none"/>
                      <w:lang w:val="en-US" w:eastAsia="zh-CN"/>
                    </w:rPr>
                    <w:t>439</w:t>
                  </w:r>
                </w:p>
              </w:tc>
              <w:tc>
                <w:tcPr>
                  <w:tcW w:w="604" w:type="pct"/>
                  <w:vMerge w:val="continue"/>
                  <w:noWrap w:val="0"/>
                  <w:vAlign w:val="center"/>
                </w:tcPr>
                <w:p w14:paraId="4E8C04B3">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6516FFF8">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340</w:t>
                  </w:r>
                </w:p>
              </w:tc>
              <w:tc>
                <w:tcPr>
                  <w:tcW w:w="535" w:type="pct"/>
                  <w:noWrap w:val="0"/>
                  <w:vAlign w:val="center"/>
                </w:tcPr>
                <w:p w14:paraId="2DF0119F">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0.</w:t>
                  </w:r>
                  <w:r>
                    <w:rPr>
                      <w:rFonts w:hint="eastAsia"/>
                      <w:color w:val="auto"/>
                      <w:highlight w:val="none"/>
                      <w:lang w:val="en-US" w:eastAsia="zh-CN"/>
                    </w:rPr>
                    <w:t>439</w:t>
                  </w:r>
                </w:p>
              </w:tc>
              <w:tc>
                <w:tcPr>
                  <w:tcW w:w="612" w:type="pct"/>
                  <w:vMerge w:val="continue"/>
                  <w:noWrap w:val="0"/>
                  <w:vAlign w:val="center"/>
                </w:tcPr>
                <w:p w14:paraId="18EB0B85">
                  <w:pPr>
                    <w:pStyle w:val="27"/>
                    <w:keepNext w:val="0"/>
                    <w:keepLines w:val="0"/>
                    <w:suppressLineNumbers w:val="0"/>
                    <w:bidi w:val="0"/>
                    <w:spacing w:before="0" w:beforeAutospacing="0" w:after="0" w:afterAutospacing="0"/>
                    <w:ind w:left="0" w:right="0"/>
                    <w:rPr>
                      <w:rFonts w:hint="eastAsia"/>
                      <w:color w:val="auto"/>
                      <w:highlight w:val="none"/>
                    </w:rPr>
                  </w:pPr>
                </w:p>
              </w:tc>
            </w:tr>
            <w:tr w14:paraId="00E1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305D8654">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34F5FDDA">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32DEBA50">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17A8ED77">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BOD</w:t>
                  </w:r>
                  <w:r>
                    <w:rPr>
                      <w:rFonts w:hint="eastAsia"/>
                      <w:color w:val="auto"/>
                      <w:highlight w:val="none"/>
                      <w:vertAlign w:val="subscript"/>
                    </w:rPr>
                    <w:t>5</w:t>
                  </w:r>
                </w:p>
              </w:tc>
              <w:tc>
                <w:tcPr>
                  <w:tcW w:w="513" w:type="pct"/>
                  <w:noWrap w:val="0"/>
                  <w:vAlign w:val="center"/>
                </w:tcPr>
                <w:p w14:paraId="4AF0C48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160</w:t>
                  </w:r>
                </w:p>
              </w:tc>
              <w:tc>
                <w:tcPr>
                  <w:tcW w:w="556" w:type="pct"/>
                  <w:noWrap w:val="0"/>
                  <w:vAlign w:val="center"/>
                </w:tcPr>
                <w:p w14:paraId="06C70B1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207</w:t>
                  </w:r>
                </w:p>
              </w:tc>
              <w:tc>
                <w:tcPr>
                  <w:tcW w:w="604" w:type="pct"/>
                  <w:vMerge w:val="continue"/>
                  <w:noWrap w:val="0"/>
                  <w:vAlign w:val="center"/>
                </w:tcPr>
                <w:p w14:paraId="2B986124">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161631E2">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160</w:t>
                  </w:r>
                </w:p>
              </w:tc>
              <w:tc>
                <w:tcPr>
                  <w:tcW w:w="535" w:type="pct"/>
                  <w:noWrap w:val="0"/>
                  <w:vAlign w:val="center"/>
                </w:tcPr>
                <w:p w14:paraId="323AFDC0">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0.</w:t>
                  </w:r>
                  <w:r>
                    <w:rPr>
                      <w:rFonts w:hint="eastAsia"/>
                      <w:color w:val="auto"/>
                      <w:highlight w:val="none"/>
                      <w:lang w:val="en-US" w:eastAsia="zh-CN"/>
                    </w:rPr>
                    <w:t>207</w:t>
                  </w:r>
                </w:p>
              </w:tc>
              <w:tc>
                <w:tcPr>
                  <w:tcW w:w="612" w:type="pct"/>
                  <w:vMerge w:val="continue"/>
                  <w:noWrap w:val="0"/>
                  <w:vAlign w:val="center"/>
                </w:tcPr>
                <w:p w14:paraId="5099FE84">
                  <w:pPr>
                    <w:pStyle w:val="27"/>
                    <w:keepNext w:val="0"/>
                    <w:keepLines w:val="0"/>
                    <w:suppressLineNumbers w:val="0"/>
                    <w:bidi w:val="0"/>
                    <w:spacing w:before="0" w:beforeAutospacing="0" w:after="0" w:afterAutospacing="0"/>
                    <w:ind w:left="0" w:right="0"/>
                    <w:rPr>
                      <w:rFonts w:hint="eastAsia"/>
                      <w:color w:val="auto"/>
                      <w:highlight w:val="none"/>
                    </w:rPr>
                  </w:pPr>
                </w:p>
              </w:tc>
            </w:tr>
            <w:tr w14:paraId="7C00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72981076">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398615E9">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008C83DE">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1DD6662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氨氮</w:t>
                  </w:r>
                </w:p>
              </w:tc>
              <w:tc>
                <w:tcPr>
                  <w:tcW w:w="513" w:type="pct"/>
                  <w:noWrap w:val="0"/>
                  <w:vAlign w:val="center"/>
                </w:tcPr>
                <w:p w14:paraId="42A48ED8">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0</w:t>
                  </w:r>
                </w:p>
              </w:tc>
              <w:tc>
                <w:tcPr>
                  <w:tcW w:w="556" w:type="pct"/>
                  <w:noWrap w:val="0"/>
                  <w:vAlign w:val="center"/>
                </w:tcPr>
                <w:p w14:paraId="1DF7DA8C">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39</w:t>
                  </w:r>
                </w:p>
              </w:tc>
              <w:tc>
                <w:tcPr>
                  <w:tcW w:w="604" w:type="pct"/>
                  <w:vMerge w:val="continue"/>
                  <w:noWrap w:val="0"/>
                  <w:vAlign w:val="center"/>
                </w:tcPr>
                <w:p w14:paraId="5EE1F1AE">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160942CB">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0</w:t>
                  </w:r>
                </w:p>
              </w:tc>
              <w:tc>
                <w:tcPr>
                  <w:tcW w:w="535" w:type="pct"/>
                  <w:noWrap w:val="0"/>
                  <w:vAlign w:val="center"/>
                </w:tcPr>
                <w:p w14:paraId="59720DC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0.0</w:t>
                  </w:r>
                  <w:r>
                    <w:rPr>
                      <w:rFonts w:hint="eastAsia"/>
                      <w:color w:val="auto"/>
                      <w:highlight w:val="none"/>
                      <w:lang w:val="en-US" w:eastAsia="zh-CN"/>
                    </w:rPr>
                    <w:t>39</w:t>
                  </w:r>
                </w:p>
              </w:tc>
              <w:tc>
                <w:tcPr>
                  <w:tcW w:w="612" w:type="pct"/>
                  <w:vMerge w:val="continue"/>
                  <w:noWrap w:val="0"/>
                  <w:vAlign w:val="center"/>
                </w:tcPr>
                <w:p w14:paraId="02901F3B">
                  <w:pPr>
                    <w:pStyle w:val="27"/>
                    <w:keepNext w:val="0"/>
                    <w:keepLines w:val="0"/>
                    <w:suppressLineNumbers w:val="0"/>
                    <w:bidi w:val="0"/>
                    <w:spacing w:before="0" w:beforeAutospacing="0" w:after="0" w:afterAutospacing="0"/>
                    <w:ind w:left="0" w:right="0"/>
                    <w:rPr>
                      <w:rFonts w:hint="eastAsia"/>
                      <w:color w:val="auto"/>
                      <w:highlight w:val="none"/>
                    </w:rPr>
                  </w:pPr>
                </w:p>
              </w:tc>
            </w:tr>
            <w:tr w14:paraId="53CD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6DE48B1C">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367EA18E">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68E4E1ED">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0142E6A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SS</w:t>
                  </w:r>
                </w:p>
              </w:tc>
              <w:tc>
                <w:tcPr>
                  <w:tcW w:w="513" w:type="pct"/>
                  <w:noWrap w:val="0"/>
                  <w:vAlign w:val="center"/>
                </w:tcPr>
                <w:p w14:paraId="5DB6B4A5">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200</w:t>
                  </w:r>
                </w:p>
              </w:tc>
              <w:tc>
                <w:tcPr>
                  <w:tcW w:w="556" w:type="pct"/>
                  <w:noWrap w:val="0"/>
                  <w:vAlign w:val="center"/>
                </w:tcPr>
                <w:p w14:paraId="4408127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258</w:t>
                  </w:r>
                </w:p>
              </w:tc>
              <w:tc>
                <w:tcPr>
                  <w:tcW w:w="604" w:type="pct"/>
                  <w:vMerge w:val="continue"/>
                  <w:noWrap w:val="0"/>
                  <w:vAlign w:val="center"/>
                </w:tcPr>
                <w:p w14:paraId="31CB5700">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6BD29FB0">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200</w:t>
                  </w:r>
                </w:p>
              </w:tc>
              <w:tc>
                <w:tcPr>
                  <w:tcW w:w="535" w:type="pct"/>
                  <w:noWrap w:val="0"/>
                  <w:vAlign w:val="center"/>
                </w:tcPr>
                <w:p w14:paraId="0207D2D2">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rPr>
                    <w:t>0.</w:t>
                  </w:r>
                  <w:r>
                    <w:rPr>
                      <w:rFonts w:hint="eastAsia"/>
                      <w:color w:val="auto"/>
                      <w:highlight w:val="none"/>
                      <w:lang w:val="en-US" w:eastAsia="zh-CN"/>
                    </w:rPr>
                    <w:t>258</w:t>
                  </w:r>
                </w:p>
              </w:tc>
              <w:tc>
                <w:tcPr>
                  <w:tcW w:w="612" w:type="pct"/>
                  <w:vMerge w:val="continue"/>
                  <w:noWrap w:val="0"/>
                  <w:vAlign w:val="center"/>
                </w:tcPr>
                <w:p w14:paraId="6B4ED084">
                  <w:pPr>
                    <w:pStyle w:val="27"/>
                    <w:keepNext w:val="0"/>
                    <w:keepLines w:val="0"/>
                    <w:suppressLineNumbers w:val="0"/>
                    <w:bidi w:val="0"/>
                    <w:spacing w:before="0" w:beforeAutospacing="0" w:after="0" w:afterAutospacing="0"/>
                    <w:ind w:left="0" w:right="0"/>
                    <w:rPr>
                      <w:rFonts w:hint="eastAsia"/>
                      <w:color w:val="auto"/>
                      <w:highlight w:val="none"/>
                    </w:rPr>
                  </w:pPr>
                </w:p>
              </w:tc>
            </w:tr>
            <w:tr w14:paraId="7A73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3C365AC3">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038668A6">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2D832C47">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781F481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TP</w:t>
                  </w:r>
                </w:p>
              </w:tc>
              <w:tc>
                <w:tcPr>
                  <w:tcW w:w="513" w:type="pct"/>
                  <w:noWrap w:val="0"/>
                  <w:vAlign w:val="center"/>
                </w:tcPr>
                <w:p w14:paraId="015A390A">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4.27</w:t>
                  </w:r>
                </w:p>
              </w:tc>
              <w:tc>
                <w:tcPr>
                  <w:tcW w:w="556" w:type="pct"/>
                  <w:noWrap w:val="0"/>
                  <w:vAlign w:val="center"/>
                </w:tcPr>
                <w:p w14:paraId="0272834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0.006</w:t>
                  </w:r>
                </w:p>
              </w:tc>
              <w:tc>
                <w:tcPr>
                  <w:tcW w:w="604" w:type="pct"/>
                  <w:vMerge w:val="continue"/>
                  <w:noWrap w:val="0"/>
                  <w:vAlign w:val="center"/>
                </w:tcPr>
                <w:p w14:paraId="4B38CF42">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6EA754F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4.27</w:t>
                  </w:r>
                </w:p>
              </w:tc>
              <w:tc>
                <w:tcPr>
                  <w:tcW w:w="535" w:type="pct"/>
                  <w:noWrap w:val="0"/>
                  <w:vAlign w:val="center"/>
                </w:tcPr>
                <w:p w14:paraId="7E532C8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0.006</w:t>
                  </w:r>
                </w:p>
              </w:tc>
              <w:tc>
                <w:tcPr>
                  <w:tcW w:w="612" w:type="pct"/>
                  <w:vMerge w:val="continue"/>
                  <w:noWrap w:val="0"/>
                  <w:vAlign w:val="center"/>
                </w:tcPr>
                <w:p w14:paraId="5C3256DB">
                  <w:pPr>
                    <w:pStyle w:val="27"/>
                    <w:keepNext w:val="0"/>
                    <w:keepLines w:val="0"/>
                    <w:suppressLineNumbers w:val="0"/>
                    <w:bidi w:val="0"/>
                    <w:spacing w:before="0" w:beforeAutospacing="0" w:after="0" w:afterAutospacing="0"/>
                    <w:ind w:left="0" w:right="0"/>
                    <w:rPr>
                      <w:rFonts w:hint="eastAsia"/>
                      <w:color w:val="auto"/>
                      <w:highlight w:val="none"/>
                    </w:rPr>
                  </w:pPr>
                </w:p>
              </w:tc>
            </w:tr>
            <w:tr w14:paraId="2524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1ABB4431">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restart"/>
                  <w:noWrap w:val="0"/>
                  <w:vAlign w:val="center"/>
                </w:tcPr>
                <w:p w14:paraId="4097939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保洁废水</w:t>
                  </w:r>
                </w:p>
              </w:tc>
              <w:tc>
                <w:tcPr>
                  <w:tcW w:w="389" w:type="pct"/>
                  <w:vMerge w:val="restart"/>
                  <w:noWrap w:val="0"/>
                  <w:vAlign w:val="center"/>
                </w:tcPr>
                <w:p w14:paraId="43AA4C1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111.84</w:t>
                  </w:r>
                </w:p>
              </w:tc>
              <w:tc>
                <w:tcPr>
                  <w:tcW w:w="461" w:type="pct"/>
                  <w:noWrap w:val="0"/>
                  <w:vAlign w:val="center"/>
                </w:tcPr>
                <w:p w14:paraId="7876F13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COD</w:t>
                  </w:r>
                </w:p>
              </w:tc>
              <w:tc>
                <w:tcPr>
                  <w:tcW w:w="513" w:type="pct"/>
                  <w:noWrap w:val="0"/>
                  <w:vAlign w:val="center"/>
                </w:tcPr>
                <w:p w14:paraId="7E12227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250</w:t>
                  </w:r>
                </w:p>
              </w:tc>
              <w:tc>
                <w:tcPr>
                  <w:tcW w:w="556" w:type="pct"/>
                  <w:noWrap w:val="0"/>
                  <w:vAlign w:val="center"/>
                </w:tcPr>
                <w:p w14:paraId="2C59DB4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0.028</w:t>
                  </w:r>
                </w:p>
              </w:tc>
              <w:tc>
                <w:tcPr>
                  <w:tcW w:w="604" w:type="pct"/>
                  <w:vMerge w:val="continue"/>
                  <w:noWrap w:val="0"/>
                  <w:vAlign w:val="center"/>
                </w:tcPr>
                <w:p w14:paraId="2B0D2159">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p>
              </w:tc>
              <w:tc>
                <w:tcPr>
                  <w:tcW w:w="500" w:type="pct"/>
                  <w:noWrap w:val="0"/>
                  <w:vAlign w:val="center"/>
                </w:tcPr>
                <w:p w14:paraId="1EBF8887">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rPr>
                  </w:pPr>
                  <w:r>
                    <w:rPr>
                      <w:rFonts w:hint="eastAsia"/>
                      <w:color w:val="auto"/>
                      <w:highlight w:val="none"/>
                      <w:lang w:val="en-US" w:eastAsia="zh-CN"/>
                    </w:rPr>
                    <w:t>250</w:t>
                  </w:r>
                </w:p>
              </w:tc>
              <w:tc>
                <w:tcPr>
                  <w:tcW w:w="535" w:type="pct"/>
                  <w:noWrap w:val="0"/>
                  <w:vAlign w:val="center"/>
                </w:tcPr>
                <w:p w14:paraId="656397B2">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0.028</w:t>
                  </w:r>
                </w:p>
              </w:tc>
              <w:tc>
                <w:tcPr>
                  <w:tcW w:w="612" w:type="pct"/>
                  <w:vMerge w:val="continue"/>
                  <w:noWrap w:val="0"/>
                  <w:vAlign w:val="center"/>
                </w:tcPr>
                <w:p w14:paraId="4E3B264A">
                  <w:pPr>
                    <w:pStyle w:val="27"/>
                    <w:keepNext w:val="0"/>
                    <w:keepLines w:val="0"/>
                    <w:suppressLineNumbers w:val="0"/>
                    <w:bidi w:val="0"/>
                    <w:spacing w:before="0" w:beforeAutospacing="0" w:after="0" w:afterAutospacing="0"/>
                    <w:ind w:left="0" w:right="0"/>
                    <w:rPr>
                      <w:rFonts w:hint="eastAsia"/>
                      <w:color w:val="auto"/>
                      <w:highlight w:val="none"/>
                    </w:rPr>
                  </w:pPr>
                </w:p>
              </w:tc>
            </w:tr>
            <w:tr w14:paraId="2F20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187B845D">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23DE1216">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61118602">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5C40A704">
                  <w:pPr>
                    <w:pStyle w:val="27"/>
                    <w:keepNext w:val="0"/>
                    <w:keepLines w:val="0"/>
                    <w:suppressLineNumbers w:val="0"/>
                    <w:bidi w:val="0"/>
                    <w:spacing w:before="0" w:beforeAutospacing="0" w:after="0" w:afterAutospacing="0"/>
                    <w:ind w:left="0" w:right="0" w:firstLine="0" w:firstLineChars="0"/>
                    <w:rPr>
                      <w:rFonts w:hint="eastAsia"/>
                      <w:color w:val="auto"/>
                      <w:highlight w:val="none"/>
                    </w:rPr>
                  </w:pPr>
                  <w:r>
                    <w:rPr>
                      <w:rFonts w:hint="eastAsia"/>
                      <w:color w:val="auto"/>
                      <w:highlight w:val="none"/>
                    </w:rPr>
                    <w:t>BOD</w:t>
                  </w:r>
                  <w:r>
                    <w:rPr>
                      <w:rFonts w:hint="eastAsia"/>
                      <w:color w:val="auto"/>
                      <w:highlight w:val="none"/>
                      <w:vertAlign w:val="subscript"/>
                    </w:rPr>
                    <w:t>5</w:t>
                  </w:r>
                </w:p>
              </w:tc>
              <w:tc>
                <w:tcPr>
                  <w:tcW w:w="513" w:type="pct"/>
                  <w:noWrap w:val="0"/>
                  <w:vAlign w:val="center"/>
                </w:tcPr>
                <w:p w14:paraId="2602646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100</w:t>
                  </w:r>
                </w:p>
              </w:tc>
              <w:tc>
                <w:tcPr>
                  <w:tcW w:w="556" w:type="pct"/>
                  <w:noWrap w:val="0"/>
                  <w:vAlign w:val="center"/>
                </w:tcPr>
                <w:p w14:paraId="65755E0A">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0.011</w:t>
                  </w:r>
                </w:p>
              </w:tc>
              <w:tc>
                <w:tcPr>
                  <w:tcW w:w="604" w:type="pct"/>
                  <w:vMerge w:val="continue"/>
                  <w:noWrap w:val="0"/>
                  <w:vAlign w:val="center"/>
                </w:tcPr>
                <w:p w14:paraId="32E45002">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7B71120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100</w:t>
                  </w:r>
                </w:p>
              </w:tc>
              <w:tc>
                <w:tcPr>
                  <w:tcW w:w="535" w:type="pct"/>
                  <w:noWrap w:val="0"/>
                  <w:vAlign w:val="center"/>
                </w:tcPr>
                <w:p w14:paraId="13F77C48">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color w:val="auto"/>
                      <w:highlight w:val="none"/>
                      <w:lang w:val="en-US" w:eastAsia="zh-CN"/>
                    </w:rPr>
                    <w:t>0.011</w:t>
                  </w:r>
                </w:p>
              </w:tc>
              <w:tc>
                <w:tcPr>
                  <w:tcW w:w="612" w:type="pct"/>
                  <w:vMerge w:val="continue"/>
                  <w:noWrap w:val="0"/>
                  <w:vAlign w:val="center"/>
                </w:tcPr>
                <w:p w14:paraId="0DB2ED64">
                  <w:pPr>
                    <w:pStyle w:val="27"/>
                    <w:keepNext w:val="0"/>
                    <w:keepLines w:val="0"/>
                    <w:suppressLineNumbers w:val="0"/>
                    <w:bidi w:val="0"/>
                    <w:spacing w:before="0" w:beforeAutospacing="0" w:after="0" w:afterAutospacing="0"/>
                    <w:ind w:left="0" w:right="0"/>
                    <w:rPr>
                      <w:rFonts w:hint="eastAsia"/>
                      <w:color w:val="auto"/>
                      <w:highlight w:val="none"/>
                    </w:rPr>
                  </w:pPr>
                </w:p>
              </w:tc>
            </w:tr>
            <w:tr w14:paraId="68C5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59A9627A">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7ADFDF9E">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291D0267">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3BB88037">
                  <w:pPr>
                    <w:pStyle w:val="27"/>
                    <w:keepNext w:val="0"/>
                    <w:keepLines w:val="0"/>
                    <w:suppressLineNumbers w:val="0"/>
                    <w:bidi w:val="0"/>
                    <w:spacing w:before="0" w:beforeAutospacing="0" w:after="0" w:afterAutospacing="0"/>
                    <w:ind w:left="0" w:right="0" w:firstLine="0" w:firstLineChars="0"/>
                    <w:rPr>
                      <w:rFonts w:hint="eastAsia"/>
                      <w:color w:val="auto"/>
                      <w:highlight w:val="none"/>
                    </w:rPr>
                  </w:pPr>
                  <w:r>
                    <w:rPr>
                      <w:rFonts w:hint="eastAsia"/>
                      <w:color w:val="auto"/>
                      <w:highlight w:val="none"/>
                    </w:rPr>
                    <w:t>SS</w:t>
                  </w:r>
                </w:p>
              </w:tc>
              <w:tc>
                <w:tcPr>
                  <w:tcW w:w="513" w:type="pct"/>
                  <w:noWrap w:val="0"/>
                  <w:vAlign w:val="center"/>
                </w:tcPr>
                <w:p w14:paraId="247D1F9D">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280</w:t>
                  </w:r>
                </w:p>
              </w:tc>
              <w:tc>
                <w:tcPr>
                  <w:tcW w:w="556" w:type="pct"/>
                  <w:noWrap w:val="0"/>
                  <w:vAlign w:val="center"/>
                </w:tcPr>
                <w:p w14:paraId="56C957D3">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0.031</w:t>
                  </w:r>
                </w:p>
              </w:tc>
              <w:tc>
                <w:tcPr>
                  <w:tcW w:w="604" w:type="pct"/>
                  <w:vMerge w:val="continue"/>
                  <w:noWrap w:val="0"/>
                  <w:vAlign w:val="center"/>
                </w:tcPr>
                <w:p w14:paraId="6FC7889A">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26C10E6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280</w:t>
                  </w:r>
                </w:p>
              </w:tc>
              <w:tc>
                <w:tcPr>
                  <w:tcW w:w="535" w:type="pct"/>
                  <w:noWrap w:val="0"/>
                  <w:vAlign w:val="center"/>
                </w:tcPr>
                <w:p w14:paraId="7267AE3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0.031</w:t>
                  </w:r>
                </w:p>
              </w:tc>
              <w:tc>
                <w:tcPr>
                  <w:tcW w:w="612" w:type="pct"/>
                  <w:vMerge w:val="continue"/>
                  <w:noWrap w:val="0"/>
                  <w:vAlign w:val="center"/>
                </w:tcPr>
                <w:p w14:paraId="3035F634">
                  <w:pPr>
                    <w:pStyle w:val="27"/>
                    <w:keepNext w:val="0"/>
                    <w:keepLines w:val="0"/>
                    <w:suppressLineNumbers w:val="0"/>
                    <w:bidi w:val="0"/>
                    <w:spacing w:before="0" w:beforeAutospacing="0" w:after="0" w:afterAutospacing="0"/>
                    <w:ind w:left="0" w:right="0"/>
                    <w:rPr>
                      <w:rFonts w:hint="eastAsia"/>
                      <w:color w:val="auto"/>
                      <w:highlight w:val="none"/>
                    </w:rPr>
                  </w:pPr>
                </w:p>
              </w:tc>
            </w:tr>
            <w:tr w14:paraId="4FF6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03528458">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restart"/>
                  <w:noWrap w:val="0"/>
                  <w:vAlign w:val="center"/>
                </w:tcPr>
                <w:p w14:paraId="35FC765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纯水制备浓水</w:t>
                  </w:r>
                </w:p>
              </w:tc>
              <w:tc>
                <w:tcPr>
                  <w:tcW w:w="389" w:type="pct"/>
                  <w:vMerge w:val="restart"/>
                  <w:noWrap w:val="0"/>
                  <w:vAlign w:val="center"/>
                </w:tcPr>
                <w:p w14:paraId="637BB35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2.53</w:t>
                  </w:r>
                </w:p>
              </w:tc>
              <w:tc>
                <w:tcPr>
                  <w:tcW w:w="461" w:type="pct"/>
                  <w:noWrap w:val="0"/>
                  <w:vAlign w:val="center"/>
                </w:tcPr>
                <w:p w14:paraId="7B6EECD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COD</w:t>
                  </w:r>
                </w:p>
              </w:tc>
              <w:tc>
                <w:tcPr>
                  <w:tcW w:w="513" w:type="pct"/>
                  <w:noWrap w:val="0"/>
                  <w:vAlign w:val="center"/>
                </w:tcPr>
                <w:p w14:paraId="5C23EC3C">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50</w:t>
                  </w:r>
                </w:p>
              </w:tc>
              <w:tc>
                <w:tcPr>
                  <w:tcW w:w="556" w:type="pct"/>
                  <w:noWrap w:val="0"/>
                  <w:vAlign w:val="center"/>
                </w:tcPr>
                <w:p w14:paraId="15AE2372">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0.0001</w:t>
                  </w:r>
                </w:p>
              </w:tc>
              <w:tc>
                <w:tcPr>
                  <w:tcW w:w="604" w:type="pct"/>
                  <w:vMerge w:val="restart"/>
                  <w:noWrap w:val="0"/>
                  <w:vAlign w:val="center"/>
                </w:tcPr>
                <w:p w14:paraId="6F561F26">
                  <w:pPr>
                    <w:pStyle w:val="27"/>
                    <w:keepNext w:val="0"/>
                    <w:keepLines w:val="0"/>
                    <w:suppressLineNumbers w:val="0"/>
                    <w:bidi w:val="0"/>
                    <w:spacing w:before="0" w:beforeAutospacing="0" w:after="0" w:afterAutospacing="0"/>
                    <w:ind w:left="0" w:right="0"/>
                    <w:rPr>
                      <w:rFonts w:hint="default"/>
                      <w:color w:val="auto"/>
                      <w:highlight w:val="none"/>
                      <w:lang w:val="en-US"/>
                    </w:rPr>
                  </w:pPr>
                  <w:r>
                    <w:rPr>
                      <w:rFonts w:hint="eastAsia"/>
                      <w:color w:val="auto"/>
                      <w:highlight w:val="none"/>
                      <w:lang w:val="en-US" w:eastAsia="zh-CN"/>
                    </w:rPr>
                    <w:t>污水处理设施（酸碱调节+混凝沉淀）</w:t>
                  </w:r>
                </w:p>
              </w:tc>
              <w:tc>
                <w:tcPr>
                  <w:tcW w:w="500" w:type="pct"/>
                  <w:noWrap w:val="0"/>
                  <w:vAlign w:val="center"/>
                </w:tcPr>
                <w:p w14:paraId="421346D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50</w:t>
                  </w:r>
                </w:p>
              </w:tc>
              <w:tc>
                <w:tcPr>
                  <w:tcW w:w="535" w:type="pct"/>
                  <w:noWrap w:val="0"/>
                  <w:vAlign w:val="center"/>
                </w:tcPr>
                <w:p w14:paraId="1F67D825">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0.0001</w:t>
                  </w:r>
                </w:p>
              </w:tc>
              <w:tc>
                <w:tcPr>
                  <w:tcW w:w="612" w:type="pct"/>
                  <w:vMerge w:val="continue"/>
                  <w:noWrap w:val="0"/>
                  <w:vAlign w:val="center"/>
                </w:tcPr>
                <w:p w14:paraId="4D568FF3">
                  <w:pPr>
                    <w:pStyle w:val="27"/>
                    <w:keepNext w:val="0"/>
                    <w:keepLines w:val="0"/>
                    <w:suppressLineNumbers w:val="0"/>
                    <w:bidi w:val="0"/>
                    <w:spacing w:before="0" w:beforeAutospacing="0" w:after="0" w:afterAutospacing="0"/>
                    <w:ind w:left="0" w:right="0"/>
                    <w:rPr>
                      <w:rFonts w:hint="eastAsia"/>
                      <w:color w:val="auto"/>
                      <w:highlight w:val="none"/>
                    </w:rPr>
                  </w:pPr>
                </w:p>
              </w:tc>
            </w:tr>
            <w:tr w14:paraId="3981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1C2E045F">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255F1FA7">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89" w:type="pct"/>
                  <w:vMerge w:val="continue"/>
                  <w:noWrap w:val="0"/>
                  <w:vAlign w:val="center"/>
                </w:tcPr>
                <w:p w14:paraId="571275E5">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69CF44F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氨氮</w:t>
                  </w:r>
                </w:p>
              </w:tc>
              <w:tc>
                <w:tcPr>
                  <w:tcW w:w="513" w:type="pct"/>
                  <w:noWrap w:val="0"/>
                  <w:vAlign w:val="center"/>
                </w:tcPr>
                <w:p w14:paraId="727C309F">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w:t>
                  </w:r>
                </w:p>
              </w:tc>
              <w:tc>
                <w:tcPr>
                  <w:tcW w:w="556" w:type="pct"/>
                  <w:noWrap w:val="0"/>
                  <w:vAlign w:val="center"/>
                </w:tcPr>
                <w:p w14:paraId="0D5C5269">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0.00003</w:t>
                  </w:r>
                </w:p>
              </w:tc>
              <w:tc>
                <w:tcPr>
                  <w:tcW w:w="604" w:type="pct"/>
                  <w:vMerge w:val="continue"/>
                  <w:noWrap w:val="0"/>
                  <w:vAlign w:val="center"/>
                </w:tcPr>
                <w:p w14:paraId="5B937742">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3A9B2BC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10</w:t>
                  </w:r>
                </w:p>
              </w:tc>
              <w:tc>
                <w:tcPr>
                  <w:tcW w:w="535" w:type="pct"/>
                  <w:noWrap w:val="0"/>
                  <w:vAlign w:val="center"/>
                </w:tcPr>
                <w:p w14:paraId="1F5E395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0.000032</w:t>
                  </w:r>
                </w:p>
              </w:tc>
              <w:tc>
                <w:tcPr>
                  <w:tcW w:w="612" w:type="pct"/>
                  <w:vMerge w:val="continue"/>
                  <w:noWrap w:val="0"/>
                  <w:vAlign w:val="center"/>
                </w:tcPr>
                <w:p w14:paraId="1F596AD5">
                  <w:pPr>
                    <w:pStyle w:val="27"/>
                    <w:keepNext w:val="0"/>
                    <w:keepLines w:val="0"/>
                    <w:suppressLineNumbers w:val="0"/>
                    <w:bidi w:val="0"/>
                    <w:spacing w:before="0" w:beforeAutospacing="0" w:after="0" w:afterAutospacing="0"/>
                    <w:ind w:left="0" w:right="0"/>
                    <w:rPr>
                      <w:rFonts w:hint="eastAsia"/>
                      <w:color w:val="auto"/>
                      <w:highlight w:val="none"/>
                    </w:rPr>
                  </w:pPr>
                </w:p>
              </w:tc>
            </w:tr>
            <w:tr w14:paraId="3268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0263E56C">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restart"/>
                  <w:noWrap w:val="0"/>
                  <w:vAlign w:val="center"/>
                </w:tcPr>
                <w:p w14:paraId="2A51EB8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喷淋废水、清洗、剩余水样、样品标定废水</w:t>
                  </w:r>
                </w:p>
              </w:tc>
              <w:tc>
                <w:tcPr>
                  <w:tcW w:w="389" w:type="pct"/>
                  <w:vMerge w:val="restart"/>
                  <w:noWrap w:val="0"/>
                  <w:vAlign w:val="center"/>
                </w:tcPr>
                <w:p w14:paraId="51136B1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58.955</w:t>
                  </w:r>
                </w:p>
              </w:tc>
              <w:tc>
                <w:tcPr>
                  <w:tcW w:w="461" w:type="pct"/>
                  <w:noWrap w:val="0"/>
                  <w:vAlign w:val="center"/>
                </w:tcPr>
                <w:p w14:paraId="073EB05D">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pH</w:t>
                  </w:r>
                </w:p>
              </w:tc>
              <w:tc>
                <w:tcPr>
                  <w:tcW w:w="513" w:type="pct"/>
                  <w:noWrap w:val="0"/>
                  <w:vAlign w:val="center"/>
                </w:tcPr>
                <w:p w14:paraId="0612614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556" w:type="pct"/>
                  <w:noWrap w:val="0"/>
                  <w:vAlign w:val="center"/>
                </w:tcPr>
                <w:p w14:paraId="63222B0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604" w:type="pct"/>
                  <w:vMerge w:val="continue"/>
                  <w:noWrap w:val="0"/>
                  <w:vAlign w:val="center"/>
                </w:tcPr>
                <w:p w14:paraId="2DB742FD">
                  <w:pPr>
                    <w:pStyle w:val="27"/>
                    <w:keepNext w:val="0"/>
                    <w:keepLines w:val="0"/>
                    <w:suppressLineNumbers w:val="0"/>
                    <w:bidi w:val="0"/>
                    <w:spacing w:before="0" w:beforeAutospacing="0" w:after="0" w:afterAutospacing="0"/>
                    <w:ind w:left="0" w:right="0"/>
                    <w:jc w:val="center"/>
                    <w:rPr>
                      <w:rFonts w:hint="eastAsia"/>
                      <w:color w:val="auto"/>
                      <w:highlight w:val="none"/>
                      <w:lang w:val="en-US" w:eastAsia="zh-CN"/>
                    </w:rPr>
                  </w:pPr>
                </w:p>
              </w:tc>
              <w:tc>
                <w:tcPr>
                  <w:tcW w:w="500" w:type="pct"/>
                  <w:noWrap w:val="0"/>
                  <w:vAlign w:val="center"/>
                </w:tcPr>
                <w:p w14:paraId="4110851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535" w:type="pct"/>
                  <w:noWrap w:val="0"/>
                  <w:vAlign w:val="center"/>
                </w:tcPr>
                <w:p w14:paraId="3FE2790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612" w:type="pct"/>
                  <w:vMerge w:val="continue"/>
                  <w:noWrap w:val="0"/>
                  <w:vAlign w:val="center"/>
                </w:tcPr>
                <w:p w14:paraId="626F19AE">
                  <w:pPr>
                    <w:pStyle w:val="27"/>
                    <w:keepNext w:val="0"/>
                    <w:keepLines w:val="0"/>
                    <w:suppressLineNumbers w:val="0"/>
                    <w:bidi w:val="0"/>
                    <w:spacing w:before="0" w:beforeAutospacing="0" w:after="0" w:afterAutospacing="0"/>
                    <w:ind w:left="0" w:right="0"/>
                    <w:rPr>
                      <w:rFonts w:hint="eastAsia"/>
                      <w:color w:val="auto"/>
                      <w:highlight w:val="none"/>
                    </w:rPr>
                  </w:pPr>
                </w:p>
              </w:tc>
            </w:tr>
            <w:tr w14:paraId="4BA9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6B34F52F">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2D0959D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p>
              </w:tc>
              <w:tc>
                <w:tcPr>
                  <w:tcW w:w="389" w:type="pct"/>
                  <w:vMerge w:val="continue"/>
                  <w:noWrap w:val="0"/>
                  <w:vAlign w:val="center"/>
                </w:tcPr>
                <w:p w14:paraId="07571BF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p>
              </w:tc>
              <w:tc>
                <w:tcPr>
                  <w:tcW w:w="461" w:type="pct"/>
                  <w:noWrap w:val="0"/>
                  <w:vAlign w:val="center"/>
                </w:tcPr>
                <w:p w14:paraId="302B3D8C">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COD</w:t>
                  </w:r>
                </w:p>
              </w:tc>
              <w:tc>
                <w:tcPr>
                  <w:tcW w:w="513" w:type="pct"/>
                  <w:noWrap w:val="0"/>
                  <w:vAlign w:val="center"/>
                </w:tcPr>
                <w:p w14:paraId="3E1AC502">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250</w:t>
                  </w:r>
                </w:p>
              </w:tc>
              <w:tc>
                <w:tcPr>
                  <w:tcW w:w="556" w:type="pct"/>
                  <w:noWrap w:val="0"/>
                  <w:vAlign w:val="center"/>
                </w:tcPr>
                <w:p w14:paraId="239A35AB">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0.015</w:t>
                  </w:r>
                </w:p>
              </w:tc>
              <w:tc>
                <w:tcPr>
                  <w:tcW w:w="604" w:type="pct"/>
                  <w:vMerge w:val="continue"/>
                  <w:noWrap w:val="0"/>
                  <w:vAlign w:val="center"/>
                </w:tcPr>
                <w:p w14:paraId="11B920B4">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7599D32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250</w:t>
                  </w:r>
                </w:p>
              </w:tc>
              <w:tc>
                <w:tcPr>
                  <w:tcW w:w="875" w:type="dxa"/>
                  <w:noWrap w:val="0"/>
                  <w:vAlign w:val="center"/>
                </w:tcPr>
                <w:p w14:paraId="795F4002">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0.015</w:t>
                  </w:r>
                </w:p>
              </w:tc>
              <w:tc>
                <w:tcPr>
                  <w:tcW w:w="612" w:type="pct"/>
                  <w:vMerge w:val="continue"/>
                  <w:noWrap w:val="0"/>
                  <w:vAlign w:val="center"/>
                </w:tcPr>
                <w:p w14:paraId="77FFCD61">
                  <w:pPr>
                    <w:pStyle w:val="27"/>
                    <w:keepNext w:val="0"/>
                    <w:keepLines w:val="0"/>
                    <w:suppressLineNumbers w:val="0"/>
                    <w:bidi w:val="0"/>
                    <w:spacing w:before="0" w:beforeAutospacing="0" w:after="0" w:afterAutospacing="0"/>
                    <w:ind w:left="0" w:right="0"/>
                    <w:rPr>
                      <w:rFonts w:hint="eastAsia"/>
                      <w:color w:val="auto"/>
                      <w:highlight w:val="none"/>
                    </w:rPr>
                  </w:pPr>
                </w:p>
              </w:tc>
            </w:tr>
            <w:tr w14:paraId="5F5C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02DA6E9B">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2CAF7BB8">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89" w:type="pct"/>
                  <w:vMerge w:val="continue"/>
                  <w:noWrap w:val="0"/>
                  <w:vAlign w:val="center"/>
                </w:tcPr>
                <w:p w14:paraId="10707C8B">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1" w:type="pct"/>
                  <w:noWrap w:val="0"/>
                  <w:vAlign w:val="center"/>
                </w:tcPr>
                <w:p w14:paraId="4AA95F6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BOD</w:t>
                  </w:r>
                  <w:r>
                    <w:rPr>
                      <w:rFonts w:hint="eastAsia"/>
                      <w:color w:val="auto"/>
                      <w:highlight w:val="none"/>
                      <w:vertAlign w:val="subscript"/>
                    </w:rPr>
                    <w:t>5</w:t>
                  </w:r>
                </w:p>
              </w:tc>
              <w:tc>
                <w:tcPr>
                  <w:tcW w:w="513" w:type="pct"/>
                  <w:noWrap w:val="0"/>
                  <w:vAlign w:val="center"/>
                </w:tcPr>
                <w:p w14:paraId="2F6EF6AC">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100</w:t>
                  </w:r>
                </w:p>
              </w:tc>
              <w:tc>
                <w:tcPr>
                  <w:tcW w:w="556" w:type="pct"/>
                  <w:noWrap w:val="0"/>
                  <w:vAlign w:val="center"/>
                </w:tcPr>
                <w:p w14:paraId="1E8F09C0">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0.006</w:t>
                  </w:r>
                </w:p>
              </w:tc>
              <w:tc>
                <w:tcPr>
                  <w:tcW w:w="604" w:type="pct"/>
                  <w:vMerge w:val="continue"/>
                  <w:noWrap w:val="0"/>
                  <w:vAlign w:val="center"/>
                </w:tcPr>
                <w:p w14:paraId="412C9EA6">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5AB6515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100</w:t>
                  </w:r>
                </w:p>
              </w:tc>
              <w:tc>
                <w:tcPr>
                  <w:tcW w:w="875" w:type="dxa"/>
                  <w:noWrap w:val="0"/>
                  <w:vAlign w:val="center"/>
                </w:tcPr>
                <w:p w14:paraId="02F0950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0.006</w:t>
                  </w:r>
                </w:p>
              </w:tc>
              <w:tc>
                <w:tcPr>
                  <w:tcW w:w="612" w:type="pct"/>
                  <w:vMerge w:val="continue"/>
                  <w:noWrap w:val="0"/>
                  <w:vAlign w:val="center"/>
                </w:tcPr>
                <w:p w14:paraId="5C3B78DA">
                  <w:pPr>
                    <w:pStyle w:val="27"/>
                    <w:keepNext w:val="0"/>
                    <w:keepLines w:val="0"/>
                    <w:suppressLineNumbers w:val="0"/>
                    <w:bidi w:val="0"/>
                    <w:spacing w:before="0" w:beforeAutospacing="0" w:after="0" w:afterAutospacing="0"/>
                    <w:ind w:left="0" w:right="0"/>
                    <w:rPr>
                      <w:rFonts w:hint="eastAsia"/>
                      <w:color w:val="auto"/>
                      <w:highlight w:val="none"/>
                    </w:rPr>
                  </w:pPr>
                </w:p>
              </w:tc>
            </w:tr>
            <w:tr w14:paraId="0221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5ADAFE5F">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7F2783AE">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89" w:type="pct"/>
                  <w:vMerge w:val="continue"/>
                  <w:noWrap w:val="0"/>
                  <w:vAlign w:val="center"/>
                </w:tcPr>
                <w:p w14:paraId="35A23D8D">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1" w:type="pct"/>
                  <w:noWrap w:val="0"/>
                  <w:vAlign w:val="center"/>
                </w:tcPr>
                <w:p w14:paraId="2B67CD7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SS</w:t>
                  </w:r>
                </w:p>
              </w:tc>
              <w:tc>
                <w:tcPr>
                  <w:tcW w:w="513" w:type="pct"/>
                  <w:noWrap w:val="0"/>
                  <w:vAlign w:val="center"/>
                </w:tcPr>
                <w:p w14:paraId="547D5674">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50</w:t>
                  </w:r>
                </w:p>
              </w:tc>
              <w:tc>
                <w:tcPr>
                  <w:tcW w:w="556" w:type="pct"/>
                  <w:noWrap w:val="0"/>
                  <w:vAlign w:val="center"/>
                </w:tcPr>
                <w:p w14:paraId="510DDB90">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0.003</w:t>
                  </w:r>
                </w:p>
              </w:tc>
              <w:tc>
                <w:tcPr>
                  <w:tcW w:w="604" w:type="pct"/>
                  <w:vMerge w:val="continue"/>
                  <w:noWrap w:val="0"/>
                  <w:vAlign w:val="center"/>
                </w:tcPr>
                <w:p w14:paraId="23112782">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2B630E3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50</w:t>
                  </w:r>
                </w:p>
              </w:tc>
              <w:tc>
                <w:tcPr>
                  <w:tcW w:w="875" w:type="dxa"/>
                  <w:noWrap w:val="0"/>
                  <w:vAlign w:val="center"/>
                </w:tcPr>
                <w:p w14:paraId="74DCE43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0.003</w:t>
                  </w:r>
                </w:p>
              </w:tc>
              <w:tc>
                <w:tcPr>
                  <w:tcW w:w="612" w:type="pct"/>
                  <w:vMerge w:val="continue"/>
                  <w:noWrap w:val="0"/>
                  <w:vAlign w:val="center"/>
                </w:tcPr>
                <w:p w14:paraId="0E9A6B30">
                  <w:pPr>
                    <w:pStyle w:val="27"/>
                    <w:keepNext w:val="0"/>
                    <w:keepLines w:val="0"/>
                    <w:suppressLineNumbers w:val="0"/>
                    <w:bidi w:val="0"/>
                    <w:spacing w:before="0" w:beforeAutospacing="0" w:after="0" w:afterAutospacing="0"/>
                    <w:ind w:left="0" w:right="0"/>
                    <w:rPr>
                      <w:rFonts w:hint="eastAsia"/>
                      <w:color w:val="auto"/>
                      <w:highlight w:val="none"/>
                    </w:rPr>
                  </w:pPr>
                </w:p>
              </w:tc>
            </w:tr>
            <w:tr w14:paraId="17A4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0B49ED36">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restart"/>
                  <w:noWrap w:val="0"/>
                  <w:vAlign w:val="center"/>
                </w:tcPr>
                <w:p w14:paraId="230F54E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反冲洗废水</w:t>
                  </w:r>
                </w:p>
              </w:tc>
              <w:tc>
                <w:tcPr>
                  <w:tcW w:w="389" w:type="pct"/>
                  <w:vMerge w:val="restart"/>
                  <w:noWrap w:val="0"/>
                  <w:vAlign w:val="center"/>
                </w:tcPr>
                <w:p w14:paraId="76E010E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120</w:t>
                  </w:r>
                </w:p>
              </w:tc>
              <w:tc>
                <w:tcPr>
                  <w:tcW w:w="461" w:type="pct"/>
                  <w:noWrap w:val="0"/>
                  <w:vAlign w:val="center"/>
                </w:tcPr>
                <w:p w14:paraId="37927BB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COD</w:t>
                  </w:r>
                </w:p>
              </w:tc>
              <w:tc>
                <w:tcPr>
                  <w:tcW w:w="513" w:type="pct"/>
                  <w:noWrap w:val="0"/>
                  <w:vAlign w:val="center"/>
                </w:tcPr>
                <w:p w14:paraId="16A57687">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80</w:t>
                  </w:r>
                </w:p>
              </w:tc>
              <w:tc>
                <w:tcPr>
                  <w:tcW w:w="556" w:type="pct"/>
                  <w:noWrap w:val="0"/>
                  <w:vAlign w:val="center"/>
                </w:tcPr>
                <w:p w14:paraId="16460D0F">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0.01</w:t>
                  </w:r>
                </w:p>
              </w:tc>
              <w:tc>
                <w:tcPr>
                  <w:tcW w:w="604" w:type="pct"/>
                  <w:vMerge w:val="restart"/>
                  <w:noWrap w:val="0"/>
                  <w:vAlign w:val="center"/>
                </w:tcPr>
                <w:p w14:paraId="3DF39A0A">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w:t>
                  </w:r>
                </w:p>
              </w:tc>
              <w:tc>
                <w:tcPr>
                  <w:tcW w:w="500" w:type="pct"/>
                  <w:noWrap w:val="0"/>
                  <w:vAlign w:val="center"/>
                </w:tcPr>
                <w:p w14:paraId="7BAE3FB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80</w:t>
                  </w:r>
                </w:p>
              </w:tc>
              <w:tc>
                <w:tcPr>
                  <w:tcW w:w="535" w:type="pct"/>
                  <w:noWrap w:val="0"/>
                  <w:vAlign w:val="center"/>
                </w:tcPr>
                <w:p w14:paraId="7965A54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0.01</w:t>
                  </w:r>
                </w:p>
              </w:tc>
              <w:tc>
                <w:tcPr>
                  <w:tcW w:w="612" w:type="pct"/>
                  <w:vMerge w:val="continue"/>
                  <w:noWrap w:val="0"/>
                  <w:vAlign w:val="center"/>
                </w:tcPr>
                <w:p w14:paraId="55C2E283">
                  <w:pPr>
                    <w:pStyle w:val="27"/>
                    <w:keepNext w:val="0"/>
                    <w:keepLines w:val="0"/>
                    <w:suppressLineNumbers w:val="0"/>
                    <w:bidi w:val="0"/>
                    <w:spacing w:before="0" w:beforeAutospacing="0" w:after="0" w:afterAutospacing="0"/>
                    <w:ind w:left="0" w:right="0"/>
                    <w:rPr>
                      <w:rFonts w:hint="eastAsia"/>
                      <w:color w:val="auto"/>
                      <w:highlight w:val="none"/>
                    </w:rPr>
                  </w:pPr>
                </w:p>
              </w:tc>
            </w:tr>
            <w:tr w14:paraId="25D1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797D5E89">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2DCD79EB">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6EE2DB9C">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3BA75F27">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SS</w:t>
                  </w:r>
                </w:p>
              </w:tc>
              <w:tc>
                <w:tcPr>
                  <w:tcW w:w="513" w:type="pct"/>
                  <w:noWrap w:val="0"/>
                  <w:vAlign w:val="center"/>
                </w:tcPr>
                <w:p w14:paraId="1BC49C1E">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w:t>
                  </w:r>
                </w:p>
              </w:tc>
              <w:tc>
                <w:tcPr>
                  <w:tcW w:w="556" w:type="pct"/>
                  <w:noWrap w:val="0"/>
                  <w:vAlign w:val="center"/>
                </w:tcPr>
                <w:p w14:paraId="425BF49F">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0.004</w:t>
                  </w:r>
                </w:p>
              </w:tc>
              <w:tc>
                <w:tcPr>
                  <w:tcW w:w="604" w:type="pct"/>
                  <w:vMerge w:val="continue"/>
                  <w:noWrap w:val="0"/>
                  <w:vAlign w:val="center"/>
                </w:tcPr>
                <w:p w14:paraId="6CFA8C0D">
                  <w:pPr>
                    <w:pStyle w:val="27"/>
                    <w:keepNext w:val="0"/>
                    <w:keepLines w:val="0"/>
                    <w:suppressLineNumbers w:val="0"/>
                    <w:bidi w:val="0"/>
                    <w:spacing w:before="0" w:beforeAutospacing="0" w:after="0" w:afterAutospacing="0"/>
                    <w:ind w:left="0" w:right="0"/>
                    <w:rPr>
                      <w:rFonts w:hint="eastAsia"/>
                      <w:color w:val="auto"/>
                      <w:highlight w:val="none"/>
                    </w:rPr>
                  </w:pPr>
                </w:p>
              </w:tc>
              <w:tc>
                <w:tcPr>
                  <w:tcW w:w="500" w:type="pct"/>
                  <w:noWrap w:val="0"/>
                  <w:vAlign w:val="center"/>
                </w:tcPr>
                <w:p w14:paraId="49B262B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30</w:t>
                  </w:r>
                </w:p>
              </w:tc>
              <w:tc>
                <w:tcPr>
                  <w:tcW w:w="535" w:type="pct"/>
                  <w:noWrap w:val="0"/>
                  <w:vAlign w:val="center"/>
                </w:tcPr>
                <w:p w14:paraId="045DA012">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0.004</w:t>
                  </w:r>
                </w:p>
              </w:tc>
              <w:tc>
                <w:tcPr>
                  <w:tcW w:w="612" w:type="pct"/>
                  <w:vMerge w:val="continue"/>
                  <w:noWrap w:val="0"/>
                  <w:vAlign w:val="center"/>
                </w:tcPr>
                <w:p w14:paraId="2988F0C1">
                  <w:pPr>
                    <w:pStyle w:val="27"/>
                    <w:keepNext w:val="0"/>
                    <w:keepLines w:val="0"/>
                    <w:suppressLineNumbers w:val="0"/>
                    <w:bidi w:val="0"/>
                    <w:spacing w:before="0" w:beforeAutospacing="0" w:after="0" w:afterAutospacing="0"/>
                    <w:ind w:left="0" w:right="0"/>
                    <w:rPr>
                      <w:rFonts w:hint="eastAsia"/>
                      <w:color w:val="auto"/>
                      <w:highlight w:val="none"/>
                    </w:rPr>
                  </w:pPr>
                </w:p>
              </w:tc>
            </w:tr>
            <w:tr w14:paraId="6B20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2274A098">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restart"/>
                  <w:noWrap w:val="0"/>
                  <w:vAlign w:val="center"/>
                </w:tcPr>
                <w:p w14:paraId="0AF7138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混合废水</w:t>
                  </w:r>
                </w:p>
              </w:tc>
              <w:tc>
                <w:tcPr>
                  <w:tcW w:w="389" w:type="pct"/>
                  <w:vMerge w:val="restart"/>
                  <w:noWrap w:val="0"/>
                  <w:vAlign w:val="center"/>
                </w:tcPr>
                <w:p w14:paraId="2ACF049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1585.325</w:t>
                  </w:r>
                </w:p>
              </w:tc>
              <w:tc>
                <w:tcPr>
                  <w:tcW w:w="461" w:type="pct"/>
                  <w:noWrap w:val="0"/>
                  <w:vAlign w:val="center"/>
                </w:tcPr>
                <w:p w14:paraId="7F1E58A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pH</w:t>
                  </w:r>
                </w:p>
              </w:tc>
              <w:tc>
                <w:tcPr>
                  <w:tcW w:w="513" w:type="pct"/>
                  <w:noWrap w:val="0"/>
                  <w:vAlign w:val="center"/>
                </w:tcPr>
                <w:p w14:paraId="69D55B6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556" w:type="pct"/>
                  <w:noWrap w:val="0"/>
                  <w:vAlign w:val="center"/>
                </w:tcPr>
                <w:p w14:paraId="47561808">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604" w:type="pct"/>
                  <w:vMerge w:val="restart"/>
                  <w:noWrap w:val="0"/>
                  <w:vAlign w:val="center"/>
                </w:tcPr>
                <w:p w14:paraId="46CFBA7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w:t>
                  </w:r>
                </w:p>
              </w:tc>
              <w:tc>
                <w:tcPr>
                  <w:tcW w:w="818" w:type="dxa"/>
                  <w:noWrap w:val="0"/>
                  <w:vAlign w:val="center"/>
                </w:tcPr>
                <w:p w14:paraId="738C298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875" w:type="dxa"/>
                  <w:noWrap w:val="0"/>
                  <w:vAlign w:val="center"/>
                </w:tcPr>
                <w:p w14:paraId="72E14A7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w:t>
                  </w:r>
                </w:p>
              </w:tc>
              <w:tc>
                <w:tcPr>
                  <w:tcW w:w="612" w:type="pct"/>
                  <w:vMerge w:val="continue"/>
                  <w:noWrap w:val="0"/>
                  <w:vAlign w:val="center"/>
                </w:tcPr>
                <w:p w14:paraId="268C4BE1">
                  <w:pPr>
                    <w:pStyle w:val="27"/>
                    <w:keepNext w:val="0"/>
                    <w:keepLines w:val="0"/>
                    <w:suppressLineNumbers w:val="0"/>
                    <w:bidi w:val="0"/>
                    <w:spacing w:before="0" w:beforeAutospacing="0" w:after="0" w:afterAutospacing="0"/>
                    <w:ind w:left="0" w:right="0"/>
                    <w:rPr>
                      <w:rFonts w:hint="eastAsia"/>
                      <w:color w:val="auto"/>
                      <w:highlight w:val="none"/>
                    </w:rPr>
                  </w:pPr>
                </w:p>
              </w:tc>
            </w:tr>
            <w:tr w14:paraId="208C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52179E2A">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6818BB1F">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389" w:type="pct"/>
                  <w:vMerge w:val="continue"/>
                  <w:noWrap w:val="0"/>
                  <w:vAlign w:val="center"/>
                </w:tcPr>
                <w:p w14:paraId="3338A061">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11B4B64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COD</w:t>
                  </w:r>
                </w:p>
              </w:tc>
              <w:tc>
                <w:tcPr>
                  <w:tcW w:w="513" w:type="pct"/>
                  <w:noWrap w:val="0"/>
                  <w:vAlign w:val="center"/>
                </w:tcPr>
                <w:p w14:paraId="662480B0">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310.41</w:t>
                  </w:r>
                </w:p>
              </w:tc>
              <w:tc>
                <w:tcPr>
                  <w:tcW w:w="556" w:type="pct"/>
                  <w:noWrap w:val="0"/>
                  <w:vAlign w:val="center"/>
                </w:tcPr>
                <w:p w14:paraId="5B7D47E4">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0.492</w:t>
                  </w:r>
                </w:p>
              </w:tc>
              <w:tc>
                <w:tcPr>
                  <w:tcW w:w="604" w:type="pct"/>
                  <w:vMerge w:val="continue"/>
                  <w:noWrap w:val="0"/>
                  <w:vAlign w:val="center"/>
                </w:tcPr>
                <w:p w14:paraId="4AC69E9F">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11FA2D3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310.41</w:t>
                  </w:r>
                </w:p>
              </w:tc>
              <w:tc>
                <w:tcPr>
                  <w:tcW w:w="875" w:type="dxa"/>
                  <w:noWrap w:val="0"/>
                  <w:vAlign w:val="center"/>
                </w:tcPr>
                <w:p w14:paraId="7BAE6A21">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0.492</w:t>
                  </w:r>
                </w:p>
              </w:tc>
              <w:tc>
                <w:tcPr>
                  <w:tcW w:w="612" w:type="pct"/>
                  <w:vMerge w:val="continue"/>
                  <w:noWrap w:val="0"/>
                  <w:vAlign w:val="center"/>
                </w:tcPr>
                <w:p w14:paraId="1D31920F">
                  <w:pPr>
                    <w:pStyle w:val="27"/>
                    <w:keepNext w:val="0"/>
                    <w:keepLines w:val="0"/>
                    <w:suppressLineNumbers w:val="0"/>
                    <w:bidi w:val="0"/>
                    <w:spacing w:before="0" w:beforeAutospacing="0" w:after="0" w:afterAutospacing="0"/>
                    <w:ind w:left="0" w:right="0"/>
                    <w:rPr>
                      <w:rFonts w:hint="eastAsia"/>
                      <w:color w:val="auto"/>
                      <w:highlight w:val="none"/>
                    </w:rPr>
                  </w:pPr>
                </w:p>
              </w:tc>
            </w:tr>
            <w:tr w14:paraId="10A8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8" w:type="pct"/>
                  <w:vMerge w:val="continue"/>
                  <w:noWrap w:val="0"/>
                  <w:vAlign w:val="center"/>
                </w:tcPr>
                <w:p w14:paraId="313B7802">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37F6C881">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2779A749">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5C54828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BOD</w:t>
                  </w:r>
                  <w:r>
                    <w:rPr>
                      <w:rFonts w:hint="eastAsia"/>
                      <w:color w:val="auto"/>
                      <w:highlight w:val="none"/>
                      <w:vertAlign w:val="subscript"/>
                    </w:rPr>
                    <w:t>5</w:t>
                  </w:r>
                </w:p>
              </w:tc>
              <w:tc>
                <w:tcPr>
                  <w:tcW w:w="513" w:type="pct"/>
                  <w:noWrap w:val="0"/>
                  <w:vAlign w:val="center"/>
                </w:tcPr>
                <w:p w14:paraId="5AFF96D6">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141.3</w:t>
                  </w:r>
                </w:p>
              </w:tc>
              <w:tc>
                <w:tcPr>
                  <w:tcW w:w="556" w:type="pct"/>
                  <w:noWrap w:val="0"/>
                  <w:vAlign w:val="center"/>
                </w:tcPr>
                <w:p w14:paraId="1D3EEE76">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0.224</w:t>
                  </w:r>
                </w:p>
              </w:tc>
              <w:tc>
                <w:tcPr>
                  <w:tcW w:w="604" w:type="pct"/>
                  <w:vMerge w:val="continue"/>
                  <w:noWrap w:val="0"/>
                  <w:vAlign w:val="center"/>
                </w:tcPr>
                <w:p w14:paraId="116000BE">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1F5A5E7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141.3</w:t>
                  </w:r>
                </w:p>
              </w:tc>
              <w:tc>
                <w:tcPr>
                  <w:tcW w:w="875" w:type="dxa"/>
                  <w:noWrap w:val="0"/>
                  <w:vAlign w:val="center"/>
                </w:tcPr>
                <w:p w14:paraId="509A2B9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0.224</w:t>
                  </w:r>
                </w:p>
              </w:tc>
              <w:tc>
                <w:tcPr>
                  <w:tcW w:w="612" w:type="pct"/>
                  <w:vMerge w:val="continue"/>
                  <w:noWrap w:val="0"/>
                  <w:vAlign w:val="center"/>
                </w:tcPr>
                <w:p w14:paraId="7BE65EDF">
                  <w:pPr>
                    <w:pStyle w:val="27"/>
                    <w:keepNext w:val="0"/>
                    <w:keepLines w:val="0"/>
                    <w:suppressLineNumbers w:val="0"/>
                    <w:bidi w:val="0"/>
                    <w:spacing w:before="0" w:beforeAutospacing="0" w:after="0" w:afterAutospacing="0"/>
                    <w:ind w:left="0" w:right="0"/>
                    <w:rPr>
                      <w:rFonts w:hint="eastAsia"/>
                      <w:color w:val="auto"/>
                      <w:highlight w:val="none"/>
                    </w:rPr>
                  </w:pPr>
                </w:p>
              </w:tc>
            </w:tr>
            <w:tr w14:paraId="148D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1826F33F">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4DC39846">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32ADE0C4">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2BEAC0B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氨氮</w:t>
                  </w:r>
                </w:p>
              </w:tc>
              <w:tc>
                <w:tcPr>
                  <w:tcW w:w="513" w:type="pct"/>
                  <w:noWrap w:val="0"/>
                  <w:vAlign w:val="center"/>
                </w:tcPr>
                <w:p w14:paraId="03F34B1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24.62</w:t>
                  </w:r>
                </w:p>
              </w:tc>
              <w:tc>
                <w:tcPr>
                  <w:tcW w:w="556" w:type="pct"/>
                  <w:noWrap w:val="0"/>
                  <w:vAlign w:val="center"/>
                </w:tcPr>
                <w:p w14:paraId="7AC219A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0.039</w:t>
                  </w:r>
                </w:p>
              </w:tc>
              <w:tc>
                <w:tcPr>
                  <w:tcW w:w="604" w:type="pct"/>
                  <w:vMerge w:val="continue"/>
                  <w:noWrap w:val="0"/>
                  <w:vAlign w:val="center"/>
                </w:tcPr>
                <w:p w14:paraId="437C7429">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6E30983C">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24.62</w:t>
                  </w:r>
                </w:p>
              </w:tc>
              <w:tc>
                <w:tcPr>
                  <w:tcW w:w="875" w:type="dxa"/>
                  <w:noWrap w:val="0"/>
                  <w:vAlign w:val="center"/>
                </w:tcPr>
                <w:p w14:paraId="64B26A0B">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0.039</w:t>
                  </w:r>
                </w:p>
              </w:tc>
              <w:tc>
                <w:tcPr>
                  <w:tcW w:w="612" w:type="pct"/>
                  <w:vMerge w:val="continue"/>
                  <w:noWrap w:val="0"/>
                  <w:vAlign w:val="center"/>
                </w:tcPr>
                <w:p w14:paraId="66C36CC8">
                  <w:pPr>
                    <w:pStyle w:val="27"/>
                    <w:keepNext w:val="0"/>
                    <w:keepLines w:val="0"/>
                    <w:suppressLineNumbers w:val="0"/>
                    <w:bidi w:val="0"/>
                    <w:spacing w:before="0" w:beforeAutospacing="0" w:after="0" w:afterAutospacing="0"/>
                    <w:ind w:left="0" w:right="0"/>
                    <w:rPr>
                      <w:rFonts w:hint="eastAsia"/>
                      <w:color w:val="auto"/>
                      <w:highlight w:val="none"/>
                    </w:rPr>
                  </w:pPr>
                </w:p>
              </w:tc>
            </w:tr>
            <w:tr w14:paraId="3BC5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12FD2CAD">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114FD4A5">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350FA984">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7D19CCB8">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rPr>
                    <w:t>SS</w:t>
                  </w:r>
                </w:p>
              </w:tc>
              <w:tc>
                <w:tcPr>
                  <w:tcW w:w="513" w:type="pct"/>
                  <w:noWrap w:val="0"/>
                  <w:vAlign w:val="center"/>
                </w:tcPr>
                <w:p w14:paraId="05CF7E60">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186.71</w:t>
                  </w:r>
                </w:p>
              </w:tc>
              <w:tc>
                <w:tcPr>
                  <w:tcW w:w="556" w:type="pct"/>
                  <w:noWrap w:val="0"/>
                  <w:vAlign w:val="center"/>
                </w:tcPr>
                <w:p w14:paraId="2F170F8C">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0.296</w:t>
                  </w:r>
                </w:p>
              </w:tc>
              <w:tc>
                <w:tcPr>
                  <w:tcW w:w="604" w:type="pct"/>
                  <w:vMerge w:val="continue"/>
                  <w:noWrap w:val="0"/>
                  <w:vAlign w:val="center"/>
                </w:tcPr>
                <w:p w14:paraId="49B00DA2">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071D6FF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186.71</w:t>
                  </w:r>
                </w:p>
              </w:tc>
              <w:tc>
                <w:tcPr>
                  <w:tcW w:w="875" w:type="dxa"/>
                  <w:noWrap w:val="0"/>
                  <w:vAlign w:val="center"/>
                </w:tcPr>
                <w:p w14:paraId="46B5AC7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0.296</w:t>
                  </w:r>
                </w:p>
              </w:tc>
              <w:tc>
                <w:tcPr>
                  <w:tcW w:w="612" w:type="pct"/>
                  <w:vMerge w:val="continue"/>
                  <w:noWrap w:val="0"/>
                  <w:vAlign w:val="center"/>
                </w:tcPr>
                <w:p w14:paraId="553D9558">
                  <w:pPr>
                    <w:pStyle w:val="27"/>
                    <w:keepNext w:val="0"/>
                    <w:keepLines w:val="0"/>
                    <w:suppressLineNumbers w:val="0"/>
                    <w:bidi w:val="0"/>
                    <w:spacing w:before="0" w:beforeAutospacing="0" w:after="0" w:afterAutospacing="0"/>
                    <w:ind w:left="0" w:right="0"/>
                    <w:rPr>
                      <w:rFonts w:hint="eastAsia"/>
                      <w:color w:val="auto"/>
                      <w:highlight w:val="none"/>
                    </w:rPr>
                  </w:pPr>
                </w:p>
              </w:tc>
            </w:tr>
            <w:tr w14:paraId="4335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58" w:type="pct"/>
                  <w:vMerge w:val="continue"/>
                  <w:noWrap w:val="0"/>
                  <w:vAlign w:val="center"/>
                </w:tcPr>
                <w:p w14:paraId="4AC18ED0">
                  <w:pPr>
                    <w:pStyle w:val="27"/>
                    <w:keepNext w:val="0"/>
                    <w:keepLines w:val="0"/>
                    <w:suppressLineNumbers w:val="0"/>
                    <w:bidi w:val="0"/>
                    <w:spacing w:before="0" w:beforeAutospacing="0" w:after="0" w:afterAutospacing="0"/>
                    <w:ind w:left="0" w:right="0"/>
                    <w:rPr>
                      <w:rFonts w:hint="eastAsia"/>
                      <w:color w:val="auto"/>
                      <w:highlight w:val="none"/>
                    </w:rPr>
                  </w:pPr>
                </w:p>
              </w:tc>
              <w:tc>
                <w:tcPr>
                  <w:tcW w:w="467" w:type="pct"/>
                  <w:vMerge w:val="continue"/>
                  <w:noWrap w:val="0"/>
                  <w:vAlign w:val="center"/>
                </w:tcPr>
                <w:p w14:paraId="42DBA8CF">
                  <w:pPr>
                    <w:pStyle w:val="27"/>
                    <w:keepNext w:val="0"/>
                    <w:keepLines w:val="0"/>
                    <w:suppressLineNumbers w:val="0"/>
                    <w:bidi w:val="0"/>
                    <w:spacing w:before="0" w:beforeAutospacing="0" w:after="0" w:afterAutospacing="0"/>
                    <w:ind w:left="0" w:right="0"/>
                    <w:rPr>
                      <w:rFonts w:hint="eastAsia"/>
                      <w:color w:val="auto"/>
                      <w:highlight w:val="none"/>
                    </w:rPr>
                  </w:pPr>
                </w:p>
              </w:tc>
              <w:tc>
                <w:tcPr>
                  <w:tcW w:w="389" w:type="pct"/>
                  <w:vMerge w:val="continue"/>
                  <w:noWrap w:val="0"/>
                  <w:vAlign w:val="center"/>
                </w:tcPr>
                <w:p w14:paraId="0CC37427">
                  <w:pPr>
                    <w:pStyle w:val="27"/>
                    <w:keepNext w:val="0"/>
                    <w:keepLines w:val="0"/>
                    <w:suppressLineNumbers w:val="0"/>
                    <w:bidi w:val="0"/>
                    <w:spacing w:before="0" w:beforeAutospacing="0" w:after="0" w:afterAutospacing="0"/>
                    <w:ind w:left="0" w:right="0"/>
                    <w:rPr>
                      <w:rFonts w:hint="eastAsia"/>
                      <w:color w:val="auto"/>
                      <w:highlight w:val="none"/>
                    </w:rPr>
                  </w:pPr>
                </w:p>
              </w:tc>
              <w:tc>
                <w:tcPr>
                  <w:tcW w:w="461" w:type="pct"/>
                  <w:noWrap w:val="0"/>
                  <w:vAlign w:val="center"/>
                </w:tcPr>
                <w:p w14:paraId="10DDE7E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TP</w:t>
                  </w:r>
                </w:p>
              </w:tc>
              <w:tc>
                <w:tcPr>
                  <w:tcW w:w="513" w:type="pct"/>
                  <w:noWrap w:val="0"/>
                  <w:vAlign w:val="center"/>
                </w:tcPr>
                <w:p w14:paraId="0FF3FDFA">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3.78</w:t>
                  </w:r>
                </w:p>
              </w:tc>
              <w:tc>
                <w:tcPr>
                  <w:tcW w:w="556" w:type="pct"/>
                  <w:noWrap w:val="0"/>
                  <w:vAlign w:val="center"/>
                </w:tcPr>
                <w:p w14:paraId="4431E437">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0.006</w:t>
                  </w:r>
                </w:p>
              </w:tc>
              <w:tc>
                <w:tcPr>
                  <w:tcW w:w="604" w:type="pct"/>
                  <w:vMerge w:val="continue"/>
                  <w:noWrap w:val="0"/>
                  <w:vAlign w:val="center"/>
                </w:tcPr>
                <w:p w14:paraId="1FCC61BB">
                  <w:pPr>
                    <w:pStyle w:val="27"/>
                    <w:keepNext w:val="0"/>
                    <w:keepLines w:val="0"/>
                    <w:suppressLineNumbers w:val="0"/>
                    <w:bidi w:val="0"/>
                    <w:spacing w:before="0" w:beforeAutospacing="0" w:after="0" w:afterAutospacing="0"/>
                    <w:ind w:left="0" w:right="0"/>
                    <w:rPr>
                      <w:rFonts w:hint="eastAsia"/>
                      <w:color w:val="auto"/>
                      <w:highlight w:val="none"/>
                    </w:rPr>
                  </w:pPr>
                </w:p>
              </w:tc>
              <w:tc>
                <w:tcPr>
                  <w:tcW w:w="818" w:type="dxa"/>
                  <w:noWrap w:val="0"/>
                  <w:vAlign w:val="center"/>
                </w:tcPr>
                <w:p w14:paraId="3D603AB5">
                  <w:pPr>
                    <w:pStyle w:val="27"/>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3.78</w:t>
                  </w:r>
                </w:p>
              </w:tc>
              <w:tc>
                <w:tcPr>
                  <w:tcW w:w="875" w:type="dxa"/>
                  <w:noWrap w:val="0"/>
                  <w:vAlign w:val="center"/>
                </w:tcPr>
                <w:p w14:paraId="1427805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0.006</w:t>
                  </w:r>
                </w:p>
              </w:tc>
              <w:tc>
                <w:tcPr>
                  <w:tcW w:w="612" w:type="pct"/>
                  <w:vMerge w:val="continue"/>
                  <w:noWrap w:val="0"/>
                  <w:vAlign w:val="center"/>
                </w:tcPr>
                <w:p w14:paraId="5B1C113D">
                  <w:pPr>
                    <w:pStyle w:val="27"/>
                    <w:keepNext w:val="0"/>
                    <w:keepLines w:val="0"/>
                    <w:suppressLineNumbers w:val="0"/>
                    <w:bidi w:val="0"/>
                    <w:spacing w:before="0" w:beforeAutospacing="0" w:after="0" w:afterAutospacing="0"/>
                    <w:ind w:left="0" w:right="0"/>
                    <w:rPr>
                      <w:rFonts w:hint="eastAsia"/>
                      <w:color w:val="auto"/>
                      <w:highlight w:val="none"/>
                    </w:rPr>
                  </w:pPr>
                </w:p>
              </w:tc>
            </w:tr>
          </w:tbl>
          <w:p w14:paraId="118E39AD">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本项目产生的废水为生活污水</w:t>
            </w:r>
            <w:r>
              <w:rPr>
                <w:rFonts w:hint="eastAsia"/>
                <w:color w:val="auto"/>
                <w:highlight w:val="none"/>
                <w:lang w:val="en-US" w:eastAsia="zh-CN"/>
              </w:rPr>
              <w:t>、实验室废水（含喷淋废水、清洗废水、剩余水样、样品标定废水）、纯水制备浓水、反冲洗废水、空调系统排水</w:t>
            </w:r>
            <w:r>
              <w:rPr>
                <w:rFonts w:hint="eastAsia"/>
                <w:color w:val="auto"/>
                <w:highlight w:val="none"/>
              </w:rPr>
              <w:t>接管</w:t>
            </w:r>
            <w:r>
              <w:rPr>
                <w:rFonts w:hint="eastAsia"/>
                <w:color w:val="auto"/>
                <w:highlight w:val="none"/>
                <w:lang w:val="en-US" w:eastAsia="zh-CN"/>
              </w:rPr>
              <w:t>山南新区污水处理厂</w:t>
            </w:r>
            <w:r>
              <w:rPr>
                <w:rFonts w:hint="eastAsia"/>
                <w:color w:val="auto"/>
                <w:highlight w:val="none"/>
              </w:rPr>
              <w:t>，污水排放执行《污水综合排放标准》（GB8978-1996）中三级标准及</w:t>
            </w:r>
            <w:r>
              <w:rPr>
                <w:rFonts w:hint="eastAsia"/>
                <w:color w:val="auto"/>
                <w:highlight w:val="none"/>
                <w:lang w:val="en-US" w:eastAsia="zh-CN"/>
              </w:rPr>
              <w:t>山南新区污水处理厂接管标准中较严值</w:t>
            </w:r>
            <w:r>
              <w:rPr>
                <w:rFonts w:hint="eastAsia"/>
                <w:color w:val="auto"/>
                <w:highlight w:val="none"/>
              </w:rPr>
              <w:t>。</w:t>
            </w:r>
          </w:p>
          <w:p w14:paraId="12145C96">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（3）废水类别、污染物及污染治理设施信息</w:t>
            </w:r>
          </w:p>
          <w:p w14:paraId="348A85C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废水类别、污染物及污染治理设施信息表见表</w:t>
            </w:r>
            <w:r>
              <w:rPr>
                <w:rFonts w:hint="eastAsia"/>
                <w:color w:val="auto"/>
                <w:highlight w:val="none"/>
              </w:rPr>
              <w:t>4-2</w:t>
            </w:r>
            <w:r>
              <w:rPr>
                <w:rFonts w:hint="default"/>
                <w:color w:val="auto"/>
                <w:highlight w:val="none"/>
              </w:rPr>
              <w:t>。</w:t>
            </w:r>
          </w:p>
          <w:p w14:paraId="39643C22">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4-2</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废水类别、污染物及污染治理设施信息表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29"/>
              <w:gridCol w:w="1055"/>
              <w:gridCol w:w="1217"/>
              <w:gridCol w:w="898"/>
              <w:gridCol w:w="932"/>
              <w:gridCol w:w="1054"/>
              <w:gridCol w:w="924"/>
              <w:gridCol w:w="849"/>
              <w:gridCol w:w="715"/>
            </w:tblGrid>
            <w:tr w14:paraId="4D43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23" w:type="pct"/>
                  <w:vMerge w:val="restart"/>
                  <w:noWrap w:val="0"/>
                  <w:vAlign w:val="center"/>
                </w:tcPr>
                <w:p w14:paraId="6643904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序号</w:t>
                  </w:r>
                </w:p>
              </w:tc>
              <w:tc>
                <w:tcPr>
                  <w:tcW w:w="645" w:type="pct"/>
                  <w:vMerge w:val="restart"/>
                  <w:noWrap w:val="0"/>
                  <w:vAlign w:val="center"/>
                </w:tcPr>
                <w:p w14:paraId="1909AEB5">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废水</w:t>
                  </w:r>
                </w:p>
                <w:p w14:paraId="64FDE10C">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类别</w:t>
                  </w:r>
                </w:p>
              </w:tc>
              <w:tc>
                <w:tcPr>
                  <w:tcW w:w="744" w:type="pct"/>
                  <w:vMerge w:val="restart"/>
                  <w:noWrap w:val="0"/>
                  <w:vAlign w:val="center"/>
                </w:tcPr>
                <w:p w14:paraId="4C86D0D2">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污染物</w:t>
                  </w:r>
                </w:p>
                <w:p w14:paraId="62C8152E">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种类</w:t>
                  </w:r>
                </w:p>
              </w:tc>
              <w:tc>
                <w:tcPr>
                  <w:tcW w:w="549" w:type="pct"/>
                  <w:vMerge w:val="restart"/>
                  <w:noWrap w:val="0"/>
                  <w:vAlign w:val="center"/>
                </w:tcPr>
                <w:p w14:paraId="2590634B">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排放去向</w:t>
                  </w:r>
                </w:p>
              </w:tc>
              <w:tc>
                <w:tcPr>
                  <w:tcW w:w="570" w:type="pct"/>
                  <w:vMerge w:val="restart"/>
                  <w:noWrap w:val="0"/>
                  <w:vAlign w:val="center"/>
                </w:tcPr>
                <w:p w14:paraId="16863FA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排放</w:t>
                  </w:r>
                </w:p>
                <w:p w14:paraId="4A4537A9">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规律</w:t>
                  </w:r>
                </w:p>
              </w:tc>
              <w:tc>
                <w:tcPr>
                  <w:tcW w:w="1728" w:type="pct"/>
                  <w:gridSpan w:val="3"/>
                  <w:noWrap w:val="0"/>
                  <w:vAlign w:val="center"/>
                </w:tcPr>
                <w:p w14:paraId="2505E1E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污染治理设施</w:t>
                  </w:r>
                </w:p>
              </w:tc>
              <w:tc>
                <w:tcPr>
                  <w:tcW w:w="436" w:type="pct"/>
                  <w:vMerge w:val="restart"/>
                  <w:noWrap w:val="0"/>
                  <w:vAlign w:val="center"/>
                </w:tcPr>
                <w:p w14:paraId="171AFA0B">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排放口类型</w:t>
                  </w:r>
                </w:p>
              </w:tc>
            </w:tr>
            <w:tr w14:paraId="5416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23" w:type="pct"/>
                  <w:vMerge w:val="continue"/>
                  <w:noWrap w:val="0"/>
                  <w:vAlign w:val="center"/>
                </w:tcPr>
                <w:p w14:paraId="26D976B3">
                  <w:pPr>
                    <w:pStyle w:val="27"/>
                    <w:keepNext w:val="0"/>
                    <w:keepLines w:val="0"/>
                    <w:suppressLineNumbers w:val="0"/>
                    <w:bidi w:val="0"/>
                    <w:spacing w:before="0" w:beforeAutospacing="0" w:after="0" w:afterAutospacing="0"/>
                    <w:ind w:left="0" w:right="0"/>
                    <w:rPr>
                      <w:b/>
                      <w:bCs/>
                      <w:color w:val="auto"/>
                      <w:highlight w:val="none"/>
                    </w:rPr>
                  </w:pPr>
                </w:p>
              </w:tc>
              <w:tc>
                <w:tcPr>
                  <w:tcW w:w="645" w:type="pct"/>
                  <w:vMerge w:val="continue"/>
                  <w:noWrap w:val="0"/>
                  <w:vAlign w:val="center"/>
                </w:tcPr>
                <w:p w14:paraId="5ED972DB">
                  <w:pPr>
                    <w:pStyle w:val="27"/>
                    <w:keepNext w:val="0"/>
                    <w:keepLines w:val="0"/>
                    <w:suppressLineNumbers w:val="0"/>
                    <w:bidi w:val="0"/>
                    <w:spacing w:before="0" w:beforeAutospacing="0" w:after="0" w:afterAutospacing="0"/>
                    <w:ind w:left="0" w:right="0"/>
                    <w:rPr>
                      <w:b/>
                      <w:bCs/>
                      <w:color w:val="auto"/>
                      <w:highlight w:val="none"/>
                    </w:rPr>
                  </w:pPr>
                </w:p>
              </w:tc>
              <w:tc>
                <w:tcPr>
                  <w:tcW w:w="744" w:type="pct"/>
                  <w:vMerge w:val="continue"/>
                  <w:noWrap w:val="0"/>
                  <w:vAlign w:val="center"/>
                </w:tcPr>
                <w:p w14:paraId="47B87E59">
                  <w:pPr>
                    <w:pStyle w:val="27"/>
                    <w:keepNext w:val="0"/>
                    <w:keepLines w:val="0"/>
                    <w:suppressLineNumbers w:val="0"/>
                    <w:bidi w:val="0"/>
                    <w:spacing w:before="0" w:beforeAutospacing="0" w:after="0" w:afterAutospacing="0"/>
                    <w:ind w:left="0" w:right="0"/>
                    <w:rPr>
                      <w:b/>
                      <w:bCs/>
                      <w:color w:val="auto"/>
                      <w:highlight w:val="none"/>
                    </w:rPr>
                  </w:pPr>
                </w:p>
              </w:tc>
              <w:tc>
                <w:tcPr>
                  <w:tcW w:w="549" w:type="pct"/>
                  <w:vMerge w:val="continue"/>
                  <w:noWrap w:val="0"/>
                  <w:vAlign w:val="center"/>
                </w:tcPr>
                <w:p w14:paraId="2FC0A48D">
                  <w:pPr>
                    <w:pStyle w:val="27"/>
                    <w:keepNext w:val="0"/>
                    <w:keepLines w:val="0"/>
                    <w:suppressLineNumbers w:val="0"/>
                    <w:bidi w:val="0"/>
                    <w:spacing w:before="0" w:beforeAutospacing="0" w:after="0" w:afterAutospacing="0"/>
                    <w:ind w:left="0" w:right="0"/>
                    <w:rPr>
                      <w:b/>
                      <w:bCs/>
                      <w:color w:val="auto"/>
                      <w:highlight w:val="none"/>
                    </w:rPr>
                  </w:pPr>
                </w:p>
              </w:tc>
              <w:tc>
                <w:tcPr>
                  <w:tcW w:w="570" w:type="pct"/>
                  <w:vMerge w:val="continue"/>
                  <w:noWrap w:val="0"/>
                  <w:vAlign w:val="center"/>
                </w:tcPr>
                <w:p w14:paraId="4F46EEE8">
                  <w:pPr>
                    <w:pStyle w:val="27"/>
                    <w:keepNext w:val="0"/>
                    <w:keepLines w:val="0"/>
                    <w:suppressLineNumbers w:val="0"/>
                    <w:bidi w:val="0"/>
                    <w:spacing w:before="0" w:beforeAutospacing="0" w:after="0" w:afterAutospacing="0"/>
                    <w:ind w:left="0" w:right="0"/>
                    <w:rPr>
                      <w:b/>
                      <w:bCs/>
                      <w:color w:val="auto"/>
                      <w:highlight w:val="none"/>
                    </w:rPr>
                  </w:pPr>
                </w:p>
              </w:tc>
              <w:tc>
                <w:tcPr>
                  <w:tcW w:w="644" w:type="pct"/>
                  <w:noWrap w:val="0"/>
                  <w:vAlign w:val="center"/>
                </w:tcPr>
                <w:p w14:paraId="60578752">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污染治理设施名称</w:t>
                  </w:r>
                </w:p>
              </w:tc>
              <w:tc>
                <w:tcPr>
                  <w:tcW w:w="565" w:type="pct"/>
                  <w:noWrap w:val="0"/>
                  <w:vAlign w:val="center"/>
                </w:tcPr>
                <w:p w14:paraId="285C9405">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污染治理设施工艺</w:t>
                  </w:r>
                </w:p>
              </w:tc>
              <w:tc>
                <w:tcPr>
                  <w:tcW w:w="518" w:type="pct"/>
                  <w:noWrap w:val="0"/>
                  <w:vAlign w:val="center"/>
                </w:tcPr>
                <w:p w14:paraId="75B999A7">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是否为可行技术</w:t>
                  </w:r>
                </w:p>
              </w:tc>
              <w:tc>
                <w:tcPr>
                  <w:tcW w:w="436" w:type="pct"/>
                  <w:vMerge w:val="continue"/>
                  <w:noWrap w:val="0"/>
                  <w:vAlign w:val="center"/>
                </w:tcPr>
                <w:p w14:paraId="472C076A">
                  <w:pPr>
                    <w:pStyle w:val="27"/>
                    <w:keepNext w:val="0"/>
                    <w:keepLines w:val="0"/>
                    <w:suppressLineNumbers w:val="0"/>
                    <w:bidi w:val="0"/>
                    <w:spacing w:before="0" w:beforeAutospacing="0" w:after="0" w:afterAutospacing="0"/>
                    <w:ind w:left="0" w:right="0"/>
                    <w:rPr>
                      <w:b/>
                      <w:bCs/>
                      <w:color w:val="auto"/>
                      <w:highlight w:val="none"/>
                    </w:rPr>
                  </w:pPr>
                </w:p>
              </w:tc>
            </w:tr>
            <w:tr w14:paraId="212F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323" w:type="pct"/>
                  <w:noWrap w:val="0"/>
                  <w:vAlign w:val="center"/>
                </w:tcPr>
                <w:p w14:paraId="274A01E7">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1</w:t>
                  </w:r>
                </w:p>
              </w:tc>
              <w:tc>
                <w:tcPr>
                  <w:tcW w:w="645" w:type="pct"/>
                  <w:noWrap w:val="0"/>
                  <w:vAlign w:val="center"/>
                </w:tcPr>
                <w:p w14:paraId="6C2E118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实验废水</w:t>
                  </w:r>
                </w:p>
              </w:tc>
              <w:tc>
                <w:tcPr>
                  <w:tcW w:w="744" w:type="pct"/>
                  <w:vMerge w:val="restart"/>
                  <w:noWrap w:val="0"/>
                  <w:vAlign w:val="center"/>
                </w:tcPr>
                <w:p w14:paraId="1C363A1A">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pH、</w:t>
                  </w:r>
                  <w:r>
                    <w:rPr>
                      <w:color w:val="auto"/>
                      <w:highlight w:val="none"/>
                    </w:rPr>
                    <w:t>COD、</w:t>
                  </w:r>
                  <w:r>
                    <w:rPr>
                      <w:rFonts w:hint="eastAsia"/>
                      <w:color w:val="auto"/>
                      <w:highlight w:val="none"/>
                    </w:rPr>
                    <w:t>BOD</w:t>
                  </w:r>
                  <w:r>
                    <w:rPr>
                      <w:rFonts w:hint="eastAsia"/>
                      <w:color w:val="auto"/>
                      <w:highlight w:val="none"/>
                      <w:vertAlign w:val="subscript"/>
                    </w:rPr>
                    <w:t>5</w:t>
                  </w:r>
                  <w:r>
                    <w:rPr>
                      <w:color w:val="auto"/>
                      <w:highlight w:val="none"/>
                    </w:rPr>
                    <w:t>、NH</w:t>
                  </w:r>
                  <w:r>
                    <w:rPr>
                      <w:color w:val="auto"/>
                      <w:highlight w:val="none"/>
                      <w:vertAlign w:val="subscript"/>
                    </w:rPr>
                    <w:t>3</w:t>
                  </w:r>
                  <w:r>
                    <w:rPr>
                      <w:color w:val="auto"/>
                      <w:highlight w:val="none"/>
                    </w:rPr>
                    <w:t>-N、SS</w:t>
                  </w:r>
                  <w:r>
                    <w:rPr>
                      <w:rFonts w:hint="eastAsia"/>
                      <w:color w:val="auto"/>
                      <w:highlight w:val="none"/>
                      <w:lang w:eastAsia="zh-CN"/>
                    </w:rPr>
                    <w:t>、</w:t>
                  </w:r>
                  <w:r>
                    <w:rPr>
                      <w:rFonts w:hint="eastAsia"/>
                      <w:color w:val="auto"/>
                      <w:highlight w:val="none"/>
                      <w:lang w:val="en-US" w:eastAsia="zh-CN"/>
                    </w:rPr>
                    <w:t>TP</w:t>
                  </w:r>
                </w:p>
              </w:tc>
              <w:tc>
                <w:tcPr>
                  <w:tcW w:w="549" w:type="pct"/>
                  <w:vMerge w:val="restart"/>
                  <w:noWrap w:val="0"/>
                  <w:vAlign w:val="center"/>
                </w:tcPr>
                <w:p w14:paraId="377FC5F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山南新区</w:t>
                  </w:r>
                  <w:r>
                    <w:rPr>
                      <w:rFonts w:hint="eastAsia"/>
                      <w:color w:val="auto"/>
                      <w:highlight w:val="none"/>
                    </w:rPr>
                    <w:t>污水处理厂</w:t>
                  </w:r>
                </w:p>
              </w:tc>
              <w:tc>
                <w:tcPr>
                  <w:tcW w:w="570" w:type="pct"/>
                  <w:noWrap w:val="0"/>
                  <w:vAlign w:val="center"/>
                </w:tcPr>
                <w:p w14:paraId="28C84D6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间断性排放</w:t>
                  </w:r>
                </w:p>
              </w:tc>
              <w:tc>
                <w:tcPr>
                  <w:tcW w:w="644" w:type="pct"/>
                  <w:noWrap w:val="0"/>
                  <w:vAlign w:val="center"/>
                </w:tcPr>
                <w:p w14:paraId="5B3B9DC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污水处理设施（酸碱调节+混凝沉淀）</w:t>
                  </w:r>
                </w:p>
              </w:tc>
              <w:tc>
                <w:tcPr>
                  <w:tcW w:w="565" w:type="pct"/>
                  <w:noWrap w:val="0"/>
                  <w:vAlign w:val="center"/>
                </w:tcPr>
                <w:p w14:paraId="2C2391C7">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酸碱中和+</w:t>
                  </w:r>
                  <w:r>
                    <w:rPr>
                      <w:rFonts w:hint="eastAsia"/>
                      <w:color w:val="auto"/>
                      <w:highlight w:val="none"/>
                    </w:rPr>
                    <w:t>沉淀</w:t>
                  </w:r>
                </w:p>
              </w:tc>
              <w:tc>
                <w:tcPr>
                  <w:tcW w:w="518" w:type="pct"/>
                  <w:noWrap w:val="0"/>
                  <w:vAlign w:val="center"/>
                </w:tcPr>
                <w:p w14:paraId="3714AC17">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可行</w:t>
                  </w:r>
                </w:p>
              </w:tc>
              <w:tc>
                <w:tcPr>
                  <w:tcW w:w="436" w:type="pct"/>
                  <w:noWrap w:val="0"/>
                  <w:vAlign w:val="center"/>
                </w:tcPr>
                <w:p w14:paraId="5D18939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一般</w:t>
                  </w:r>
                  <w:r>
                    <w:rPr>
                      <w:rFonts w:hint="eastAsia"/>
                      <w:color w:val="auto"/>
                      <w:highlight w:val="none"/>
                    </w:rPr>
                    <w:t>排放口</w:t>
                  </w:r>
                </w:p>
              </w:tc>
            </w:tr>
            <w:tr w14:paraId="554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323" w:type="pct"/>
                  <w:noWrap w:val="0"/>
                  <w:vAlign w:val="center"/>
                </w:tcPr>
                <w:p w14:paraId="013E4E2C">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2</w:t>
                  </w:r>
                </w:p>
              </w:tc>
              <w:tc>
                <w:tcPr>
                  <w:tcW w:w="645" w:type="pct"/>
                  <w:noWrap w:val="0"/>
                  <w:vAlign w:val="center"/>
                </w:tcPr>
                <w:p w14:paraId="07DD1D7A">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生活污水、保洁废水、浓水、空调系统排水</w:t>
                  </w:r>
                </w:p>
              </w:tc>
              <w:tc>
                <w:tcPr>
                  <w:tcW w:w="744" w:type="pct"/>
                  <w:vMerge w:val="continue"/>
                  <w:noWrap w:val="0"/>
                  <w:vAlign w:val="center"/>
                </w:tcPr>
                <w:p w14:paraId="39514697">
                  <w:pPr>
                    <w:pStyle w:val="27"/>
                    <w:keepNext w:val="0"/>
                    <w:keepLines w:val="0"/>
                    <w:suppressLineNumbers w:val="0"/>
                    <w:bidi w:val="0"/>
                    <w:spacing w:before="0" w:beforeAutospacing="0" w:after="0" w:afterAutospacing="0"/>
                    <w:ind w:left="0" w:right="0"/>
                    <w:rPr>
                      <w:rFonts w:hint="eastAsia"/>
                      <w:color w:val="auto"/>
                      <w:highlight w:val="none"/>
                    </w:rPr>
                  </w:pPr>
                </w:p>
              </w:tc>
              <w:tc>
                <w:tcPr>
                  <w:tcW w:w="549" w:type="pct"/>
                  <w:vMerge w:val="continue"/>
                  <w:noWrap w:val="0"/>
                  <w:vAlign w:val="center"/>
                </w:tcPr>
                <w:p w14:paraId="4C0D0FC5">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70" w:type="pct"/>
                  <w:noWrap w:val="0"/>
                  <w:vAlign w:val="center"/>
                </w:tcPr>
                <w:p w14:paraId="047FB737">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间断性排放</w:t>
                  </w:r>
                </w:p>
              </w:tc>
              <w:tc>
                <w:tcPr>
                  <w:tcW w:w="644" w:type="pct"/>
                  <w:noWrap w:val="0"/>
                  <w:vAlign w:val="center"/>
                </w:tcPr>
                <w:p w14:paraId="46BBA69B">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化粪池</w:t>
                  </w:r>
                </w:p>
              </w:tc>
              <w:tc>
                <w:tcPr>
                  <w:tcW w:w="565" w:type="pct"/>
                  <w:noWrap w:val="0"/>
                  <w:vAlign w:val="center"/>
                </w:tcPr>
                <w:p w14:paraId="4A3ED68A">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厌氧</w:t>
                  </w:r>
                </w:p>
              </w:tc>
              <w:tc>
                <w:tcPr>
                  <w:tcW w:w="518" w:type="pct"/>
                  <w:noWrap w:val="0"/>
                  <w:vAlign w:val="center"/>
                </w:tcPr>
                <w:p w14:paraId="788CE569">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可行</w:t>
                  </w:r>
                </w:p>
              </w:tc>
              <w:tc>
                <w:tcPr>
                  <w:tcW w:w="436" w:type="pct"/>
                  <w:noWrap w:val="0"/>
                  <w:vAlign w:val="center"/>
                </w:tcPr>
                <w:p w14:paraId="5D772E3D">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一般</w:t>
                  </w:r>
                  <w:r>
                    <w:rPr>
                      <w:rFonts w:hint="eastAsia"/>
                      <w:color w:val="auto"/>
                      <w:highlight w:val="none"/>
                    </w:rPr>
                    <w:t>排放口</w:t>
                  </w:r>
                </w:p>
              </w:tc>
            </w:tr>
          </w:tbl>
          <w:p w14:paraId="723E4D8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b/>
                <w:bCs/>
                <w:snapToGrid w:val="0"/>
                <w:color w:val="auto"/>
                <w:sz w:val="21"/>
                <w:szCs w:val="21"/>
                <w:highlight w:val="none"/>
                <w:lang w:val="en-US" w:eastAsia="zh-CN"/>
              </w:rPr>
            </w:pPr>
            <w:r>
              <w:rPr>
                <w:rFonts w:hint="eastAsia" w:ascii="Times New Roman" w:hAnsi="Times New Roman"/>
                <w:b/>
                <w:bCs/>
                <w:color w:val="auto"/>
                <w:sz w:val="21"/>
                <w:szCs w:val="21"/>
                <w:highlight w:val="none"/>
                <w:lang w:val="en-US" w:eastAsia="zh-CN"/>
              </w:rPr>
              <w:t xml:space="preserve">表4-3  </w:t>
            </w:r>
            <w:r>
              <w:rPr>
                <w:rFonts w:hint="eastAsia" w:ascii="Times New Roman" w:hAnsi="Times New Roman"/>
                <w:b/>
                <w:bCs/>
                <w:snapToGrid w:val="0"/>
                <w:color w:val="auto"/>
                <w:sz w:val="21"/>
                <w:szCs w:val="21"/>
                <w:highlight w:val="none"/>
                <w:lang w:val="en-US" w:eastAsia="zh-CN"/>
              </w:rPr>
              <w:t>废水排放口基本情况表</w:t>
            </w:r>
          </w:p>
          <w:tbl>
            <w:tblPr>
              <w:tblStyle w:val="18"/>
              <w:tblW w:w="498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19"/>
              <w:gridCol w:w="752"/>
              <w:gridCol w:w="685"/>
              <w:gridCol w:w="926"/>
              <w:gridCol w:w="850"/>
              <w:gridCol w:w="802"/>
              <w:gridCol w:w="896"/>
              <w:gridCol w:w="1034"/>
              <w:gridCol w:w="900"/>
              <w:gridCol w:w="801"/>
            </w:tblGrid>
            <w:tr w14:paraId="0AA6D8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17" w:type="pct"/>
                  <w:vMerge w:val="restart"/>
                  <w:noWrap w:val="0"/>
                  <w:vAlign w:val="center"/>
                </w:tcPr>
                <w:p w14:paraId="3EB3CF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污染源</w:t>
                  </w:r>
                </w:p>
              </w:tc>
              <w:tc>
                <w:tcPr>
                  <w:tcW w:w="460" w:type="pct"/>
                  <w:vMerge w:val="restart"/>
                  <w:noWrap w:val="0"/>
                  <w:vAlign w:val="center"/>
                </w:tcPr>
                <w:p w14:paraId="1031B1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default"/>
                      <w:b/>
                      <w:bCs w:val="0"/>
                      <w:color w:val="auto"/>
                      <w:kern w:val="24"/>
                      <w:sz w:val="21"/>
                      <w:szCs w:val="21"/>
                      <w:highlight w:val="none"/>
                    </w:rPr>
                    <w:t>污染物</w:t>
                  </w:r>
                </w:p>
              </w:tc>
              <w:tc>
                <w:tcPr>
                  <w:tcW w:w="419" w:type="pct"/>
                  <w:vMerge w:val="restart"/>
                  <w:noWrap w:val="0"/>
                  <w:vAlign w:val="center"/>
                </w:tcPr>
                <w:p w14:paraId="691FB7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
                      <w:bCs w:val="0"/>
                      <w:color w:val="auto"/>
                      <w:kern w:val="24"/>
                      <w:sz w:val="21"/>
                      <w:szCs w:val="21"/>
                      <w:highlight w:val="none"/>
                    </w:rPr>
                  </w:pPr>
                  <w:r>
                    <w:rPr>
                      <w:rFonts w:hint="eastAsia"/>
                      <w:b/>
                      <w:bCs w:val="0"/>
                      <w:color w:val="auto"/>
                      <w:kern w:val="24"/>
                      <w:sz w:val="21"/>
                      <w:szCs w:val="21"/>
                      <w:highlight w:val="none"/>
                    </w:rPr>
                    <w:t>排放方式</w:t>
                  </w:r>
                </w:p>
              </w:tc>
              <w:tc>
                <w:tcPr>
                  <w:tcW w:w="567" w:type="pct"/>
                  <w:vMerge w:val="restart"/>
                  <w:noWrap w:val="0"/>
                  <w:vAlign w:val="center"/>
                </w:tcPr>
                <w:p w14:paraId="01C8A9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
                      <w:bCs w:val="0"/>
                      <w:color w:val="auto"/>
                      <w:kern w:val="24"/>
                      <w:sz w:val="21"/>
                      <w:szCs w:val="21"/>
                      <w:highlight w:val="none"/>
                    </w:rPr>
                  </w:pPr>
                  <w:r>
                    <w:rPr>
                      <w:rFonts w:hint="eastAsia"/>
                      <w:b/>
                      <w:bCs w:val="0"/>
                      <w:color w:val="auto"/>
                      <w:kern w:val="24"/>
                      <w:sz w:val="21"/>
                      <w:szCs w:val="21"/>
                      <w:highlight w:val="none"/>
                    </w:rPr>
                    <w:t>排放去向</w:t>
                  </w:r>
                </w:p>
              </w:tc>
              <w:tc>
                <w:tcPr>
                  <w:tcW w:w="520" w:type="pct"/>
                  <w:vMerge w:val="restart"/>
                  <w:noWrap w:val="0"/>
                  <w:vAlign w:val="center"/>
                </w:tcPr>
                <w:p w14:paraId="5AFF95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排放规律</w:t>
                  </w:r>
                </w:p>
              </w:tc>
              <w:tc>
                <w:tcPr>
                  <w:tcW w:w="2224" w:type="pct"/>
                  <w:gridSpan w:val="4"/>
                  <w:noWrap w:val="0"/>
                  <w:vAlign w:val="center"/>
                </w:tcPr>
                <w:p w14:paraId="1826D9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排放口基本情况</w:t>
                  </w:r>
                </w:p>
              </w:tc>
              <w:tc>
                <w:tcPr>
                  <w:tcW w:w="490" w:type="pct"/>
                  <w:vMerge w:val="restart"/>
                  <w:noWrap w:val="0"/>
                  <w:vAlign w:val="center"/>
                </w:tcPr>
                <w:p w14:paraId="071BAE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
                      <w:bCs w:val="0"/>
                      <w:color w:val="auto"/>
                      <w:kern w:val="24"/>
                      <w:sz w:val="21"/>
                      <w:szCs w:val="21"/>
                      <w:highlight w:val="none"/>
                    </w:rPr>
                  </w:pPr>
                  <w:r>
                    <w:rPr>
                      <w:rFonts w:hint="eastAsia"/>
                      <w:b/>
                      <w:bCs w:val="0"/>
                      <w:color w:val="auto"/>
                      <w:kern w:val="24"/>
                      <w:sz w:val="21"/>
                      <w:szCs w:val="21"/>
                      <w:highlight w:val="none"/>
                    </w:rPr>
                    <w:t>排放</w:t>
                  </w:r>
                </w:p>
                <w:p w14:paraId="128DEC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
                      <w:bCs w:val="0"/>
                      <w:color w:val="auto"/>
                      <w:kern w:val="24"/>
                      <w:sz w:val="21"/>
                      <w:szCs w:val="21"/>
                      <w:highlight w:val="none"/>
                    </w:rPr>
                  </w:pPr>
                  <w:r>
                    <w:rPr>
                      <w:rFonts w:hint="eastAsia"/>
                      <w:b/>
                      <w:bCs w:val="0"/>
                      <w:color w:val="auto"/>
                      <w:kern w:val="24"/>
                      <w:sz w:val="21"/>
                      <w:szCs w:val="21"/>
                      <w:highlight w:val="none"/>
                    </w:rPr>
                    <w:t>标准</w:t>
                  </w:r>
                </w:p>
              </w:tc>
            </w:tr>
            <w:tr w14:paraId="34C5D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17" w:type="pct"/>
                  <w:vMerge w:val="continue"/>
                  <w:noWrap w:val="0"/>
                  <w:vAlign w:val="center"/>
                </w:tcPr>
                <w:p w14:paraId="2FE7D5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p>
              </w:tc>
              <w:tc>
                <w:tcPr>
                  <w:tcW w:w="460" w:type="pct"/>
                  <w:vMerge w:val="continue"/>
                  <w:noWrap w:val="0"/>
                  <w:vAlign w:val="center"/>
                </w:tcPr>
                <w:p w14:paraId="656906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p>
              </w:tc>
              <w:tc>
                <w:tcPr>
                  <w:tcW w:w="419" w:type="pct"/>
                  <w:vMerge w:val="continue"/>
                  <w:noWrap w:val="0"/>
                  <w:vAlign w:val="center"/>
                </w:tcPr>
                <w:p w14:paraId="40B850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p>
              </w:tc>
              <w:tc>
                <w:tcPr>
                  <w:tcW w:w="567" w:type="pct"/>
                  <w:vMerge w:val="continue"/>
                  <w:noWrap w:val="0"/>
                  <w:vAlign w:val="center"/>
                </w:tcPr>
                <w:p w14:paraId="5CC1F9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p>
              </w:tc>
              <w:tc>
                <w:tcPr>
                  <w:tcW w:w="520" w:type="pct"/>
                  <w:vMerge w:val="continue"/>
                  <w:noWrap w:val="0"/>
                  <w:vAlign w:val="center"/>
                </w:tcPr>
                <w:p w14:paraId="47CA89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p>
              </w:tc>
              <w:tc>
                <w:tcPr>
                  <w:tcW w:w="491" w:type="pct"/>
                  <w:noWrap w:val="0"/>
                  <w:vAlign w:val="center"/>
                </w:tcPr>
                <w:p w14:paraId="73A7F9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
                      <w:bCs w:val="0"/>
                      <w:color w:val="auto"/>
                      <w:kern w:val="24"/>
                      <w:sz w:val="21"/>
                      <w:szCs w:val="21"/>
                      <w:highlight w:val="none"/>
                    </w:rPr>
                  </w:pPr>
                  <w:r>
                    <w:rPr>
                      <w:rFonts w:hint="eastAsia"/>
                      <w:b/>
                      <w:bCs w:val="0"/>
                      <w:color w:val="auto"/>
                      <w:kern w:val="24"/>
                      <w:sz w:val="21"/>
                      <w:szCs w:val="21"/>
                      <w:highlight w:val="none"/>
                    </w:rPr>
                    <w:t>编号</w:t>
                  </w:r>
                </w:p>
              </w:tc>
              <w:tc>
                <w:tcPr>
                  <w:tcW w:w="548" w:type="pct"/>
                  <w:noWrap w:val="0"/>
                  <w:vAlign w:val="center"/>
                </w:tcPr>
                <w:p w14:paraId="53EA61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名称</w:t>
                  </w:r>
                </w:p>
              </w:tc>
              <w:tc>
                <w:tcPr>
                  <w:tcW w:w="633" w:type="pct"/>
                  <w:noWrap w:val="0"/>
                  <w:vAlign w:val="center"/>
                </w:tcPr>
                <w:p w14:paraId="73690B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类别</w:t>
                  </w:r>
                </w:p>
              </w:tc>
              <w:tc>
                <w:tcPr>
                  <w:tcW w:w="551" w:type="pct"/>
                  <w:noWrap w:val="0"/>
                  <w:vAlign w:val="center"/>
                </w:tcPr>
                <w:p w14:paraId="3343AE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
                      <w:bCs w:val="0"/>
                      <w:color w:val="auto"/>
                      <w:kern w:val="24"/>
                      <w:sz w:val="21"/>
                      <w:szCs w:val="21"/>
                      <w:highlight w:val="none"/>
                    </w:rPr>
                  </w:pPr>
                  <w:r>
                    <w:rPr>
                      <w:rFonts w:hint="eastAsia"/>
                      <w:b/>
                      <w:bCs w:val="0"/>
                      <w:color w:val="auto"/>
                      <w:kern w:val="24"/>
                      <w:sz w:val="21"/>
                      <w:szCs w:val="21"/>
                      <w:highlight w:val="none"/>
                    </w:rPr>
                    <w:t>坐标</w:t>
                  </w:r>
                </w:p>
              </w:tc>
              <w:tc>
                <w:tcPr>
                  <w:tcW w:w="490" w:type="pct"/>
                  <w:vMerge w:val="continue"/>
                  <w:noWrap w:val="0"/>
                  <w:vAlign w:val="center"/>
                </w:tcPr>
                <w:p w14:paraId="0FDEAC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p>
              </w:tc>
            </w:tr>
            <w:tr w14:paraId="43E9BC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17" w:type="pct"/>
                  <w:noWrap w:val="0"/>
                  <w:vAlign w:val="center"/>
                </w:tcPr>
                <w:p w14:paraId="0E1770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r>
                    <w:rPr>
                      <w:rFonts w:hint="eastAsia"/>
                      <w:bCs/>
                      <w:color w:val="auto"/>
                      <w:kern w:val="24"/>
                      <w:sz w:val="21"/>
                      <w:szCs w:val="21"/>
                      <w:highlight w:val="none"/>
                      <w:lang w:val="en-US" w:eastAsia="zh-CN"/>
                    </w:rPr>
                    <w:t>实验</w:t>
                  </w:r>
                  <w:r>
                    <w:rPr>
                      <w:rFonts w:hint="eastAsia"/>
                      <w:bCs/>
                      <w:color w:val="auto"/>
                      <w:kern w:val="24"/>
                      <w:sz w:val="21"/>
                      <w:szCs w:val="21"/>
                      <w:highlight w:val="none"/>
                    </w:rPr>
                    <w:t>废水</w:t>
                  </w:r>
                </w:p>
              </w:tc>
              <w:tc>
                <w:tcPr>
                  <w:tcW w:w="460" w:type="pct"/>
                  <w:noWrap w:val="0"/>
                  <w:vAlign w:val="center"/>
                </w:tcPr>
                <w:p w14:paraId="114FAA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val="0"/>
                      <w:color w:val="auto"/>
                      <w:kern w:val="24"/>
                      <w:sz w:val="21"/>
                      <w:szCs w:val="21"/>
                      <w:highlight w:val="none"/>
                    </w:rPr>
                  </w:pPr>
                  <w:r>
                    <w:rPr>
                      <w:rFonts w:hint="eastAsia"/>
                      <w:color w:val="auto"/>
                      <w:sz w:val="21"/>
                      <w:szCs w:val="21"/>
                      <w:highlight w:val="none"/>
                    </w:rPr>
                    <w:t>pH、</w:t>
                  </w:r>
                  <w:r>
                    <w:rPr>
                      <w:rFonts w:hint="default"/>
                      <w:color w:val="auto"/>
                      <w:sz w:val="21"/>
                      <w:szCs w:val="21"/>
                      <w:highlight w:val="none"/>
                    </w:rPr>
                    <w:t>COD、</w:t>
                  </w:r>
                  <w:r>
                    <w:rPr>
                      <w:rFonts w:hint="eastAsia"/>
                      <w:color w:val="auto"/>
                      <w:sz w:val="21"/>
                      <w:szCs w:val="21"/>
                      <w:highlight w:val="none"/>
                    </w:rPr>
                    <w:t>BOD</w:t>
                  </w:r>
                  <w:r>
                    <w:rPr>
                      <w:rFonts w:hint="eastAsia"/>
                      <w:color w:val="auto"/>
                      <w:sz w:val="21"/>
                      <w:szCs w:val="21"/>
                      <w:highlight w:val="none"/>
                      <w:vertAlign w:val="subscript"/>
                    </w:rPr>
                    <w:t>5</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-N、SS</w:t>
                  </w:r>
                  <w:r>
                    <w:rPr>
                      <w:rFonts w:hint="eastAsia"/>
                      <w:color w:val="auto"/>
                      <w:sz w:val="21"/>
                      <w:szCs w:val="21"/>
                      <w:highlight w:val="none"/>
                      <w:lang w:eastAsia="zh-CN"/>
                    </w:rPr>
                    <w:t>、</w:t>
                  </w:r>
                  <w:r>
                    <w:rPr>
                      <w:rFonts w:hint="eastAsia"/>
                      <w:color w:val="auto"/>
                      <w:sz w:val="21"/>
                      <w:szCs w:val="21"/>
                      <w:highlight w:val="none"/>
                      <w:lang w:val="en-US" w:eastAsia="zh-CN"/>
                    </w:rPr>
                    <w:t>TP</w:t>
                  </w:r>
                </w:p>
              </w:tc>
              <w:tc>
                <w:tcPr>
                  <w:tcW w:w="419" w:type="pct"/>
                  <w:noWrap w:val="0"/>
                  <w:vAlign w:val="center"/>
                </w:tcPr>
                <w:p w14:paraId="687E868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r>
                    <w:rPr>
                      <w:rFonts w:hint="eastAsia"/>
                      <w:bCs/>
                      <w:color w:val="auto"/>
                      <w:kern w:val="24"/>
                      <w:sz w:val="21"/>
                      <w:szCs w:val="21"/>
                      <w:highlight w:val="none"/>
                    </w:rPr>
                    <w:t>间接</w:t>
                  </w:r>
                </w:p>
                <w:p w14:paraId="1C671A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r>
                    <w:rPr>
                      <w:rFonts w:hint="eastAsia"/>
                      <w:bCs/>
                      <w:color w:val="auto"/>
                      <w:kern w:val="24"/>
                      <w:sz w:val="21"/>
                      <w:szCs w:val="21"/>
                      <w:highlight w:val="none"/>
                    </w:rPr>
                    <w:t>排放</w:t>
                  </w:r>
                </w:p>
              </w:tc>
              <w:tc>
                <w:tcPr>
                  <w:tcW w:w="567" w:type="pct"/>
                  <w:noWrap w:val="0"/>
                  <w:vAlign w:val="center"/>
                </w:tcPr>
                <w:p w14:paraId="0189E6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r>
                    <w:rPr>
                      <w:rFonts w:hint="eastAsia"/>
                      <w:color w:val="auto"/>
                      <w:sz w:val="21"/>
                      <w:szCs w:val="21"/>
                      <w:highlight w:val="none"/>
                      <w:lang w:val="en-US" w:eastAsia="zh-CN"/>
                    </w:rPr>
                    <w:t>经污水处理装置预处理后接管山南新区</w:t>
                  </w:r>
                  <w:r>
                    <w:rPr>
                      <w:rFonts w:hint="eastAsia"/>
                      <w:color w:val="auto"/>
                      <w:sz w:val="21"/>
                      <w:szCs w:val="21"/>
                      <w:highlight w:val="none"/>
                    </w:rPr>
                    <w:t>污水处理厂</w:t>
                  </w:r>
                </w:p>
              </w:tc>
              <w:tc>
                <w:tcPr>
                  <w:tcW w:w="520" w:type="pct"/>
                  <w:noWrap w:val="0"/>
                  <w:vAlign w:val="center"/>
                </w:tcPr>
                <w:p w14:paraId="4F6336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r>
                    <w:rPr>
                      <w:rFonts w:hint="eastAsia"/>
                      <w:bCs/>
                      <w:color w:val="auto"/>
                      <w:kern w:val="24"/>
                      <w:sz w:val="21"/>
                      <w:szCs w:val="21"/>
                      <w:highlight w:val="none"/>
                    </w:rPr>
                    <w:t>废水间断排放，排放期间流量不稳定，但有周期性规律</w:t>
                  </w:r>
                </w:p>
              </w:tc>
              <w:tc>
                <w:tcPr>
                  <w:tcW w:w="491" w:type="pct"/>
                  <w:noWrap w:val="0"/>
                  <w:vAlign w:val="center"/>
                </w:tcPr>
                <w:p w14:paraId="5C94F1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r>
                    <w:rPr>
                      <w:rFonts w:hint="eastAsia"/>
                      <w:bCs/>
                      <w:color w:val="auto"/>
                      <w:kern w:val="24"/>
                      <w:sz w:val="21"/>
                      <w:szCs w:val="21"/>
                      <w:highlight w:val="none"/>
                    </w:rPr>
                    <w:t>DW</w:t>
                  </w:r>
                  <w:r>
                    <w:rPr>
                      <w:rFonts w:hint="default"/>
                      <w:bCs/>
                      <w:color w:val="auto"/>
                      <w:kern w:val="24"/>
                      <w:sz w:val="21"/>
                      <w:szCs w:val="21"/>
                      <w:highlight w:val="none"/>
                    </w:rPr>
                    <w:t>001</w:t>
                  </w:r>
                </w:p>
              </w:tc>
              <w:tc>
                <w:tcPr>
                  <w:tcW w:w="548" w:type="pct"/>
                  <w:noWrap w:val="0"/>
                  <w:vAlign w:val="center"/>
                </w:tcPr>
                <w:p w14:paraId="46B8AB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r>
                    <w:rPr>
                      <w:rFonts w:hint="eastAsia"/>
                      <w:color w:val="auto"/>
                      <w:kern w:val="0"/>
                      <w:sz w:val="21"/>
                      <w:szCs w:val="21"/>
                      <w:highlight w:val="none"/>
                    </w:rPr>
                    <w:t>污水总排口</w:t>
                  </w:r>
                </w:p>
              </w:tc>
              <w:tc>
                <w:tcPr>
                  <w:tcW w:w="633" w:type="pct"/>
                  <w:noWrap w:val="0"/>
                  <w:vAlign w:val="center"/>
                </w:tcPr>
                <w:p w14:paraId="5E2BCC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bCs/>
                      <w:color w:val="auto"/>
                      <w:kern w:val="24"/>
                      <w:sz w:val="21"/>
                      <w:szCs w:val="21"/>
                      <w:highlight w:val="none"/>
                    </w:rPr>
                  </w:pPr>
                  <w:r>
                    <w:rPr>
                      <w:rFonts w:hint="eastAsia"/>
                      <w:bCs/>
                      <w:color w:val="auto"/>
                      <w:kern w:val="24"/>
                      <w:sz w:val="21"/>
                      <w:szCs w:val="21"/>
                      <w:highlight w:val="none"/>
                    </w:rPr>
                    <w:t>一般排放口</w:t>
                  </w:r>
                </w:p>
              </w:tc>
              <w:tc>
                <w:tcPr>
                  <w:tcW w:w="551" w:type="pct"/>
                  <w:noWrap w:val="0"/>
                  <w:vAlign w:val="center"/>
                </w:tcPr>
                <w:p w14:paraId="530024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bCs/>
                      <w:color w:val="auto"/>
                      <w:kern w:val="24"/>
                      <w:sz w:val="21"/>
                      <w:szCs w:val="21"/>
                      <w:highlight w:val="none"/>
                      <w:lang w:val="en-US" w:eastAsia="zh-CN"/>
                    </w:rPr>
                  </w:pPr>
                  <w:r>
                    <w:rPr>
                      <w:rFonts w:hint="eastAsia"/>
                      <w:bCs/>
                      <w:color w:val="auto"/>
                      <w:kern w:val="24"/>
                      <w:sz w:val="21"/>
                      <w:szCs w:val="21"/>
                      <w:highlight w:val="none"/>
                    </w:rPr>
                    <w:t>东经116.</w:t>
                  </w:r>
                  <w:r>
                    <w:rPr>
                      <w:rFonts w:hint="eastAsia"/>
                      <w:bCs/>
                      <w:color w:val="auto"/>
                      <w:kern w:val="24"/>
                      <w:sz w:val="21"/>
                      <w:szCs w:val="21"/>
                      <w:highlight w:val="none"/>
                      <w:lang w:val="en-US" w:eastAsia="zh-CN"/>
                    </w:rPr>
                    <w:t>911228</w:t>
                  </w:r>
                  <w:r>
                    <w:rPr>
                      <w:rFonts w:hint="eastAsia"/>
                      <w:bCs/>
                      <w:color w:val="auto"/>
                      <w:kern w:val="24"/>
                      <w:sz w:val="21"/>
                      <w:szCs w:val="21"/>
                      <w:highlight w:val="none"/>
                    </w:rPr>
                    <w:t>北纬32.</w:t>
                  </w:r>
                  <w:r>
                    <w:rPr>
                      <w:rFonts w:hint="eastAsia"/>
                      <w:bCs/>
                      <w:color w:val="auto"/>
                      <w:kern w:val="24"/>
                      <w:sz w:val="21"/>
                      <w:szCs w:val="21"/>
                      <w:highlight w:val="none"/>
                      <w:lang w:val="en-US" w:eastAsia="zh-CN"/>
                    </w:rPr>
                    <w:t>562747</w:t>
                  </w:r>
                </w:p>
              </w:tc>
              <w:tc>
                <w:tcPr>
                  <w:tcW w:w="490" w:type="pct"/>
                  <w:vMerge w:val="restart"/>
                  <w:noWrap w:val="0"/>
                  <w:vAlign w:val="center"/>
                </w:tcPr>
                <w:p w14:paraId="1C82E0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r>
                    <w:rPr>
                      <w:rFonts w:hint="eastAsia"/>
                      <w:color w:val="auto"/>
                      <w:sz w:val="21"/>
                      <w:szCs w:val="21"/>
                      <w:highlight w:val="none"/>
                    </w:rPr>
                    <w:t>（GB8978-1996）中三级标准及</w:t>
                  </w:r>
                  <w:r>
                    <w:rPr>
                      <w:rFonts w:hint="eastAsia"/>
                      <w:color w:val="auto"/>
                      <w:sz w:val="21"/>
                      <w:szCs w:val="21"/>
                      <w:highlight w:val="none"/>
                      <w:lang w:val="en-US" w:eastAsia="zh-CN"/>
                    </w:rPr>
                    <w:t>山南新区</w:t>
                  </w:r>
                  <w:r>
                    <w:rPr>
                      <w:rFonts w:hint="eastAsia"/>
                      <w:color w:val="auto"/>
                      <w:sz w:val="21"/>
                      <w:szCs w:val="21"/>
                      <w:highlight w:val="none"/>
                    </w:rPr>
                    <w:t>污水处理厂</w:t>
                  </w:r>
                  <w:r>
                    <w:rPr>
                      <w:rFonts w:hint="eastAsia"/>
                      <w:color w:val="auto"/>
                      <w:sz w:val="21"/>
                      <w:szCs w:val="21"/>
                      <w:highlight w:val="none"/>
                      <w:lang w:val="en-US" w:eastAsia="zh-CN"/>
                    </w:rPr>
                    <w:t>接管标准</w:t>
                  </w:r>
                </w:p>
              </w:tc>
            </w:tr>
            <w:tr w14:paraId="7A82D6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317" w:type="pct"/>
                  <w:noWrap w:val="0"/>
                  <w:vAlign w:val="center"/>
                </w:tcPr>
                <w:p w14:paraId="6416DB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kern w:val="0"/>
                      <w:sz w:val="21"/>
                      <w:szCs w:val="21"/>
                      <w:highlight w:val="none"/>
                    </w:rPr>
                  </w:pPr>
                  <w:r>
                    <w:rPr>
                      <w:rFonts w:hint="eastAsia"/>
                      <w:color w:val="auto"/>
                      <w:kern w:val="0"/>
                      <w:sz w:val="21"/>
                      <w:szCs w:val="21"/>
                      <w:highlight w:val="none"/>
                    </w:rPr>
                    <w:t>生活污水</w:t>
                  </w:r>
                </w:p>
              </w:tc>
              <w:tc>
                <w:tcPr>
                  <w:tcW w:w="460" w:type="pct"/>
                  <w:tcBorders>
                    <w:bottom w:val="single" w:color="auto" w:sz="2" w:space="0"/>
                  </w:tcBorders>
                  <w:noWrap w:val="0"/>
                  <w:vAlign w:val="center"/>
                </w:tcPr>
                <w:p w14:paraId="7C85B4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val="0"/>
                      <w:color w:val="auto"/>
                      <w:kern w:val="24"/>
                      <w:sz w:val="21"/>
                      <w:szCs w:val="21"/>
                      <w:highlight w:val="none"/>
                    </w:rPr>
                  </w:pPr>
                  <w:r>
                    <w:rPr>
                      <w:rFonts w:hint="eastAsia"/>
                      <w:color w:val="auto"/>
                      <w:sz w:val="21"/>
                      <w:szCs w:val="21"/>
                      <w:highlight w:val="none"/>
                    </w:rPr>
                    <w:t>pH、</w:t>
                  </w:r>
                  <w:r>
                    <w:rPr>
                      <w:rFonts w:hint="default"/>
                      <w:color w:val="auto"/>
                      <w:sz w:val="21"/>
                      <w:szCs w:val="21"/>
                      <w:highlight w:val="none"/>
                    </w:rPr>
                    <w:t>COD、</w:t>
                  </w:r>
                  <w:r>
                    <w:rPr>
                      <w:rFonts w:hint="eastAsia"/>
                      <w:color w:val="auto"/>
                      <w:sz w:val="21"/>
                      <w:szCs w:val="21"/>
                      <w:highlight w:val="none"/>
                    </w:rPr>
                    <w:t>BOD</w:t>
                  </w:r>
                  <w:r>
                    <w:rPr>
                      <w:rFonts w:hint="eastAsia"/>
                      <w:color w:val="auto"/>
                      <w:sz w:val="21"/>
                      <w:szCs w:val="21"/>
                      <w:highlight w:val="none"/>
                      <w:vertAlign w:val="subscript"/>
                    </w:rPr>
                    <w:t>5</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-N、SS</w:t>
                  </w:r>
                  <w:r>
                    <w:rPr>
                      <w:rFonts w:hint="eastAsia"/>
                      <w:color w:val="auto"/>
                      <w:sz w:val="21"/>
                      <w:szCs w:val="21"/>
                      <w:highlight w:val="none"/>
                      <w:lang w:eastAsia="zh-CN"/>
                    </w:rPr>
                    <w:t>、</w:t>
                  </w:r>
                  <w:r>
                    <w:rPr>
                      <w:rFonts w:hint="eastAsia"/>
                      <w:color w:val="auto"/>
                      <w:sz w:val="21"/>
                      <w:szCs w:val="21"/>
                      <w:highlight w:val="none"/>
                      <w:lang w:val="en-US" w:eastAsia="zh-CN"/>
                    </w:rPr>
                    <w:t>TP</w:t>
                  </w:r>
                </w:p>
              </w:tc>
              <w:tc>
                <w:tcPr>
                  <w:tcW w:w="419" w:type="pct"/>
                  <w:noWrap w:val="0"/>
                  <w:vAlign w:val="center"/>
                </w:tcPr>
                <w:p w14:paraId="14237F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bCs/>
                      <w:color w:val="auto"/>
                      <w:kern w:val="24"/>
                      <w:sz w:val="21"/>
                      <w:szCs w:val="21"/>
                      <w:highlight w:val="none"/>
                    </w:rPr>
                  </w:pPr>
                  <w:r>
                    <w:rPr>
                      <w:rFonts w:hint="eastAsia"/>
                      <w:bCs/>
                      <w:color w:val="auto"/>
                      <w:kern w:val="24"/>
                      <w:sz w:val="21"/>
                      <w:szCs w:val="21"/>
                      <w:highlight w:val="none"/>
                    </w:rPr>
                    <w:t>间接</w:t>
                  </w:r>
                </w:p>
                <w:p w14:paraId="1915B2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kern w:val="0"/>
                      <w:sz w:val="21"/>
                      <w:szCs w:val="21"/>
                      <w:highlight w:val="none"/>
                    </w:rPr>
                  </w:pPr>
                  <w:r>
                    <w:rPr>
                      <w:rFonts w:hint="eastAsia"/>
                      <w:bCs/>
                      <w:color w:val="auto"/>
                      <w:kern w:val="24"/>
                      <w:sz w:val="21"/>
                      <w:szCs w:val="21"/>
                      <w:highlight w:val="none"/>
                    </w:rPr>
                    <w:t>排放</w:t>
                  </w:r>
                </w:p>
              </w:tc>
              <w:tc>
                <w:tcPr>
                  <w:tcW w:w="567" w:type="pct"/>
                  <w:noWrap w:val="0"/>
                  <w:vAlign w:val="center"/>
                </w:tcPr>
                <w:p w14:paraId="5B1EFD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kern w:val="0"/>
                      <w:sz w:val="21"/>
                      <w:szCs w:val="21"/>
                      <w:highlight w:val="none"/>
                      <w:lang w:val="en-US" w:eastAsia="zh-CN"/>
                    </w:rPr>
                  </w:pPr>
                  <w:r>
                    <w:rPr>
                      <w:rFonts w:hint="eastAsia"/>
                      <w:color w:val="auto"/>
                      <w:sz w:val="21"/>
                      <w:szCs w:val="21"/>
                      <w:highlight w:val="none"/>
                    </w:rPr>
                    <w:t>生活污水</w:t>
                  </w:r>
                  <w:r>
                    <w:rPr>
                      <w:rFonts w:hint="eastAsia"/>
                      <w:color w:val="auto"/>
                      <w:sz w:val="21"/>
                      <w:szCs w:val="21"/>
                      <w:highlight w:val="none"/>
                      <w:lang w:eastAsia="zh-CN"/>
                    </w:rPr>
                    <w:t>、</w:t>
                  </w:r>
                  <w:r>
                    <w:rPr>
                      <w:rFonts w:hint="eastAsia"/>
                      <w:color w:val="auto"/>
                      <w:sz w:val="21"/>
                      <w:szCs w:val="21"/>
                      <w:highlight w:val="none"/>
                      <w:lang w:val="en-US" w:eastAsia="zh-CN"/>
                    </w:rPr>
                    <w:t>保洁废水</w:t>
                  </w:r>
                  <w:r>
                    <w:rPr>
                      <w:rFonts w:hint="eastAsia"/>
                      <w:color w:val="auto"/>
                      <w:sz w:val="21"/>
                      <w:szCs w:val="21"/>
                      <w:highlight w:val="none"/>
                    </w:rPr>
                    <w:t>管线进入园区化粪池预处理后</w:t>
                  </w:r>
                  <w:r>
                    <w:rPr>
                      <w:rFonts w:hint="eastAsia"/>
                      <w:color w:val="auto"/>
                      <w:sz w:val="21"/>
                      <w:szCs w:val="21"/>
                      <w:highlight w:val="none"/>
                      <w:lang w:val="en-US" w:eastAsia="zh-CN"/>
                    </w:rPr>
                    <w:t>山南新区</w:t>
                  </w:r>
                  <w:r>
                    <w:rPr>
                      <w:rFonts w:hint="eastAsia"/>
                      <w:color w:val="auto"/>
                      <w:sz w:val="21"/>
                      <w:szCs w:val="21"/>
                      <w:highlight w:val="none"/>
                    </w:rPr>
                    <w:t>污水处理厂</w:t>
                  </w:r>
                  <w:r>
                    <w:rPr>
                      <w:rFonts w:hint="eastAsia"/>
                      <w:color w:val="auto"/>
                      <w:sz w:val="21"/>
                      <w:szCs w:val="21"/>
                      <w:highlight w:val="none"/>
                      <w:lang w:eastAsia="zh-CN"/>
                    </w:rPr>
                    <w:t>，</w:t>
                  </w:r>
                  <w:r>
                    <w:rPr>
                      <w:rFonts w:hint="eastAsia"/>
                      <w:color w:val="auto"/>
                      <w:sz w:val="21"/>
                      <w:szCs w:val="21"/>
                      <w:highlight w:val="none"/>
                      <w:lang w:val="en-US" w:eastAsia="zh-CN"/>
                    </w:rPr>
                    <w:t>反冲洗废水、浓水直接接管山南新区</w:t>
                  </w:r>
                  <w:r>
                    <w:rPr>
                      <w:rFonts w:hint="eastAsia"/>
                      <w:color w:val="auto"/>
                      <w:sz w:val="21"/>
                      <w:szCs w:val="21"/>
                      <w:highlight w:val="none"/>
                    </w:rPr>
                    <w:t>污水处理厂</w:t>
                  </w:r>
                </w:p>
              </w:tc>
              <w:tc>
                <w:tcPr>
                  <w:tcW w:w="520" w:type="pct"/>
                  <w:noWrap w:val="0"/>
                  <w:vAlign w:val="center"/>
                </w:tcPr>
                <w:p w14:paraId="4375BA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kern w:val="0"/>
                      <w:sz w:val="21"/>
                      <w:szCs w:val="21"/>
                      <w:highlight w:val="none"/>
                    </w:rPr>
                  </w:pPr>
                  <w:r>
                    <w:rPr>
                      <w:rFonts w:hint="eastAsia"/>
                      <w:bCs/>
                      <w:color w:val="auto"/>
                      <w:kern w:val="24"/>
                      <w:sz w:val="21"/>
                      <w:szCs w:val="21"/>
                      <w:highlight w:val="none"/>
                    </w:rPr>
                    <w:t>废水间断排放，排放期间流量不稳定，但有周期性规律</w:t>
                  </w:r>
                </w:p>
              </w:tc>
              <w:tc>
                <w:tcPr>
                  <w:tcW w:w="491" w:type="pct"/>
                  <w:noWrap w:val="0"/>
                  <w:vAlign w:val="center"/>
                </w:tcPr>
                <w:p w14:paraId="6D541D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kern w:val="0"/>
                      <w:sz w:val="21"/>
                      <w:szCs w:val="21"/>
                      <w:highlight w:val="none"/>
                    </w:rPr>
                  </w:pPr>
                  <w:r>
                    <w:rPr>
                      <w:rFonts w:hint="eastAsia"/>
                      <w:color w:val="auto"/>
                      <w:kern w:val="0"/>
                      <w:sz w:val="21"/>
                      <w:szCs w:val="21"/>
                      <w:highlight w:val="none"/>
                    </w:rPr>
                    <w:t>/</w:t>
                  </w:r>
                </w:p>
              </w:tc>
              <w:tc>
                <w:tcPr>
                  <w:tcW w:w="548" w:type="pct"/>
                  <w:noWrap w:val="0"/>
                  <w:vAlign w:val="center"/>
                </w:tcPr>
                <w:p w14:paraId="5A4F10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default"/>
                      <w:color w:val="auto"/>
                      <w:kern w:val="0"/>
                      <w:sz w:val="21"/>
                      <w:szCs w:val="21"/>
                      <w:highlight w:val="none"/>
                    </w:rPr>
                  </w:pPr>
                  <w:r>
                    <w:rPr>
                      <w:rFonts w:hint="eastAsia"/>
                      <w:color w:val="auto"/>
                      <w:kern w:val="0"/>
                      <w:sz w:val="21"/>
                      <w:szCs w:val="21"/>
                      <w:highlight w:val="none"/>
                    </w:rPr>
                    <w:t>污水总排口</w:t>
                  </w:r>
                </w:p>
              </w:tc>
              <w:tc>
                <w:tcPr>
                  <w:tcW w:w="633" w:type="pct"/>
                  <w:noWrap w:val="0"/>
                  <w:vAlign w:val="center"/>
                </w:tcPr>
                <w:p w14:paraId="563738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kern w:val="0"/>
                      <w:sz w:val="21"/>
                      <w:szCs w:val="21"/>
                      <w:highlight w:val="none"/>
                    </w:rPr>
                  </w:pPr>
                  <w:r>
                    <w:rPr>
                      <w:rFonts w:hint="eastAsia"/>
                      <w:color w:val="auto"/>
                      <w:kern w:val="0"/>
                      <w:sz w:val="21"/>
                      <w:szCs w:val="21"/>
                      <w:highlight w:val="none"/>
                    </w:rPr>
                    <w:t>/</w:t>
                  </w:r>
                </w:p>
              </w:tc>
              <w:tc>
                <w:tcPr>
                  <w:tcW w:w="551" w:type="pct"/>
                  <w:noWrap w:val="0"/>
                  <w:vAlign w:val="center"/>
                </w:tcPr>
                <w:p w14:paraId="2A8E47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kern w:val="0"/>
                      <w:sz w:val="21"/>
                      <w:szCs w:val="21"/>
                      <w:highlight w:val="none"/>
                    </w:rPr>
                  </w:pPr>
                  <w:r>
                    <w:rPr>
                      <w:rFonts w:hint="eastAsia"/>
                      <w:color w:val="auto"/>
                      <w:kern w:val="0"/>
                      <w:sz w:val="21"/>
                      <w:szCs w:val="21"/>
                      <w:highlight w:val="none"/>
                    </w:rPr>
                    <w:t>/</w:t>
                  </w:r>
                </w:p>
              </w:tc>
              <w:tc>
                <w:tcPr>
                  <w:tcW w:w="490" w:type="pct"/>
                  <w:vMerge w:val="continue"/>
                  <w:noWrap w:val="0"/>
                  <w:vAlign w:val="center"/>
                </w:tcPr>
                <w:p w14:paraId="1E0961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tLeast"/>
                    <w:ind w:left="0" w:right="0" w:firstLine="0" w:firstLineChars="0"/>
                    <w:jc w:val="center"/>
                    <w:textAlignment w:val="auto"/>
                    <w:rPr>
                      <w:rFonts w:hint="eastAsia"/>
                      <w:color w:val="auto"/>
                      <w:kern w:val="0"/>
                      <w:sz w:val="21"/>
                      <w:szCs w:val="21"/>
                      <w:highlight w:val="none"/>
                    </w:rPr>
                  </w:pPr>
                </w:p>
              </w:tc>
            </w:tr>
          </w:tbl>
          <w:p w14:paraId="0ECC1D4C">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本项目产生的废水为生活污水</w:t>
            </w:r>
            <w:r>
              <w:rPr>
                <w:rFonts w:hint="eastAsia"/>
                <w:color w:val="auto"/>
                <w:highlight w:val="none"/>
                <w:lang w:val="en-US" w:eastAsia="zh-CN"/>
              </w:rPr>
              <w:t>及实验室废水、纯水制备产生浓水、反冲洗废水等</w:t>
            </w:r>
            <w:r>
              <w:rPr>
                <w:rFonts w:hint="eastAsia"/>
                <w:color w:val="auto"/>
                <w:highlight w:val="none"/>
              </w:rPr>
              <w:t>，</w:t>
            </w:r>
            <w:r>
              <w:rPr>
                <w:rFonts w:hint="eastAsia"/>
                <w:color w:val="0000FF"/>
                <w:highlight w:val="none"/>
                <w:lang w:val="en-US" w:eastAsia="zh-CN"/>
              </w:rPr>
              <w:t>生活污水、保洁废水经管道进入化粪池预处理接管山南新区污水处理厂，</w:t>
            </w:r>
            <w:r>
              <w:rPr>
                <w:rFonts w:hint="eastAsia"/>
                <w:color w:val="auto"/>
                <w:highlight w:val="none"/>
                <w:lang w:val="en-US" w:eastAsia="zh-CN"/>
              </w:rPr>
              <w:t>纯水制备产生浓水、反冲洗废水经直接接管园区污水管网，</w:t>
            </w:r>
            <w:r>
              <w:rPr>
                <w:rFonts w:hint="eastAsia"/>
                <w:color w:val="0000FF"/>
                <w:highlight w:val="none"/>
                <w:lang w:val="en-US" w:eastAsia="zh-CN"/>
              </w:rPr>
              <w:t>实验室废水、喷淋废水经污水管网进入企业自建污水处理设施，处理达标接管山南新区污水处理厂，</w:t>
            </w:r>
            <w:r>
              <w:rPr>
                <w:rFonts w:hint="eastAsia"/>
                <w:color w:val="auto"/>
                <w:highlight w:val="none"/>
                <w:lang w:val="en-US" w:eastAsia="zh-CN"/>
              </w:rPr>
              <w:t>出水达《城镇污水处理厂污染物排放标准》（GB18918-2002）表1中一级A标准，尾水</w:t>
            </w:r>
            <w:r>
              <w:rPr>
                <w:rFonts w:hint="eastAsia" w:cs="Times New Roman"/>
                <w:color w:val="auto"/>
                <w:highlight w:val="none"/>
                <w:lang w:val="en-US" w:eastAsia="zh-CN"/>
              </w:rPr>
              <w:t>排入高塘湖</w:t>
            </w:r>
            <w:r>
              <w:rPr>
                <w:rFonts w:hint="eastAsia"/>
                <w:color w:val="auto"/>
                <w:highlight w:val="none"/>
              </w:rPr>
              <w:t>。</w:t>
            </w:r>
          </w:p>
          <w:p w14:paraId="2B7AAA33">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（4）</w:t>
            </w:r>
            <w:r>
              <w:rPr>
                <w:rFonts w:hint="eastAsia"/>
                <w:b/>
                <w:bCs/>
                <w:color w:val="auto"/>
                <w:highlight w:val="none"/>
                <w:lang w:val="en-US" w:eastAsia="zh-CN"/>
              </w:rPr>
              <w:t>废水</w:t>
            </w:r>
            <w:r>
              <w:rPr>
                <w:rFonts w:hint="default"/>
                <w:b/>
                <w:bCs/>
                <w:color w:val="auto"/>
                <w:highlight w:val="none"/>
              </w:rPr>
              <w:t>处理依托</w:t>
            </w:r>
            <w:r>
              <w:rPr>
                <w:rFonts w:hint="eastAsia"/>
                <w:b/>
                <w:bCs/>
                <w:color w:val="auto"/>
                <w:highlight w:val="none"/>
                <w:lang w:val="en-US" w:eastAsia="zh-CN"/>
              </w:rPr>
              <w:t>山南新区</w:t>
            </w:r>
            <w:r>
              <w:rPr>
                <w:rFonts w:hint="eastAsia"/>
                <w:b/>
                <w:bCs/>
                <w:color w:val="auto"/>
                <w:highlight w:val="none"/>
              </w:rPr>
              <w:t>污水处理厂处理</w:t>
            </w:r>
            <w:r>
              <w:rPr>
                <w:rFonts w:hint="default"/>
                <w:b/>
                <w:bCs/>
                <w:color w:val="auto"/>
                <w:highlight w:val="none"/>
              </w:rPr>
              <w:t>可行性</w:t>
            </w:r>
            <w:r>
              <w:rPr>
                <w:rFonts w:hint="eastAsia"/>
                <w:b/>
                <w:bCs/>
                <w:color w:val="auto"/>
                <w:highlight w:val="none"/>
              </w:rPr>
              <w:t>分析</w:t>
            </w:r>
          </w:p>
          <w:p w14:paraId="7B9033C8">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1）</w:t>
            </w:r>
            <w:r>
              <w:rPr>
                <w:rFonts w:hint="eastAsia"/>
                <w:b/>
                <w:bCs/>
                <w:color w:val="auto"/>
                <w:highlight w:val="none"/>
                <w:lang w:val="en-US" w:eastAsia="zh-CN"/>
              </w:rPr>
              <w:t>山南新区</w:t>
            </w:r>
            <w:r>
              <w:rPr>
                <w:rFonts w:hint="eastAsia"/>
                <w:b/>
                <w:bCs/>
                <w:color w:val="auto"/>
                <w:highlight w:val="none"/>
              </w:rPr>
              <w:t>污水处理厂</w:t>
            </w:r>
            <w:r>
              <w:rPr>
                <w:rFonts w:hint="default"/>
                <w:b/>
                <w:bCs/>
                <w:color w:val="auto"/>
                <w:highlight w:val="none"/>
              </w:rPr>
              <w:t>简述</w:t>
            </w:r>
          </w:p>
          <w:p w14:paraId="0A6A0F80">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default"/>
                <w:color w:val="auto"/>
                <w:highlight w:val="none"/>
              </w:rPr>
              <w:t>本项目污水排入</w:t>
            </w:r>
            <w:r>
              <w:rPr>
                <w:rFonts w:hint="default"/>
                <w:color w:val="auto"/>
                <w:highlight w:val="none"/>
                <w:lang w:val="en-US" w:eastAsia="zh-CN"/>
              </w:rPr>
              <w:t>山南新区</w:t>
            </w:r>
            <w:r>
              <w:rPr>
                <w:rFonts w:hint="default"/>
                <w:color w:val="auto"/>
                <w:highlight w:val="none"/>
              </w:rPr>
              <w:t>污水处理厂进行处理，经处理达到《城镇污水处理厂污染物排放标准》</w:t>
            </w:r>
            <w:r>
              <w:rPr>
                <w:rFonts w:hint="eastAsia"/>
                <w:color w:val="auto"/>
                <w:highlight w:val="none"/>
                <w:lang w:eastAsia="zh-CN"/>
              </w:rPr>
              <w:t>（</w:t>
            </w:r>
            <w:r>
              <w:rPr>
                <w:rFonts w:hint="default"/>
                <w:color w:val="auto"/>
                <w:highlight w:val="none"/>
              </w:rPr>
              <w:t>GB18918-2002</w:t>
            </w:r>
            <w:r>
              <w:rPr>
                <w:rFonts w:hint="eastAsia"/>
                <w:color w:val="auto"/>
                <w:highlight w:val="none"/>
                <w:lang w:eastAsia="zh-CN"/>
              </w:rPr>
              <w:t>）</w:t>
            </w:r>
            <w:r>
              <w:rPr>
                <w:rFonts w:hint="default"/>
                <w:color w:val="auto"/>
                <w:highlight w:val="none"/>
              </w:rPr>
              <w:t>中一级A标准排入尾水排入</w:t>
            </w:r>
            <w:r>
              <w:rPr>
                <w:rFonts w:hint="eastAsia"/>
                <w:color w:val="auto"/>
                <w:highlight w:val="none"/>
                <w:lang w:val="en-US" w:eastAsia="zh-CN"/>
              </w:rPr>
              <w:t>淮河</w:t>
            </w:r>
            <w:r>
              <w:rPr>
                <w:rFonts w:hint="default"/>
                <w:color w:val="auto"/>
                <w:highlight w:val="none"/>
              </w:rPr>
              <w:t>。</w:t>
            </w:r>
          </w:p>
          <w:p w14:paraId="670F9BC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default"/>
                <w:color w:val="auto"/>
                <w:highlight w:val="none"/>
              </w:rPr>
            </w:pPr>
            <w:r>
              <w:rPr>
                <w:rFonts w:hint="default"/>
                <w:color w:val="auto"/>
                <w:highlight w:val="none"/>
              </w:rPr>
              <w:t>山南</w:t>
            </w:r>
            <w:r>
              <w:rPr>
                <w:rFonts w:hint="eastAsia"/>
                <w:color w:val="auto"/>
                <w:highlight w:val="none"/>
                <w:lang w:val="en-US" w:eastAsia="zh-CN"/>
              </w:rPr>
              <w:t>新区</w:t>
            </w:r>
            <w:r>
              <w:rPr>
                <w:rFonts w:hint="default"/>
                <w:color w:val="auto"/>
                <w:highlight w:val="none"/>
              </w:rPr>
              <w:t>污水处理厂位于淮南市山南新区东南部大通区孔店乡马厂村，项目近期建设规模为日处理污水5万吨，远期建设规模为日处理污水10万吨。</w:t>
            </w:r>
          </w:p>
          <w:p w14:paraId="579C338A">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2）</w:t>
            </w:r>
            <w:r>
              <w:rPr>
                <w:rFonts w:hint="eastAsia"/>
                <w:b/>
                <w:bCs/>
                <w:color w:val="auto"/>
                <w:highlight w:val="none"/>
              </w:rPr>
              <w:t>污水处理厂</w:t>
            </w:r>
            <w:r>
              <w:rPr>
                <w:rFonts w:hint="default"/>
                <w:b/>
                <w:bCs/>
                <w:color w:val="auto"/>
                <w:highlight w:val="none"/>
              </w:rPr>
              <w:t>收水范围</w:t>
            </w:r>
          </w:p>
          <w:p w14:paraId="24BA7826">
            <w:pPr>
              <w:pStyle w:val="59"/>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95" w:right="96" w:firstLine="507"/>
              <w:jc w:val="both"/>
              <w:rPr>
                <w:rFonts w:hint="default" w:eastAsia="宋体"/>
                <w:color w:val="auto"/>
                <w:highlight w:val="none"/>
                <w:lang w:val="en-US" w:eastAsia="zh-CN"/>
              </w:rPr>
            </w:pPr>
            <w:r>
              <w:rPr>
                <w:rFonts w:hint="eastAsia"/>
                <w:color w:val="auto"/>
                <w:highlight w:val="none"/>
                <w:lang w:val="en-US" w:eastAsia="zh-CN"/>
              </w:rPr>
              <w:t>根据核实，</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污水处理厂服务范围主要为</w:t>
            </w:r>
            <w:r>
              <w:rPr>
                <w:rFonts w:hint="default" w:ascii="Times New Roman" w:hAnsi="Times New Roman" w:cs="Times New Roman"/>
                <w:color w:val="auto"/>
                <w:highlight w:val="none"/>
                <w:lang w:val="en-US" w:eastAsia="zh-CN"/>
              </w:rPr>
              <w:t>淮南高新技术开发区，</w:t>
            </w:r>
            <w:r>
              <w:rPr>
                <w:rFonts w:hint="default" w:ascii="Times New Roman" w:hAnsi="Times New Roman" w:cs="Times New Roman"/>
                <w:color w:val="auto"/>
                <w:highlight w:val="none"/>
              </w:rPr>
              <w:t>按一级A标准（达到再生水利用标准）设计，配套建设污水管网51.35公里，用地约4.5公顷</w:t>
            </w:r>
            <w:r>
              <w:rPr>
                <w:rFonts w:hint="default" w:ascii="Times New Roman" w:hAnsi="Times New Roman" w:cs="Times New Roman"/>
                <w:color w:val="auto"/>
                <w:spacing w:val="-4"/>
                <w:highlight w:val="none"/>
              </w:rPr>
              <w:t>。</w:t>
            </w:r>
            <w:r>
              <w:rPr>
                <w:rFonts w:hint="default"/>
                <w:color w:val="auto"/>
                <w:highlight w:val="none"/>
              </w:rPr>
              <w:t>本项目位于</w:t>
            </w:r>
            <w:r>
              <w:rPr>
                <w:rFonts w:hint="default" w:ascii="Times New Roman" w:hAnsi="Times New Roman" w:cs="Times New Roman"/>
                <w:color w:val="auto"/>
                <w:highlight w:val="none"/>
                <w:lang w:val="en-US" w:eastAsia="zh-CN"/>
              </w:rPr>
              <w:t>淮南高新技术开发区</w:t>
            </w:r>
            <w:r>
              <w:rPr>
                <w:rFonts w:hint="eastAsia"/>
                <w:color w:val="auto"/>
                <w:highlight w:val="none"/>
              </w:rPr>
              <w:t>，属于</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eastAsia"/>
                <w:color w:val="auto"/>
                <w:highlight w:val="none"/>
              </w:rPr>
              <w:t>的收水范围</w:t>
            </w:r>
            <w:r>
              <w:rPr>
                <w:rFonts w:hint="default"/>
                <w:color w:val="auto"/>
                <w:highlight w:val="none"/>
              </w:rPr>
              <w:t>。现状园区为雨污分流制。根据现场踏勘调查可知，园区已建成区域污水管网全部铺设，</w:t>
            </w:r>
            <w:r>
              <w:rPr>
                <w:rFonts w:hint="eastAsia"/>
                <w:color w:val="auto"/>
                <w:highlight w:val="none"/>
                <w:lang w:val="en-US" w:eastAsia="zh-CN"/>
              </w:rPr>
              <w:t>本项目建成后利用现有建成管网，废水能够被有效收集。</w:t>
            </w:r>
          </w:p>
          <w:p w14:paraId="55EA9E98">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3</w:t>
            </w:r>
            <w:r>
              <w:rPr>
                <w:rFonts w:hint="default"/>
                <w:b/>
                <w:bCs/>
                <w:color w:val="auto"/>
                <w:highlight w:val="none"/>
              </w:rPr>
              <w:t>）</w:t>
            </w:r>
            <w:r>
              <w:rPr>
                <w:rFonts w:hint="eastAsia"/>
                <w:b/>
                <w:bCs/>
                <w:color w:val="auto"/>
                <w:highlight w:val="none"/>
              </w:rPr>
              <w:t>处理</w:t>
            </w:r>
            <w:r>
              <w:rPr>
                <w:rFonts w:hint="default"/>
                <w:b/>
                <w:bCs/>
                <w:color w:val="auto"/>
                <w:highlight w:val="none"/>
              </w:rPr>
              <w:t>工艺</w:t>
            </w:r>
          </w:p>
          <w:p w14:paraId="6E844E9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eastAsia"/>
                <w:color w:val="auto"/>
                <w:highlight w:val="none"/>
              </w:rPr>
            </w:pPr>
            <w:r>
              <w:rPr>
                <w:rFonts w:hint="eastAsia"/>
                <w:color w:val="auto"/>
                <w:highlight w:val="none"/>
              </w:rPr>
              <w:t>山南新区污水处理厂采用A</w:t>
            </w:r>
            <w:r>
              <w:rPr>
                <w:rFonts w:hint="eastAsia"/>
                <w:color w:val="auto"/>
                <w:highlight w:val="none"/>
                <w:vertAlign w:val="superscript"/>
                <w:lang w:val="en-US" w:eastAsia="zh-CN"/>
              </w:rPr>
              <w:t>2</w:t>
            </w:r>
            <w:r>
              <w:rPr>
                <w:rFonts w:hint="eastAsia"/>
                <w:color w:val="auto"/>
                <w:highlight w:val="none"/>
                <w:lang w:val="en-US" w:eastAsia="zh-CN"/>
              </w:rPr>
              <w:t>O</w:t>
            </w:r>
            <w:r>
              <w:rPr>
                <w:rFonts w:hint="eastAsia"/>
                <w:color w:val="auto"/>
                <w:highlight w:val="none"/>
              </w:rPr>
              <w:t>污水处理工艺，污水处理工艺流程见下图所示。</w:t>
            </w:r>
          </w:p>
          <w:p w14:paraId="49689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eastAsia"/>
                <w:b/>
                <w:bCs/>
                <w:color w:val="auto"/>
                <w:highlight w:val="none"/>
                <w:lang w:val="en-US" w:eastAsia="zh-CN"/>
              </w:rPr>
            </w:pPr>
            <w:r>
              <w:rPr>
                <w:rFonts w:hint="eastAsia" w:eastAsia="宋体"/>
                <w:color w:val="auto"/>
                <w:highlight w:val="none"/>
                <w:lang w:eastAsia="zh-CN"/>
              </w:rPr>
              <w:drawing>
                <wp:inline distT="0" distB="0" distL="114300" distR="114300">
                  <wp:extent cx="5267960" cy="2150745"/>
                  <wp:effectExtent l="0" t="0" r="8890" b="1905"/>
                  <wp:docPr id="33" name="图片 33" descr="173330259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33302590440"/>
                          <pic:cNvPicPr>
                            <a:picLocks noChangeAspect="1"/>
                          </pic:cNvPicPr>
                        </pic:nvPicPr>
                        <pic:blipFill>
                          <a:blip r:embed="rId12"/>
                          <a:stretch>
                            <a:fillRect/>
                          </a:stretch>
                        </pic:blipFill>
                        <pic:spPr>
                          <a:xfrm>
                            <a:off x="0" y="0"/>
                            <a:ext cx="5267960" cy="2150745"/>
                          </a:xfrm>
                          <a:prstGeom prst="rect">
                            <a:avLst/>
                          </a:prstGeom>
                        </pic:spPr>
                      </pic:pic>
                    </a:graphicData>
                  </a:graphic>
                </wp:inline>
              </w:drawing>
            </w:r>
          </w:p>
          <w:p w14:paraId="09A38133">
            <w:pPr>
              <w:pStyle w:val="35"/>
              <w:keepNext w:val="0"/>
              <w:keepLines w:val="0"/>
              <w:pageBreakBefore w:val="0"/>
              <w:widowControl w:val="0"/>
              <w:suppressLineNumbers w:val="0"/>
              <w:kinsoku/>
              <w:wordWrap/>
              <w:overflowPunct/>
              <w:topLinePunct w:val="0"/>
              <w:autoSpaceDE/>
              <w:autoSpaceDN/>
              <w:bidi w:val="0"/>
              <w:snapToGrid/>
              <w:spacing w:before="0" w:beforeLines="0" w:beforeAutospacing="0" w:after="0" w:afterAutospacing="0" w:line="360" w:lineRule="auto"/>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图4-</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山南新区污水处理厂污水处理工艺流程图</w:t>
            </w:r>
          </w:p>
          <w:p w14:paraId="6744E95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eastAsia"/>
                <w:color w:val="auto"/>
                <w:highlight w:val="none"/>
              </w:rPr>
            </w:pPr>
            <w:r>
              <w:rPr>
                <w:rFonts w:hint="eastAsia"/>
                <w:b/>
                <w:bCs/>
                <w:color w:val="auto"/>
                <w:highlight w:val="none"/>
              </w:rPr>
              <w:t>工艺说明</w:t>
            </w:r>
            <w:r>
              <w:rPr>
                <w:rFonts w:hint="eastAsia"/>
                <w:b/>
                <w:bCs/>
                <w:color w:val="auto"/>
                <w:highlight w:val="none"/>
                <w:lang w:eastAsia="zh-CN"/>
              </w:rPr>
              <w:t>：</w:t>
            </w:r>
            <w:r>
              <w:rPr>
                <w:rFonts w:hint="eastAsia"/>
                <w:color w:val="auto"/>
                <w:highlight w:val="none"/>
              </w:rPr>
              <w:t>来自市政管网的污水先经粗格栅去除较大的漂浮物后</w:t>
            </w:r>
            <w:r>
              <w:rPr>
                <w:rFonts w:hint="eastAsia"/>
                <w:color w:val="auto"/>
                <w:highlight w:val="none"/>
                <w:lang w:eastAsia="zh-CN"/>
              </w:rPr>
              <w:t>，</w:t>
            </w:r>
            <w:r>
              <w:rPr>
                <w:rFonts w:hint="eastAsia"/>
                <w:color w:val="auto"/>
                <w:highlight w:val="none"/>
              </w:rPr>
              <w:t>进入进水泵房的吸水井。污水经提升后先经细格栅进一步去除污水中细小漂浮物后再进入沉砂池去除污水中沉砂</w:t>
            </w:r>
            <w:r>
              <w:rPr>
                <w:rFonts w:hint="eastAsia"/>
                <w:color w:val="auto"/>
                <w:highlight w:val="none"/>
                <w:lang w:eastAsia="zh-CN"/>
              </w:rPr>
              <w:t>，</w:t>
            </w:r>
            <w:r>
              <w:rPr>
                <w:rFonts w:hint="eastAsia"/>
                <w:color w:val="auto"/>
                <w:highlight w:val="none"/>
              </w:rPr>
              <w:t>防止沉砂在后续构筑物中沉积，以保证氧化沟的正常运行。沉砂池集砂区中的砂采用压缩空气提升进入砂水分离器，砂在砂水分离器中与水分离后，砂粒自行排入贮存斗中外运。</w:t>
            </w:r>
          </w:p>
          <w:p w14:paraId="6BEA75F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eastAsia"/>
                <w:color w:val="auto"/>
                <w:highlight w:val="none"/>
              </w:rPr>
            </w:pPr>
            <w:r>
              <w:rPr>
                <w:rFonts w:hint="eastAsia"/>
                <w:color w:val="auto"/>
                <w:highlight w:val="none"/>
              </w:rPr>
              <w:t>沉砂池出水进入厌氧池。厌氧池的设置可强化生化系统生物除磷效果确保二沉池出水总磷达标</w:t>
            </w:r>
            <w:r>
              <w:rPr>
                <w:rFonts w:hint="eastAsia"/>
                <w:color w:val="auto"/>
                <w:highlight w:val="none"/>
                <w:lang w:eastAsia="zh-CN"/>
              </w:rPr>
              <w:t>；</w:t>
            </w:r>
            <w:r>
              <w:rPr>
                <w:rFonts w:hint="eastAsia"/>
                <w:color w:val="auto"/>
                <w:highlight w:val="none"/>
              </w:rPr>
              <w:t>另可使回流污泥在厌氧状态下，抑制丝状菌的过量生长，改善污泥在最终沉淀池的沉淀性能。</w:t>
            </w:r>
          </w:p>
          <w:p w14:paraId="76A3896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eastAsia"/>
                <w:color w:val="auto"/>
                <w:highlight w:val="none"/>
              </w:rPr>
            </w:pPr>
            <w:r>
              <w:rPr>
                <w:rFonts w:hint="eastAsia"/>
                <w:color w:val="auto"/>
                <w:highlight w:val="none"/>
              </w:rPr>
              <w:t>厌氧池的出水经配水井分别进入两组氧化沟。在缺氧段原污水和沟内大量的循环水混合，反硝化细菌利用原污水中的碳源使硝态氮还原，释放出氮气</w:t>
            </w:r>
            <w:r>
              <w:rPr>
                <w:rFonts w:hint="eastAsia"/>
                <w:color w:val="auto"/>
                <w:highlight w:val="none"/>
                <w:lang w:eastAsia="zh-CN"/>
              </w:rPr>
              <w:t>，</w:t>
            </w:r>
            <w:r>
              <w:rPr>
                <w:rFonts w:hint="eastAsia"/>
                <w:color w:val="auto"/>
                <w:highlight w:val="none"/>
              </w:rPr>
              <w:t>同时使有机物得到部分降解。在好氧段氨氮在硝化细菌作用下转化为硝态氮</w:t>
            </w:r>
            <w:r>
              <w:rPr>
                <w:rFonts w:hint="eastAsia"/>
                <w:color w:val="auto"/>
                <w:highlight w:val="none"/>
                <w:lang w:eastAsia="zh-CN"/>
              </w:rPr>
              <w:t>，</w:t>
            </w:r>
            <w:r>
              <w:rPr>
                <w:rFonts w:hint="eastAsia"/>
                <w:color w:val="auto"/>
                <w:highlight w:val="none"/>
              </w:rPr>
              <w:t>另外在硝化反应的同时</w:t>
            </w:r>
            <w:r>
              <w:rPr>
                <w:rFonts w:hint="eastAsia"/>
                <w:color w:val="auto"/>
                <w:highlight w:val="none"/>
                <w:lang w:eastAsia="zh-CN"/>
              </w:rPr>
              <w:t>，</w:t>
            </w:r>
            <w:r>
              <w:rPr>
                <w:rFonts w:hint="eastAsia"/>
                <w:color w:val="auto"/>
                <w:highlight w:val="none"/>
              </w:rPr>
              <w:t>经反硝化处理后剩余的有机物在好氧段进一步被氧化分解。</w:t>
            </w:r>
          </w:p>
          <w:p w14:paraId="1199BB9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jc w:val="both"/>
              <w:rPr>
                <w:rFonts w:hint="eastAsia"/>
                <w:color w:val="auto"/>
                <w:highlight w:val="none"/>
              </w:rPr>
            </w:pPr>
            <w:r>
              <w:rPr>
                <w:rFonts w:hint="eastAsia"/>
                <w:color w:val="auto"/>
                <w:highlight w:val="none"/>
              </w:rPr>
              <w:t>氧化沟的出水进入二沉池，二沉池采用全桥式刮吸泥机排泥</w:t>
            </w:r>
            <w:r>
              <w:rPr>
                <w:rFonts w:hint="eastAsia"/>
                <w:color w:val="auto"/>
                <w:highlight w:val="none"/>
                <w:lang w:eastAsia="zh-CN"/>
              </w:rPr>
              <w:t>，</w:t>
            </w:r>
            <w:r>
              <w:rPr>
                <w:rFonts w:hint="eastAsia"/>
                <w:color w:val="auto"/>
                <w:highlight w:val="none"/>
              </w:rPr>
              <w:t>沉淀于底部的活性污泥被刮泥机刮入二沉池中部，再通过排泥管排入回流及剩余污泥泵站，二沉池水面上的浮渣由刮泥机刮渣板刮入浮渣斗中。</w:t>
            </w:r>
          </w:p>
          <w:p w14:paraId="1B9E8B19">
            <w:pPr>
              <w:keepNext w:val="0"/>
              <w:keepLines w:val="0"/>
              <w:suppressLineNumbers w:val="0"/>
              <w:bidi w:val="0"/>
              <w:spacing w:before="0" w:beforeAutospacing="0" w:after="0" w:afterAutospacing="0"/>
              <w:ind w:left="0" w:right="0"/>
              <w:jc w:val="both"/>
              <w:rPr>
                <w:rFonts w:hint="eastAsia"/>
                <w:color w:val="auto"/>
                <w:highlight w:val="none"/>
              </w:rPr>
            </w:pPr>
            <w:r>
              <w:rPr>
                <w:rFonts w:hint="eastAsia"/>
                <w:color w:val="auto"/>
                <w:highlight w:val="none"/>
              </w:rPr>
              <w:t>二沉池的出水经过紫外消毒，以杀死污水中的致病微生物和大肠菌群</w:t>
            </w:r>
            <w:r>
              <w:rPr>
                <w:rFonts w:hint="eastAsia"/>
                <w:color w:val="auto"/>
                <w:highlight w:val="none"/>
                <w:lang w:eastAsia="zh-CN"/>
              </w:rPr>
              <w:t>，</w:t>
            </w:r>
            <w:r>
              <w:rPr>
                <w:rFonts w:hint="eastAsia"/>
                <w:color w:val="auto"/>
                <w:highlight w:val="none"/>
              </w:rPr>
              <w:t>消毒后的出水达标排放。二沉池的活性污泥排入泵站集泥池。回流由污泥回流泵提升后，通过污泥总管送至污泥分配井</w:t>
            </w:r>
            <w:r>
              <w:rPr>
                <w:rFonts w:hint="eastAsia"/>
                <w:color w:val="auto"/>
                <w:highlight w:val="none"/>
                <w:lang w:eastAsia="zh-CN"/>
              </w:rPr>
              <w:t>；</w:t>
            </w:r>
            <w:r>
              <w:rPr>
                <w:rFonts w:hint="eastAsia"/>
                <w:color w:val="auto"/>
                <w:highlight w:val="none"/>
              </w:rPr>
              <w:t>剩余污泥由剩余污泥泵加压送至污泥浓缩脱水间，污泥经过压缩脱水后外运。</w:t>
            </w:r>
          </w:p>
          <w:p w14:paraId="25F1AB64">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lang w:val="en-US" w:eastAsia="zh-CN"/>
              </w:rPr>
              <w:t>4</w:t>
            </w:r>
            <w:r>
              <w:rPr>
                <w:rFonts w:hint="default"/>
                <w:b/>
                <w:bCs/>
                <w:color w:val="auto"/>
                <w:highlight w:val="none"/>
              </w:rPr>
              <w:t>）</w:t>
            </w:r>
            <w:r>
              <w:rPr>
                <w:rFonts w:hint="eastAsia"/>
                <w:b/>
                <w:bCs/>
                <w:color w:val="auto"/>
                <w:highlight w:val="none"/>
                <w:lang w:eastAsia="zh-CN"/>
              </w:rPr>
              <w:t>依托设施可行性分析</w:t>
            </w:r>
          </w:p>
          <w:p w14:paraId="06B24012">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①从水量角度分析</w:t>
            </w:r>
          </w:p>
          <w:p w14:paraId="024ADCE7">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default"/>
                <w:color w:val="auto"/>
                <w:highlight w:val="none"/>
              </w:rPr>
              <w:t>设计处理能力</w:t>
            </w:r>
            <w:r>
              <w:rPr>
                <w:rFonts w:hint="eastAsia"/>
                <w:color w:val="auto"/>
                <w:highlight w:val="none"/>
                <w:lang w:val="en-US" w:eastAsia="zh-CN"/>
              </w:rPr>
              <w:t>5</w:t>
            </w:r>
            <w:r>
              <w:rPr>
                <w:rFonts w:hint="default"/>
                <w:color w:val="auto"/>
                <w:highlight w:val="none"/>
              </w:rPr>
              <w:t>万m</w:t>
            </w:r>
            <w:r>
              <w:rPr>
                <w:rFonts w:hint="default"/>
                <w:color w:val="auto"/>
                <w:highlight w:val="none"/>
                <w:vertAlign w:val="superscript"/>
              </w:rPr>
              <w:t>3</w:t>
            </w:r>
            <w:r>
              <w:rPr>
                <w:rFonts w:hint="default"/>
                <w:color w:val="auto"/>
                <w:highlight w:val="none"/>
              </w:rPr>
              <w:t>/d，根据</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default"/>
                <w:color w:val="auto"/>
                <w:highlight w:val="none"/>
              </w:rPr>
              <w:t>提供的202</w:t>
            </w:r>
            <w:r>
              <w:rPr>
                <w:rFonts w:hint="eastAsia"/>
                <w:color w:val="auto"/>
                <w:highlight w:val="none"/>
                <w:lang w:val="en-US" w:eastAsia="zh-CN"/>
              </w:rPr>
              <w:t>3</w:t>
            </w:r>
            <w:r>
              <w:rPr>
                <w:rFonts w:hint="default"/>
                <w:color w:val="auto"/>
                <w:highlight w:val="none"/>
              </w:rPr>
              <w:t>年各月的日均排放量，</w:t>
            </w:r>
            <w:r>
              <w:rPr>
                <w:rFonts w:hint="eastAsia"/>
                <w:color w:val="auto"/>
                <w:highlight w:val="none"/>
                <w:lang w:val="en-US" w:eastAsia="zh-CN"/>
              </w:rPr>
              <w:t>6</w:t>
            </w:r>
            <w:r>
              <w:rPr>
                <w:rFonts w:hint="default"/>
                <w:color w:val="auto"/>
                <w:highlight w:val="none"/>
              </w:rPr>
              <w:t>月日均排放量最大，为</w:t>
            </w:r>
            <w:r>
              <w:rPr>
                <w:rFonts w:hint="eastAsia"/>
                <w:color w:val="auto"/>
                <w:highlight w:val="none"/>
                <w:lang w:val="en-US" w:eastAsia="zh-CN"/>
              </w:rPr>
              <w:t>3.14</w:t>
            </w:r>
            <w:r>
              <w:rPr>
                <w:rFonts w:hint="default"/>
                <w:color w:val="auto"/>
                <w:highlight w:val="none"/>
              </w:rPr>
              <w:t>万m</w:t>
            </w:r>
            <w:r>
              <w:rPr>
                <w:rFonts w:hint="default"/>
                <w:color w:val="auto"/>
                <w:highlight w:val="none"/>
                <w:vertAlign w:val="superscript"/>
              </w:rPr>
              <w:t>3</w:t>
            </w:r>
            <w:r>
              <w:rPr>
                <w:rFonts w:hint="default"/>
                <w:color w:val="auto"/>
                <w:highlight w:val="none"/>
              </w:rPr>
              <w:t>/d，余量剩余</w:t>
            </w:r>
            <w:r>
              <w:rPr>
                <w:rFonts w:hint="eastAsia"/>
                <w:color w:val="auto"/>
                <w:highlight w:val="none"/>
                <w:lang w:val="en-US" w:eastAsia="zh-CN"/>
              </w:rPr>
              <w:t>1.86</w:t>
            </w:r>
            <w:r>
              <w:rPr>
                <w:rFonts w:hint="default"/>
                <w:color w:val="auto"/>
                <w:highlight w:val="none"/>
              </w:rPr>
              <w:t>万m</w:t>
            </w:r>
            <w:r>
              <w:rPr>
                <w:rFonts w:hint="default"/>
                <w:color w:val="auto"/>
                <w:highlight w:val="none"/>
                <w:vertAlign w:val="superscript"/>
              </w:rPr>
              <w:t>3</w:t>
            </w:r>
            <w:r>
              <w:rPr>
                <w:rFonts w:hint="default"/>
                <w:color w:val="auto"/>
                <w:highlight w:val="none"/>
              </w:rPr>
              <w:t>/d，根据</w:t>
            </w:r>
            <w:r>
              <w:rPr>
                <w:rFonts w:hint="eastAsia"/>
                <w:color w:val="auto"/>
                <w:highlight w:val="none"/>
                <w:lang w:val="en-US" w:eastAsia="zh-CN"/>
              </w:rPr>
              <w:t>2023年11月</w:t>
            </w:r>
            <w:r>
              <w:rPr>
                <w:rFonts w:hint="eastAsia"/>
                <w:color w:val="auto"/>
                <w:highlight w:val="none"/>
                <w:lang w:eastAsia="zh-CN"/>
              </w:rPr>
              <w:t>《</w:t>
            </w:r>
            <w:r>
              <w:rPr>
                <w:rFonts w:hint="eastAsia"/>
                <w:color w:val="auto"/>
                <w:highlight w:val="none"/>
                <w:lang w:val="en-US" w:eastAsia="zh-CN"/>
              </w:rPr>
              <w:t>淮南高新技术产业开发区总体发展规划（2024-2035年）（主导产业变更）</w:t>
            </w:r>
            <w:r>
              <w:rPr>
                <w:rFonts w:hint="eastAsia"/>
                <w:color w:val="auto"/>
                <w:highlight w:val="none"/>
                <w:lang w:eastAsia="zh-CN"/>
              </w:rPr>
              <w:t>环境影响报告书》</w:t>
            </w:r>
            <w:r>
              <w:rPr>
                <w:rFonts w:hint="default" w:ascii="Times New Roman" w:hAnsi="Times New Roman" w:eastAsia="宋体" w:cs="Times New Roman"/>
                <w:color w:val="auto"/>
                <w:kern w:val="0"/>
                <w:sz w:val="24"/>
                <w:szCs w:val="24"/>
                <w:highlight w:val="none"/>
                <w:lang w:val="zh-CN"/>
              </w:rPr>
              <w:t>在日常运行中</w:t>
            </w:r>
            <w:r>
              <w:rPr>
                <w:rFonts w:hint="eastAsia" w:ascii="Times New Roman" w:hAnsi="Times New Roman" w:eastAsia="宋体" w:cs="Times New Roman"/>
                <w:color w:val="auto"/>
                <w:sz w:val="24"/>
                <w:szCs w:val="24"/>
                <w:highlight w:val="none"/>
                <w:lang w:eastAsia="zh-CN"/>
              </w:rPr>
              <w:t>山南新区污水处理厂</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0"/>
                <w:sz w:val="24"/>
                <w:szCs w:val="24"/>
                <w:highlight w:val="none"/>
                <w:lang w:val="zh-CN"/>
              </w:rPr>
              <w:t>日处理平均水量为</w:t>
            </w:r>
            <w:r>
              <w:rPr>
                <w:rFonts w:hint="eastAsia" w:ascii="Times New Roman" w:hAnsi="Times New Roman" w:eastAsia="宋体" w:cs="Times New Roman"/>
                <w:color w:val="auto"/>
                <w:kern w:val="0"/>
                <w:sz w:val="24"/>
                <w:szCs w:val="24"/>
                <w:highlight w:val="none"/>
                <w:lang w:val="en-US" w:eastAsia="zh-CN"/>
              </w:rPr>
              <w:t>2.91万</w:t>
            </w:r>
            <w:r>
              <w:rPr>
                <w:rFonts w:hint="default" w:ascii="Times New Roman" w:hAnsi="Times New Roman" w:eastAsia="宋体" w:cs="Times New Roman"/>
                <w:color w:val="auto"/>
                <w:kern w:val="0"/>
                <w:sz w:val="24"/>
                <w:szCs w:val="24"/>
                <w:highlight w:val="none"/>
                <w:lang w:val="zh-CN"/>
              </w:rPr>
              <w:t>t/d，</w:t>
            </w:r>
            <w:r>
              <w:rPr>
                <w:rFonts w:hint="eastAsia" w:ascii="Times New Roman" w:hAnsi="Times New Roman" w:eastAsia="宋体" w:cs="Times New Roman"/>
                <w:color w:val="auto"/>
                <w:kern w:val="0"/>
                <w:sz w:val="24"/>
                <w:szCs w:val="24"/>
                <w:highlight w:val="none"/>
                <w:lang w:val="en-US" w:eastAsia="zh-CN"/>
              </w:rPr>
              <w:t>剩余处理能力为2.09万t/d，出水水质均满足《城镇污水处理厂污染物排放标准》（GB18918-2002）一级A标准。</w:t>
            </w:r>
          </w:p>
          <w:p w14:paraId="17ECA431">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经核算</w:t>
            </w:r>
            <w:r>
              <w:rPr>
                <w:rFonts w:hint="default"/>
                <w:color w:val="auto"/>
                <w:highlight w:val="none"/>
                <w:lang w:val="en-US" w:eastAsia="zh-CN"/>
              </w:rPr>
              <w:t>本项目污水排放量</w:t>
            </w:r>
            <w:r>
              <w:rPr>
                <w:rFonts w:hint="eastAsia"/>
                <w:color w:val="auto"/>
                <w:highlight w:val="none"/>
                <w:lang w:val="en-US" w:eastAsia="zh-CN"/>
              </w:rPr>
              <w:t>5.68</w:t>
            </w:r>
            <w:r>
              <w:rPr>
                <w:rFonts w:hint="default"/>
                <w:color w:val="auto"/>
                <w:highlight w:val="none"/>
              </w:rPr>
              <w:t>m</w:t>
            </w:r>
            <w:r>
              <w:rPr>
                <w:rFonts w:hint="default"/>
                <w:color w:val="auto"/>
                <w:highlight w:val="none"/>
                <w:vertAlign w:val="superscript"/>
              </w:rPr>
              <w:t>3</w:t>
            </w:r>
            <w:r>
              <w:rPr>
                <w:rFonts w:hint="default"/>
                <w:color w:val="auto"/>
                <w:highlight w:val="none"/>
                <w:lang w:val="en-US" w:eastAsia="zh-CN"/>
              </w:rPr>
              <w:t>/</w:t>
            </w:r>
            <w:r>
              <w:rPr>
                <w:rFonts w:hint="eastAsia"/>
                <w:color w:val="auto"/>
                <w:highlight w:val="none"/>
                <w:lang w:val="en-US" w:eastAsia="zh-CN"/>
              </w:rPr>
              <w:t>d</w:t>
            </w:r>
            <w:r>
              <w:rPr>
                <w:rFonts w:hint="default"/>
                <w:color w:val="auto"/>
                <w:highlight w:val="none"/>
                <w:lang w:val="en-US" w:eastAsia="zh-CN"/>
              </w:rPr>
              <w:t>，</w:t>
            </w:r>
            <w:r>
              <w:rPr>
                <w:rFonts w:hint="eastAsia"/>
                <w:color w:val="auto"/>
                <w:highlight w:val="none"/>
                <w:lang w:val="en-US" w:eastAsia="zh-CN"/>
              </w:rPr>
              <w:t>占比</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eastAsia" w:ascii="Times New Roman" w:hAnsi="Times New Roman" w:cs="Times New Roman"/>
                <w:color w:val="auto"/>
                <w:highlight w:val="none"/>
                <w:lang w:val="en-US" w:eastAsia="zh-CN"/>
              </w:rPr>
              <w:t>剩余处理能力</w:t>
            </w:r>
            <w:r>
              <w:rPr>
                <w:rFonts w:hint="eastAsia"/>
                <w:color w:val="auto"/>
                <w:highlight w:val="none"/>
                <w:lang w:val="en-US" w:eastAsia="zh-CN"/>
              </w:rPr>
              <w:t>0.027%，占比较小，因此本项目外排废水总量</w:t>
            </w:r>
            <w:r>
              <w:rPr>
                <w:rFonts w:hint="default"/>
                <w:color w:val="auto"/>
                <w:highlight w:val="none"/>
              </w:rPr>
              <w:t>不会对</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default"/>
                <w:color w:val="auto"/>
                <w:highlight w:val="none"/>
              </w:rPr>
              <w:t>运行负荷产生较大影响。</w:t>
            </w:r>
          </w:p>
          <w:p w14:paraId="0345CD93">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目前</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eastAsia"/>
                <w:color w:val="auto"/>
                <w:highlight w:val="none"/>
                <w:lang w:val="en-US" w:eastAsia="zh-CN"/>
              </w:rPr>
              <w:t>运行稳定，废水经处理达到《城镇污水处理厂污染物排放标准》（GB18918-2002）表1一级A标准后排放，废水实现达标排放，对地表水体淮河环境质量影响较小。</w:t>
            </w:r>
          </w:p>
          <w:p w14:paraId="1DDFC4AD">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②从水质角度分析</w:t>
            </w:r>
          </w:p>
          <w:p w14:paraId="3AFC6AB6">
            <w:pPr>
              <w:keepNext w:val="0"/>
              <w:keepLines w:val="0"/>
              <w:suppressLineNumbers w:val="0"/>
              <w:bidi w:val="0"/>
              <w:spacing w:before="0" w:beforeAutospacing="0" w:after="0" w:afterAutospacing="0"/>
              <w:ind w:left="0" w:right="0"/>
              <w:rPr>
                <w:rFonts w:hint="default"/>
                <w:color w:val="auto"/>
                <w:highlight w:val="none"/>
              </w:rPr>
            </w:pP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default" w:ascii="Times New Roman" w:hAnsi="Times New Roman" w:cs="Times New Roman"/>
                <w:color w:val="auto"/>
                <w:highlight w:val="none"/>
                <w:lang w:val="en-US" w:eastAsia="zh-CN"/>
              </w:rPr>
              <w:t>污水处理工艺采用</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预处理+A</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O+消毒</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工艺，污泥处理采用</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污泥浓缩+压滤</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工艺</w:t>
            </w:r>
            <w:r>
              <w:rPr>
                <w:rFonts w:hint="eastAsia"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rPr>
              <w:t>出水水质将满足《城镇污水处理厂污染物排放标准》（GB18918-2002）一级A标准</w:t>
            </w:r>
            <w:r>
              <w:rPr>
                <w:rFonts w:hint="default"/>
                <w:color w:val="auto"/>
                <w:highlight w:val="none"/>
              </w:rPr>
              <w:t>。</w:t>
            </w:r>
            <w:r>
              <w:rPr>
                <w:rFonts w:hint="eastAsia"/>
                <w:color w:val="auto"/>
                <w:highlight w:val="none"/>
                <w:lang w:val="en-US" w:eastAsia="zh-CN"/>
              </w:rPr>
              <w:t>污水接管标准为：</w:t>
            </w:r>
            <w:r>
              <w:rPr>
                <w:rFonts w:hint="eastAsia"/>
                <w:bCs w:val="0"/>
                <w:color w:val="auto"/>
                <w:sz w:val="24"/>
                <w:szCs w:val="24"/>
                <w:highlight w:val="none"/>
                <w:lang w:val="en-US" w:eastAsia="zh-CN"/>
              </w:rPr>
              <w:t>COD400mg/L、BOD</w:t>
            </w:r>
            <w:r>
              <w:rPr>
                <w:rFonts w:hint="eastAsia"/>
                <w:bCs w:val="0"/>
                <w:color w:val="auto"/>
                <w:sz w:val="24"/>
                <w:szCs w:val="24"/>
                <w:highlight w:val="none"/>
                <w:vertAlign w:val="subscript"/>
                <w:lang w:val="en-US" w:eastAsia="zh-CN"/>
              </w:rPr>
              <w:t>5</w:t>
            </w:r>
            <w:r>
              <w:rPr>
                <w:rFonts w:hint="eastAsia"/>
                <w:bCs w:val="0"/>
                <w:color w:val="auto"/>
                <w:sz w:val="24"/>
                <w:szCs w:val="24"/>
                <w:highlight w:val="none"/>
                <w:vertAlign w:val="baseline"/>
                <w:lang w:val="en-US" w:eastAsia="zh-CN"/>
              </w:rPr>
              <w:t>180</w:t>
            </w:r>
            <w:r>
              <w:rPr>
                <w:rFonts w:hint="eastAsia"/>
                <w:bCs w:val="0"/>
                <w:color w:val="auto"/>
                <w:sz w:val="24"/>
                <w:szCs w:val="24"/>
                <w:highlight w:val="none"/>
                <w:lang w:val="en-US" w:eastAsia="zh-CN"/>
              </w:rPr>
              <w:t>mg/L、SS200mg/L、氨氮35mg/L、总磷4.5mg/L、总氮45mg/L</w:t>
            </w:r>
            <w:r>
              <w:rPr>
                <w:rFonts w:hint="default"/>
                <w:color w:val="auto"/>
                <w:highlight w:val="none"/>
              </w:rPr>
              <w:t>。区内全部污水由污水管网收集后，送至</w:t>
            </w:r>
            <w:r>
              <w:rPr>
                <w:rFonts w:hint="default" w:ascii="Times New Roman" w:hAnsi="Times New Roman" w:cs="Times New Roman"/>
                <w:color w:val="auto"/>
                <w:highlight w:val="none"/>
              </w:rPr>
              <w:t>山南</w:t>
            </w:r>
            <w:r>
              <w:rPr>
                <w:rFonts w:hint="eastAsia" w:ascii="Times New Roman" w:hAnsi="Times New Roman" w:cs="Times New Roman"/>
                <w:color w:val="auto"/>
                <w:highlight w:val="none"/>
                <w:lang w:val="en-US" w:eastAsia="zh-CN"/>
              </w:rPr>
              <w:t>新区</w:t>
            </w:r>
            <w:r>
              <w:rPr>
                <w:rFonts w:hint="default" w:ascii="Times New Roman" w:hAnsi="Times New Roman" w:cs="Times New Roman"/>
                <w:color w:val="auto"/>
                <w:highlight w:val="none"/>
              </w:rPr>
              <w:t>污水处理厂</w:t>
            </w:r>
            <w:r>
              <w:rPr>
                <w:rFonts w:hint="default"/>
                <w:color w:val="auto"/>
                <w:highlight w:val="none"/>
              </w:rPr>
              <w:t>集中处理，其中特殊的工业污水必须经过预处理并达到允许排放标准后，方可排入污水管网。</w:t>
            </w:r>
          </w:p>
          <w:p w14:paraId="73A9C6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本项目废水“污污分流”，生活污水、保洁废水经化粪池预处理后接管市政污水管网、纯水制备产生浓水等直接接管市政污水管网，实验检测废水采取污水处理设备处理后接管市政污水管网，</w:t>
            </w:r>
            <w:r>
              <w:rPr>
                <w:rFonts w:hint="default" w:ascii="宋体" w:hAnsi="宋体" w:eastAsia="宋体" w:cs="宋体"/>
                <w:b w:val="0"/>
                <w:bCs w:val="0"/>
                <w:color w:val="auto"/>
                <w:sz w:val="24"/>
                <w:szCs w:val="24"/>
                <w:highlight w:val="none"/>
              </w:rPr>
              <w:t>本项目</w:t>
            </w:r>
            <w:r>
              <w:rPr>
                <w:rFonts w:hint="eastAsia" w:ascii="宋体" w:hAnsi="宋体" w:cs="宋体"/>
                <w:b w:val="0"/>
                <w:bCs w:val="0"/>
                <w:color w:val="auto"/>
                <w:sz w:val="24"/>
                <w:szCs w:val="24"/>
                <w:highlight w:val="none"/>
                <w:lang w:val="en-US" w:eastAsia="zh-CN"/>
              </w:rPr>
              <w:t>试验检测废水处理装置</w:t>
            </w:r>
            <w:r>
              <w:rPr>
                <w:rFonts w:hint="default" w:ascii="宋体" w:hAnsi="宋体" w:eastAsia="宋体" w:cs="宋体"/>
                <w:b w:val="0"/>
                <w:bCs w:val="0"/>
                <w:color w:val="auto"/>
                <w:sz w:val="24"/>
                <w:szCs w:val="24"/>
                <w:highlight w:val="none"/>
              </w:rPr>
              <w:t>为一体化设备，设备参数如下：</w:t>
            </w:r>
          </w:p>
          <w:p w14:paraId="101EE9AD">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表</w:t>
            </w:r>
            <w:r>
              <w:rPr>
                <w:rFonts w:hint="eastAsia"/>
                <w:color w:val="auto"/>
                <w:highlight w:val="none"/>
                <w:lang w:val="en-US" w:eastAsia="zh-CN"/>
              </w:rPr>
              <w:t>4-4</w:t>
            </w:r>
            <w:r>
              <w:rPr>
                <w:rFonts w:hint="default"/>
                <w:color w:val="auto"/>
                <w:highlight w:val="none"/>
              </w:rPr>
              <w:t xml:space="preserve"> </w:t>
            </w:r>
            <w:r>
              <w:rPr>
                <w:rFonts w:hint="eastAsia"/>
                <w:color w:val="auto"/>
                <w:highlight w:val="none"/>
                <w:lang w:val="en-US" w:eastAsia="zh-CN"/>
              </w:rPr>
              <w:t xml:space="preserve"> 污水处理设施参数</w:t>
            </w:r>
          </w:p>
          <w:tbl>
            <w:tblPr>
              <w:tblStyle w:val="18"/>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485"/>
              <w:gridCol w:w="3645"/>
              <w:gridCol w:w="1122"/>
            </w:tblGrid>
            <w:tr w14:paraId="6400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712" w:type="dxa"/>
                  <w:noWrap w:val="0"/>
                  <w:vAlign w:val="center"/>
                </w:tcPr>
                <w:p w14:paraId="22BBC46D">
                  <w:pPr>
                    <w:pStyle w:val="27"/>
                    <w:keepNext w:val="0"/>
                    <w:keepLines w:val="0"/>
                    <w:suppressLineNumbers w:val="0"/>
                    <w:bidi w:val="0"/>
                    <w:spacing w:before="0" w:beforeAutospacing="0" w:after="0" w:afterAutospacing="0"/>
                    <w:ind w:left="0" w:right="0"/>
                    <w:rPr>
                      <w:b/>
                      <w:bCs/>
                      <w:color w:val="auto"/>
                      <w:highlight w:val="none"/>
                      <w:lang w:val="en-US" w:eastAsia="zh-CN"/>
                    </w:rPr>
                  </w:pPr>
                  <w:r>
                    <w:rPr>
                      <w:rFonts w:hint="eastAsia"/>
                      <w:b/>
                      <w:bCs/>
                      <w:color w:val="auto"/>
                      <w:highlight w:val="none"/>
                      <w:lang w:val="en-US" w:eastAsia="zh-CN"/>
                    </w:rPr>
                    <w:t>项目</w:t>
                  </w:r>
                </w:p>
              </w:tc>
              <w:tc>
                <w:tcPr>
                  <w:tcW w:w="5130" w:type="dxa"/>
                  <w:gridSpan w:val="2"/>
                  <w:noWrap w:val="0"/>
                  <w:vAlign w:val="center"/>
                </w:tcPr>
                <w:p w14:paraId="4793B54C">
                  <w:pPr>
                    <w:pStyle w:val="27"/>
                    <w:keepNext w:val="0"/>
                    <w:keepLines w:val="0"/>
                    <w:suppressLineNumbers w:val="0"/>
                    <w:bidi w:val="0"/>
                    <w:spacing w:before="0" w:beforeAutospacing="0" w:after="0" w:afterAutospacing="0"/>
                    <w:ind w:left="0" w:right="0"/>
                    <w:rPr>
                      <w:b/>
                      <w:bCs/>
                      <w:color w:val="auto"/>
                      <w:highlight w:val="none"/>
                      <w:lang w:val="en-US" w:eastAsia="zh-CN"/>
                    </w:rPr>
                  </w:pPr>
                  <w:r>
                    <w:rPr>
                      <w:rFonts w:hint="eastAsia"/>
                      <w:b/>
                      <w:bCs/>
                      <w:color w:val="auto"/>
                      <w:highlight w:val="none"/>
                      <w:lang w:val="en-US" w:eastAsia="zh-CN"/>
                    </w:rPr>
                    <w:t>设计参数</w:t>
                  </w:r>
                </w:p>
              </w:tc>
              <w:tc>
                <w:tcPr>
                  <w:tcW w:w="1122" w:type="dxa"/>
                  <w:noWrap w:val="0"/>
                  <w:vAlign w:val="center"/>
                </w:tcPr>
                <w:p w14:paraId="761C459C">
                  <w:pPr>
                    <w:pStyle w:val="27"/>
                    <w:keepNext w:val="0"/>
                    <w:keepLines w:val="0"/>
                    <w:suppressLineNumbers w:val="0"/>
                    <w:bidi w:val="0"/>
                    <w:spacing w:before="0" w:beforeAutospacing="0" w:after="0" w:afterAutospacing="0"/>
                    <w:ind w:left="0" w:right="0"/>
                    <w:rPr>
                      <w:b/>
                      <w:bCs/>
                      <w:color w:val="auto"/>
                      <w:highlight w:val="none"/>
                      <w:lang w:val="en-US" w:eastAsia="zh-CN"/>
                    </w:rPr>
                  </w:pPr>
                  <w:r>
                    <w:rPr>
                      <w:rFonts w:hint="eastAsia"/>
                      <w:b/>
                      <w:bCs/>
                      <w:color w:val="auto"/>
                      <w:highlight w:val="none"/>
                      <w:lang w:val="en-US" w:eastAsia="zh-CN"/>
                    </w:rPr>
                    <w:t>备注</w:t>
                  </w:r>
                </w:p>
              </w:tc>
            </w:tr>
            <w:tr w14:paraId="171B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712" w:type="dxa"/>
                  <w:vMerge w:val="restart"/>
                  <w:noWrap w:val="0"/>
                  <w:vAlign w:val="center"/>
                </w:tcPr>
                <w:p w14:paraId="18DFE1FD">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酸碱中和池</w:t>
                  </w:r>
                </w:p>
              </w:tc>
              <w:tc>
                <w:tcPr>
                  <w:tcW w:w="1485" w:type="dxa"/>
                  <w:noWrap w:val="0"/>
                  <w:vAlign w:val="center"/>
                </w:tcPr>
                <w:p w14:paraId="0196CD8C">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尺寸</w:t>
                  </w:r>
                </w:p>
              </w:tc>
              <w:tc>
                <w:tcPr>
                  <w:tcW w:w="3645" w:type="dxa"/>
                  <w:noWrap w:val="0"/>
                  <w:vAlign w:val="center"/>
                </w:tcPr>
                <w:p w14:paraId="3F25BC8F">
                  <w:pPr>
                    <w:pStyle w:val="27"/>
                    <w:keepNext w:val="0"/>
                    <w:keepLines w:val="0"/>
                    <w:suppressLineNumbers w:val="0"/>
                    <w:bidi w:val="0"/>
                    <w:spacing w:before="0" w:beforeAutospacing="0" w:after="0" w:afterAutospacing="0"/>
                    <w:ind w:left="0" w:right="0"/>
                    <w:rPr>
                      <w:color w:val="auto"/>
                      <w:highlight w:val="none"/>
                      <w:lang w:val="en-US" w:eastAsia="zh-CN"/>
                    </w:rPr>
                  </w:pPr>
                  <w:r>
                    <w:rPr>
                      <w:rFonts w:hint="eastAsia"/>
                      <w:color w:val="auto"/>
                      <w:highlight w:val="none"/>
                      <w:lang w:val="en-US" w:eastAsia="zh-CN"/>
                    </w:rPr>
                    <w:t>600mm×600mm×600mm</w:t>
                  </w:r>
                </w:p>
              </w:tc>
              <w:tc>
                <w:tcPr>
                  <w:tcW w:w="1122" w:type="dxa"/>
                  <w:vMerge w:val="restart"/>
                  <w:noWrap w:val="0"/>
                  <w:vAlign w:val="center"/>
                </w:tcPr>
                <w:p w14:paraId="08E56323">
                  <w:pPr>
                    <w:pStyle w:val="27"/>
                    <w:keepNext w:val="0"/>
                    <w:keepLines w:val="0"/>
                    <w:suppressLineNumbers w:val="0"/>
                    <w:bidi w:val="0"/>
                    <w:spacing w:before="0" w:beforeAutospacing="0" w:after="0" w:afterAutospacing="0"/>
                    <w:ind w:left="0" w:right="0"/>
                    <w:rPr>
                      <w:color w:val="auto"/>
                      <w:highlight w:val="none"/>
                      <w:lang w:val="en-US" w:eastAsia="zh-CN"/>
                    </w:rPr>
                  </w:pPr>
                  <w:r>
                    <w:rPr>
                      <w:rFonts w:hint="eastAsia"/>
                      <w:color w:val="auto"/>
                      <w:highlight w:val="none"/>
                      <w:lang w:val="en-US" w:eastAsia="zh-CN"/>
                    </w:rPr>
                    <w:t>一套</w:t>
                  </w:r>
                </w:p>
              </w:tc>
            </w:tr>
            <w:tr w14:paraId="7906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712" w:type="dxa"/>
                  <w:vMerge w:val="continue"/>
                  <w:noWrap w:val="0"/>
                  <w:vAlign w:val="center"/>
                </w:tcPr>
                <w:p w14:paraId="5461BBBB">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485" w:type="dxa"/>
                  <w:noWrap w:val="0"/>
                  <w:vAlign w:val="center"/>
                </w:tcPr>
                <w:p w14:paraId="7CFA72FD">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停留时间</w:t>
                  </w:r>
                </w:p>
              </w:tc>
              <w:tc>
                <w:tcPr>
                  <w:tcW w:w="3645" w:type="dxa"/>
                  <w:noWrap w:val="0"/>
                  <w:vAlign w:val="center"/>
                </w:tcPr>
                <w:p w14:paraId="702B85E8">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4h</w:t>
                  </w:r>
                </w:p>
              </w:tc>
              <w:tc>
                <w:tcPr>
                  <w:tcW w:w="1122" w:type="dxa"/>
                  <w:vMerge w:val="continue"/>
                  <w:noWrap w:val="0"/>
                  <w:vAlign w:val="center"/>
                </w:tcPr>
                <w:p w14:paraId="3E43DE65">
                  <w:pPr>
                    <w:pStyle w:val="27"/>
                    <w:keepNext w:val="0"/>
                    <w:keepLines w:val="0"/>
                    <w:suppressLineNumbers w:val="0"/>
                    <w:bidi w:val="0"/>
                    <w:spacing w:before="0" w:beforeAutospacing="0" w:after="0" w:afterAutospacing="0"/>
                    <w:ind w:left="0" w:right="0"/>
                    <w:rPr>
                      <w:color w:val="auto"/>
                      <w:highlight w:val="none"/>
                      <w:lang w:val="en-US" w:eastAsia="zh-CN"/>
                    </w:rPr>
                  </w:pPr>
                </w:p>
              </w:tc>
            </w:tr>
            <w:tr w14:paraId="7AB0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712" w:type="dxa"/>
                  <w:vMerge w:val="continue"/>
                  <w:noWrap w:val="0"/>
                  <w:vAlign w:val="center"/>
                </w:tcPr>
                <w:p w14:paraId="79BB8F06">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485" w:type="dxa"/>
                  <w:noWrap w:val="0"/>
                  <w:vAlign w:val="center"/>
                </w:tcPr>
                <w:p w14:paraId="51159BCA">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有效容积</w:t>
                  </w:r>
                </w:p>
              </w:tc>
              <w:tc>
                <w:tcPr>
                  <w:tcW w:w="3645" w:type="dxa"/>
                  <w:noWrap w:val="0"/>
                  <w:vAlign w:val="center"/>
                </w:tcPr>
                <w:p w14:paraId="0203A3C6">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0.1m</w:t>
                  </w:r>
                  <w:r>
                    <w:rPr>
                      <w:rFonts w:hint="eastAsia"/>
                      <w:color w:val="auto"/>
                      <w:highlight w:val="none"/>
                      <w:vertAlign w:val="superscript"/>
                      <w:lang w:val="en-US" w:eastAsia="zh-CN"/>
                    </w:rPr>
                    <w:t>3</w:t>
                  </w:r>
                </w:p>
              </w:tc>
              <w:tc>
                <w:tcPr>
                  <w:tcW w:w="1122" w:type="dxa"/>
                  <w:vMerge w:val="continue"/>
                  <w:noWrap w:val="0"/>
                  <w:vAlign w:val="center"/>
                </w:tcPr>
                <w:p w14:paraId="1071659A">
                  <w:pPr>
                    <w:pStyle w:val="27"/>
                    <w:keepNext w:val="0"/>
                    <w:keepLines w:val="0"/>
                    <w:suppressLineNumbers w:val="0"/>
                    <w:bidi w:val="0"/>
                    <w:spacing w:before="0" w:beforeAutospacing="0" w:after="0" w:afterAutospacing="0"/>
                    <w:ind w:left="0" w:right="0"/>
                    <w:rPr>
                      <w:color w:val="auto"/>
                      <w:highlight w:val="none"/>
                      <w:lang w:val="en-US" w:eastAsia="zh-CN"/>
                    </w:rPr>
                  </w:pPr>
                </w:p>
              </w:tc>
            </w:tr>
            <w:tr w14:paraId="1721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exact"/>
                <w:jc w:val="center"/>
              </w:trPr>
              <w:tc>
                <w:tcPr>
                  <w:tcW w:w="1712" w:type="dxa"/>
                  <w:vMerge w:val="restart"/>
                  <w:noWrap w:val="0"/>
                  <w:vAlign w:val="center"/>
                </w:tcPr>
                <w:p w14:paraId="664B8D46">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絮凝沉淀池箱</w:t>
                  </w:r>
                </w:p>
              </w:tc>
              <w:tc>
                <w:tcPr>
                  <w:tcW w:w="1485" w:type="dxa"/>
                  <w:noWrap w:val="0"/>
                  <w:vAlign w:val="center"/>
                </w:tcPr>
                <w:p w14:paraId="600A4906">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尺寸</w:t>
                  </w:r>
                </w:p>
              </w:tc>
              <w:tc>
                <w:tcPr>
                  <w:tcW w:w="3645" w:type="dxa"/>
                  <w:noWrap w:val="0"/>
                  <w:vAlign w:val="center"/>
                </w:tcPr>
                <w:p w14:paraId="1DF07F00">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600mm×600mm×600mm</w:t>
                  </w:r>
                </w:p>
              </w:tc>
              <w:tc>
                <w:tcPr>
                  <w:tcW w:w="1122" w:type="dxa"/>
                  <w:vMerge w:val="restart"/>
                  <w:noWrap w:val="0"/>
                  <w:vAlign w:val="center"/>
                </w:tcPr>
                <w:p w14:paraId="403F7E15">
                  <w:pPr>
                    <w:pStyle w:val="27"/>
                    <w:keepNext w:val="0"/>
                    <w:keepLines w:val="0"/>
                    <w:suppressLineNumbers w:val="0"/>
                    <w:bidi w:val="0"/>
                    <w:spacing w:before="0" w:beforeAutospacing="0" w:after="0" w:afterAutospacing="0"/>
                    <w:ind w:left="0" w:right="0"/>
                    <w:rPr>
                      <w:color w:val="auto"/>
                      <w:highlight w:val="none"/>
                      <w:lang w:val="en-US" w:eastAsia="zh-CN"/>
                    </w:rPr>
                  </w:pPr>
                  <w:r>
                    <w:rPr>
                      <w:rFonts w:hint="eastAsia"/>
                      <w:color w:val="auto"/>
                      <w:highlight w:val="none"/>
                      <w:lang w:val="en-US" w:eastAsia="zh-CN"/>
                    </w:rPr>
                    <w:t>一套</w:t>
                  </w:r>
                </w:p>
              </w:tc>
            </w:tr>
            <w:tr w14:paraId="5375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712" w:type="dxa"/>
                  <w:vMerge w:val="continue"/>
                  <w:noWrap w:val="0"/>
                  <w:vAlign w:val="center"/>
                </w:tcPr>
                <w:p w14:paraId="58F56B0A">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485" w:type="dxa"/>
                  <w:noWrap w:val="0"/>
                  <w:vAlign w:val="center"/>
                </w:tcPr>
                <w:p w14:paraId="636A8781">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停留时间</w:t>
                  </w:r>
                </w:p>
              </w:tc>
              <w:tc>
                <w:tcPr>
                  <w:tcW w:w="3645" w:type="dxa"/>
                  <w:noWrap w:val="0"/>
                  <w:vAlign w:val="center"/>
                </w:tcPr>
                <w:p w14:paraId="4EB32C3F">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4h</w:t>
                  </w:r>
                </w:p>
              </w:tc>
              <w:tc>
                <w:tcPr>
                  <w:tcW w:w="1122" w:type="dxa"/>
                  <w:vMerge w:val="continue"/>
                  <w:noWrap w:val="0"/>
                  <w:vAlign w:val="center"/>
                </w:tcPr>
                <w:p w14:paraId="264E3D64">
                  <w:pPr>
                    <w:pStyle w:val="27"/>
                    <w:keepNext w:val="0"/>
                    <w:keepLines w:val="0"/>
                    <w:suppressLineNumbers w:val="0"/>
                    <w:bidi w:val="0"/>
                    <w:spacing w:before="0" w:beforeAutospacing="0" w:after="0" w:afterAutospacing="0"/>
                    <w:ind w:left="0" w:right="0"/>
                    <w:rPr>
                      <w:color w:val="auto"/>
                      <w:highlight w:val="none"/>
                      <w:lang w:val="en-US" w:eastAsia="zh-CN"/>
                    </w:rPr>
                  </w:pPr>
                </w:p>
              </w:tc>
            </w:tr>
            <w:tr w14:paraId="3DC4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exact"/>
                <w:jc w:val="center"/>
              </w:trPr>
              <w:tc>
                <w:tcPr>
                  <w:tcW w:w="1712" w:type="dxa"/>
                  <w:vMerge w:val="continue"/>
                  <w:noWrap w:val="0"/>
                  <w:vAlign w:val="center"/>
                </w:tcPr>
                <w:p w14:paraId="4B13FD08">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485" w:type="dxa"/>
                  <w:noWrap w:val="0"/>
                  <w:vAlign w:val="center"/>
                </w:tcPr>
                <w:p w14:paraId="0184F4F1">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有效容积</w:t>
                  </w:r>
                </w:p>
              </w:tc>
              <w:tc>
                <w:tcPr>
                  <w:tcW w:w="3645" w:type="dxa"/>
                  <w:noWrap w:val="0"/>
                  <w:vAlign w:val="center"/>
                </w:tcPr>
                <w:p w14:paraId="0BED3DEA">
                  <w:pPr>
                    <w:pStyle w:val="27"/>
                    <w:keepNext w:val="0"/>
                    <w:keepLines w:val="0"/>
                    <w:suppressLineNumbers w:val="0"/>
                    <w:bidi w:val="0"/>
                    <w:spacing w:before="0" w:beforeAutospacing="0" w:after="0" w:afterAutospacing="0"/>
                    <w:ind w:left="0" w:leftChars="0" w:right="0" w:rightChars="0" w:firstLine="0" w:firstLineChars="0"/>
                    <w:rPr>
                      <w:color w:val="auto"/>
                      <w:highlight w:val="none"/>
                      <w:lang w:val="en-US" w:eastAsia="zh-CN"/>
                    </w:rPr>
                  </w:pPr>
                  <w:r>
                    <w:rPr>
                      <w:rFonts w:hint="eastAsia"/>
                      <w:color w:val="auto"/>
                      <w:highlight w:val="none"/>
                      <w:lang w:val="en-US" w:eastAsia="zh-CN"/>
                    </w:rPr>
                    <w:t>0.35m</w:t>
                  </w:r>
                  <w:r>
                    <w:rPr>
                      <w:rFonts w:hint="eastAsia"/>
                      <w:color w:val="auto"/>
                      <w:highlight w:val="none"/>
                      <w:vertAlign w:val="superscript"/>
                      <w:lang w:val="en-US" w:eastAsia="zh-CN"/>
                    </w:rPr>
                    <w:t>3</w:t>
                  </w:r>
                </w:p>
              </w:tc>
              <w:tc>
                <w:tcPr>
                  <w:tcW w:w="1122" w:type="dxa"/>
                  <w:vMerge w:val="continue"/>
                  <w:noWrap w:val="0"/>
                  <w:vAlign w:val="center"/>
                </w:tcPr>
                <w:p w14:paraId="518F1D9E">
                  <w:pPr>
                    <w:pStyle w:val="27"/>
                    <w:keepNext w:val="0"/>
                    <w:keepLines w:val="0"/>
                    <w:suppressLineNumbers w:val="0"/>
                    <w:bidi w:val="0"/>
                    <w:spacing w:before="0" w:beforeAutospacing="0" w:after="0" w:afterAutospacing="0"/>
                    <w:ind w:left="0" w:right="0"/>
                    <w:rPr>
                      <w:color w:val="auto"/>
                      <w:highlight w:val="none"/>
                      <w:lang w:val="en-US" w:eastAsia="zh-CN"/>
                    </w:rPr>
                  </w:pPr>
                </w:p>
              </w:tc>
            </w:tr>
          </w:tbl>
          <w:p w14:paraId="4ACA3F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r>
              <w:rPr>
                <w:rFonts w:hint="default"/>
                <w:color w:val="auto"/>
                <w:sz w:val="24"/>
                <w:highlight w:val="none"/>
              </w:rPr>
              <mc:AlternateContent>
                <mc:Choice Requires="wpg">
                  <w:drawing>
                    <wp:anchor distT="0" distB="0" distL="114300" distR="114300" simplePos="0" relativeHeight="251669504" behindDoc="0" locked="0" layoutInCell="1" allowOverlap="1">
                      <wp:simplePos x="0" y="0"/>
                      <wp:positionH relativeFrom="column">
                        <wp:posOffset>581025</wp:posOffset>
                      </wp:positionH>
                      <wp:positionV relativeFrom="paragraph">
                        <wp:posOffset>209550</wp:posOffset>
                      </wp:positionV>
                      <wp:extent cx="2513330" cy="1799590"/>
                      <wp:effectExtent l="0" t="0" r="21590" b="0"/>
                      <wp:wrapNone/>
                      <wp:docPr id="69" name="组合 69"/>
                      <wp:cNvGraphicFramePr/>
                      <a:graphic xmlns:a="http://schemas.openxmlformats.org/drawingml/2006/main">
                        <a:graphicData uri="http://schemas.microsoft.com/office/word/2010/wordprocessingGroup">
                          <wpg:wgp>
                            <wpg:cNvGrpSpPr/>
                            <wpg:grpSpPr>
                              <a:xfrm>
                                <a:off x="0" y="0"/>
                                <a:ext cx="2513330" cy="1799590"/>
                                <a:chOff x="4856" y="626279"/>
                                <a:chExt cx="3958" cy="2834"/>
                              </a:xfrm>
                            </wpg:grpSpPr>
                            <wps:wsp>
                              <wps:cNvPr id="19" name="矩形 470"/>
                              <wps:cNvSpPr/>
                              <wps:spPr>
                                <a:xfrm>
                                  <a:off x="7125" y="626279"/>
                                  <a:ext cx="1287" cy="433"/>
                                </a:xfrm>
                                <a:prstGeom prst="rect">
                                  <a:avLst/>
                                </a:prstGeom>
                                <a:solidFill>
                                  <a:srgbClr val="FFFFFF">
                                    <a:alpha val="0"/>
                                  </a:srgbClr>
                                </a:solidFill>
                                <a:ln>
                                  <a:noFill/>
                                </a:ln>
                              </wps:spPr>
                              <wps:txbx>
                                <w:txbxContent>
                                  <w:p w14:paraId="795597C6">
                                    <w:pPr>
                                      <w:pStyle w:val="27"/>
                                      <w:bidi w:val="0"/>
                                      <w:rPr>
                                        <w:rFonts w:hint="default"/>
                                        <w:lang w:val="en-US"/>
                                      </w:rPr>
                                    </w:pPr>
                                    <w:r>
                                      <w:rPr>
                                        <w:rFonts w:hint="eastAsia"/>
                                        <w:lang w:val="en-US" w:eastAsia="zh-CN"/>
                                      </w:rPr>
                                      <w:t>废水</w:t>
                                    </w:r>
                                  </w:p>
                                </w:txbxContent>
                              </wps:txbx>
                              <wps:bodyPr wrap="square" upright="1"/>
                            </wps:wsp>
                            <wps:wsp>
                              <wps:cNvPr id="21" name="自选图形 472"/>
                              <wps:cNvCnPr/>
                              <wps:spPr>
                                <a:xfrm>
                                  <a:off x="7681" y="626632"/>
                                  <a:ext cx="0" cy="447"/>
                                </a:xfrm>
                                <a:prstGeom prst="straightConnector1">
                                  <a:avLst/>
                                </a:prstGeom>
                                <a:ln w="9525" cap="flat" cmpd="sng">
                                  <a:solidFill>
                                    <a:srgbClr val="000000"/>
                                  </a:solidFill>
                                  <a:prstDash val="solid"/>
                                  <a:headEnd type="none" w="med" len="med"/>
                                  <a:tailEnd type="triangle" w="med" len="med"/>
                                </a:ln>
                              </wps:spPr>
                              <wps:bodyPr/>
                            </wps:wsp>
                            <wps:wsp>
                              <wps:cNvPr id="22" name="矩形 473"/>
                              <wps:cNvSpPr/>
                              <wps:spPr>
                                <a:xfrm>
                                  <a:off x="6578" y="627078"/>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8DF773">
                                    <w:pPr>
                                      <w:pStyle w:val="27"/>
                                      <w:bidi w:val="0"/>
                                      <w:rPr>
                                        <w:rFonts w:hint="eastAsia" w:eastAsia="宋体"/>
                                        <w:lang w:val="en-US" w:eastAsia="zh-CN"/>
                                      </w:rPr>
                                    </w:pPr>
                                    <w:r>
                                      <w:rPr>
                                        <w:rFonts w:hint="eastAsia"/>
                                        <w:lang w:val="en-US" w:eastAsia="zh-CN"/>
                                      </w:rPr>
                                      <w:t>中和池</w:t>
                                    </w:r>
                                  </w:p>
                                </w:txbxContent>
                              </wps:txbx>
                              <wps:bodyPr wrap="square" upright="1"/>
                            </wps:wsp>
                            <wps:wsp>
                              <wps:cNvPr id="23" name="自选图形 474"/>
                              <wps:cNvCnPr/>
                              <wps:spPr>
                                <a:xfrm>
                                  <a:off x="7699" y="627504"/>
                                  <a:ext cx="0" cy="447"/>
                                </a:xfrm>
                                <a:prstGeom prst="straightConnector1">
                                  <a:avLst/>
                                </a:prstGeom>
                                <a:ln w="9525" cap="flat" cmpd="sng">
                                  <a:solidFill>
                                    <a:srgbClr val="000000"/>
                                  </a:solidFill>
                                  <a:prstDash val="solid"/>
                                  <a:headEnd type="none" w="med" len="med"/>
                                  <a:tailEnd type="triangle" w="med" len="med"/>
                                </a:ln>
                              </wps:spPr>
                              <wps:bodyPr/>
                            </wps:wsp>
                            <wps:wsp>
                              <wps:cNvPr id="26" name="自选图形 478"/>
                              <wps:cNvCnPr>
                                <a:stCxn id="302" idx="2"/>
                                <a:endCxn id="313" idx="0"/>
                              </wps:cNvCnPr>
                              <wps:spPr>
                                <a:xfrm>
                                  <a:off x="7704" y="628378"/>
                                  <a:ext cx="1" cy="396"/>
                                </a:xfrm>
                                <a:prstGeom prst="straightConnector1">
                                  <a:avLst/>
                                </a:prstGeom>
                                <a:ln w="6350" cap="flat" cmpd="sng">
                                  <a:solidFill>
                                    <a:srgbClr val="000000"/>
                                  </a:solidFill>
                                  <a:prstDash val="solid"/>
                                  <a:headEnd type="none" w="med" len="med"/>
                                  <a:tailEnd type="triangle" w="med" len="med"/>
                                </a:ln>
                              </wps:spPr>
                              <wps:bodyPr/>
                            </wps:wsp>
                            <wps:wsp>
                              <wps:cNvPr id="28" name="矩形 473"/>
                              <wps:cNvSpPr/>
                              <wps:spPr>
                                <a:xfrm>
                                  <a:off x="6594" y="627945"/>
                                  <a:ext cx="2220"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8E9B92">
                                    <w:pPr>
                                      <w:pStyle w:val="27"/>
                                      <w:bidi w:val="0"/>
                                      <w:rPr>
                                        <w:rFonts w:hint="default" w:eastAsia="宋体"/>
                                        <w:lang w:val="en-US" w:eastAsia="zh-CN"/>
                                      </w:rPr>
                                    </w:pPr>
                                    <w:r>
                                      <w:rPr>
                                        <w:rFonts w:hint="eastAsia"/>
                                        <w:lang w:val="en-US" w:eastAsia="zh-CN"/>
                                      </w:rPr>
                                      <w:t>絮凝、沉淀</w:t>
                                    </w:r>
                                  </w:p>
                                </w:txbxContent>
                              </wps:txbx>
                              <wps:bodyPr wrap="square" upright="1"/>
                            </wps:wsp>
                            <wps:wsp>
                              <wps:cNvPr id="43" name="自选图形 478"/>
                              <wps:cNvCnPr/>
                              <wps:spPr>
                                <a:xfrm>
                                  <a:off x="6085" y="627317"/>
                                  <a:ext cx="517" cy="2"/>
                                </a:xfrm>
                                <a:prstGeom prst="straightConnector1">
                                  <a:avLst/>
                                </a:prstGeom>
                                <a:ln w="9525" cap="flat" cmpd="sng">
                                  <a:solidFill>
                                    <a:schemeClr val="tx1"/>
                                  </a:solidFill>
                                  <a:prstDash val="solid"/>
                                  <a:headEnd type="none" w="med" len="med"/>
                                  <a:tailEnd type="triangle" w="med" len="med"/>
                                </a:ln>
                              </wps:spPr>
                              <wps:bodyPr/>
                            </wps:wsp>
                            <wps:wsp>
                              <wps:cNvPr id="46" name="矩形 470"/>
                              <wps:cNvSpPr/>
                              <wps:spPr>
                                <a:xfrm>
                                  <a:off x="4856" y="627094"/>
                                  <a:ext cx="1287" cy="433"/>
                                </a:xfrm>
                                <a:prstGeom prst="rect">
                                  <a:avLst/>
                                </a:prstGeom>
                                <a:solidFill>
                                  <a:srgbClr val="FFFFFF">
                                    <a:alpha val="0"/>
                                  </a:srgbClr>
                                </a:solidFill>
                                <a:ln>
                                  <a:noFill/>
                                </a:ln>
                              </wps:spPr>
                              <wps:txbx>
                                <w:txbxContent>
                                  <w:p w14:paraId="796FF982">
                                    <w:pPr>
                                      <w:pStyle w:val="27"/>
                                      <w:bidi w:val="0"/>
                                      <w:rPr>
                                        <w:rFonts w:hint="eastAsia" w:eastAsia="宋体"/>
                                        <w:lang w:val="en-US" w:eastAsia="zh-CN"/>
                                      </w:rPr>
                                    </w:pPr>
                                    <w:r>
                                      <w:rPr>
                                        <w:rFonts w:hint="eastAsia"/>
                                        <w:lang w:val="en-US" w:eastAsia="zh-CN"/>
                                      </w:rPr>
                                      <w:t>酸（碱）</w:t>
                                    </w:r>
                                  </w:p>
                                </w:txbxContent>
                              </wps:txbx>
                              <wps:bodyPr wrap="square" upright="1"/>
                            </wps:wsp>
                            <wps:wsp>
                              <wps:cNvPr id="48" name="自选图形 478"/>
                              <wps:cNvCnPr/>
                              <wps:spPr>
                                <a:xfrm>
                                  <a:off x="6085" y="628157"/>
                                  <a:ext cx="517" cy="2"/>
                                </a:xfrm>
                                <a:prstGeom prst="straightConnector1">
                                  <a:avLst/>
                                </a:prstGeom>
                                <a:ln w="9525" cap="flat" cmpd="sng">
                                  <a:solidFill>
                                    <a:schemeClr val="tx1"/>
                                  </a:solidFill>
                                  <a:prstDash val="solid"/>
                                  <a:headEnd type="none" w="med" len="med"/>
                                  <a:tailEnd type="triangle" w="med" len="med"/>
                                </a:ln>
                              </wps:spPr>
                              <wps:bodyPr/>
                            </wps:wsp>
                            <wps:wsp>
                              <wps:cNvPr id="52" name="矩形 470"/>
                              <wps:cNvSpPr/>
                              <wps:spPr>
                                <a:xfrm>
                                  <a:off x="4931" y="627919"/>
                                  <a:ext cx="1287" cy="433"/>
                                </a:xfrm>
                                <a:prstGeom prst="rect">
                                  <a:avLst/>
                                </a:prstGeom>
                                <a:solidFill>
                                  <a:srgbClr val="FFFFFF">
                                    <a:alpha val="0"/>
                                  </a:srgbClr>
                                </a:solidFill>
                                <a:ln>
                                  <a:noFill/>
                                </a:ln>
                              </wps:spPr>
                              <wps:txbx>
                                <w:txbxContent>
                                  <w:p w14:paraId="381E9725">
                                    <w:pPr>
                                      <w:pStyle w:val="27"/>
                                      <w:bidi w:val="0"/>
                                      <w:rPr>
                                        <w:rFonts w:hint="default" w:eastAsia="宋体"/>
                                        <w:lang w:val="en-US" w:eastAsia="zh-CN"/>
                                      </w:rPr>
                                    </w:pPr>
                                    <w:r>
                                      <w:rPr>
                                        <w:rFonts w:hint="eastAsia"/>
                                        <w:lang w:val="en-US" w:eastAsia="zh-CN"/>
                                      </w:rPr>
                                      <w:t>絮凝剂</w:t>
                                    </w:r>
                                  </w:p>
                                </w:txbxContent>
                              </wps:txbx>
                              <wps:bodyPr wrap="square" upright="1"/>
                            </wps:wsp>
                            <wps:wsp>
                              <wps:cNvPr id="61" name="矩形 470"/>
                              <wps:cNvSpPr/>
                              <wps:spPr>
                                <a:xfrm>
                                  <a:off x="7131" y="628680"/>
                                  <a:ext cx="1287" cy="433"/>
                                </a:xfrm>
                                <a:prstGeom prst="rect">
                                  <a:avLst/>
                                </a:prstGeom>
                                <a:solidFill>
                                  <a:srgbClr val="FFFFFF">
                                    <a:alpha val="0"/>
                                  </a:srgbClr>
                                </a:solidFill>
                                <a:ln>
                                  <a:noFill/>
                                </a:ln>
                              </wps:spPr>
                              <wps:txbx>
                                <w:txbxContent>
                                  <w:p w14:paraId="780C1D88">
                                    <w:pPr>
                                      <w:pStyle w:val="27"/>
                                      <w:bidi w:val="0"/>
                                      <w:rPr>
                                        <w:rFonts w:hint="eastAsia" w:eastAsia="宋体"/>
                                        <w:lang w:val="en-US" w:eastAsia="zh-CN"/>
                                      </w:rPr>
                                    </w:pPr>
                                    <w:r>
                                      <w:rPr>
                                        <w:rFonts w:hint="eastAsia"/>
                                        <w:lang w:val="en-US" w:eastAsia="zh-CN"/>
                                      </w:rPr>
                                      <w:t>排放</w:t>
                                    </w:r>
                                  </w:p>
                                </w:txbxContent>
                              </wps:txbx>
                              <wps:bodyPr wrap="square" upright="1"/>
                            </wps:wsp>
                          </wpg:wgp>
                        </a:graphicData>
                      </a:graphic>
                    </wp:anchor>
                  </w:drawing>
                </mc:Choice>
                <mc:Fallback>
                  <w:pict>
                    <v:group id="_x0000_s1026" o:spid="_x0000_s1026" o:spt="203" style="position:absolute;left:0pt;margin-left:45.75pt;margin-top:16.5pt;height:141.7pt;width:197.9pt;z-index:251669504;mso-width-relative:page;mso-height-relative:page;" coordorigin="4856,626279" coordsize="3958,2834" o:gfxdata="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Czm8P/a&#10;AAAACQEAAA8AAAAAAAAAAQAgAAAAIgAAAGRycy9kb3ducmV2LnhtbFBLAQIUABQAAAAIAIdO4kDr&#10;2kKnWAQAAFMZAAAOAAAAAAAAAAEAIAAAACkBAABkcnMvZTJvRG9jLnhtbFBLBQYAAAAABgAGAFkB&#10;AADzBwAAAAA=&#10;">
                      <o:lock v:ext="edit" aspectratio="f"/>
                      <v:rect id="矩形 470" o:spid="_x0000_s1026" o:spt="1" style="position:absolute;left:7125;top:626279;height:433;width:1287;" fillcolor="#FFFFFF" filled="t" stroked="f" coordsize="21600,21600" o:gfxdata="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yrdA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14:paraId="795597C6">
                              <w:pPr>
                                <w:pStyle w:val="27"/>
                                <w:bidi w:val="0"/>
                                <w:rPr>
                                  <w:rFonts w:hint="default"/>
                                  <w:lang w:val="en-US"/>
                                </w:rPr>
                              </w:pPr>
                              <w:r>
                                <w:rPr>
                                  <w:rFonts w:hint="eastAsia"/>
                                  <w:lang w:val="en-US" w:eastAsia="zh-CN"/>
                                </w:rPr>
                                <w:t>废水</w:t>
                              </w:r>
                            </w:p>
                          </w:txbxContent>
                        </v:textbox>
                      </v:rect>
                      <v:shape id="自选图形 472" o:spid="_x0000_s1026" o:spt="32" type="#_x0000_t32" style="position:absolute;left:7681;top:626632;height:447;width:0;"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473" o:spid="_x0000_s1026" o:spt="1" style="position:absolute;left:6578;top:627078;height:433;width:2220;"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8DF773">
                              <w:pPr>
                                <w:pStyle w:val="27"/>
                                <w:bidi w:val="0"/>
                                <w:rPr>
                                  <w:rFonts w:hint="eastAsia" w:eastAsia="宋体"/>
                                  <w:lang w:val="en-US" w:eastAsia="zh-CN"/>
                                </w:rPr>
                              </w:pPr>
                              <w:r>
                                <w:rPr>
                                  <w:rFonts w:hint="eastAsia"/>
                                  <w:lang w:val="en-US" w:eastAsia="zh-CN"/>
                                </w:rPr>
                                <w:t>中和池</w:t>
                              </w:r>
                            </w:p>
                          </w:txbxContent>
                        </v:textbox>
                      </v:rect>
                      <v:shape id="自选图形 474" o:spid="_x0000_s1026" o:spt="32" type="#_x0000_t32" style="position:absolute;left:7699;top:627504;height:447;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78" o:spid="_x0000_s1026" o:spt="32" type="#_x0000_t32" style="position:absolute;left:7704;top:628378;height:396;width:1;" filled="f" stroked="t" coordsize="21600,21600" o:gfxdata="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gpA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矩形 473" o:spid="_x0000_s1026" o:spt="1" style="position:absolute;left:6594;top:627945;height:433;width:2220;"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C8E9B92">
                              <w:pPr>
                                <w:pStyle w:val="27"/>
                                <w:bidi w:val="0"/>
                                <w:rPr>
                                  <w:rFonts w:hint="default" w:eastAsia="宋体"/>
                                  <w:lang w:val="en-US" w:eastAsia="zh-CN"/>
                                </w:rPr>
                              </w:pPr>
                              <w:r>
                                <w:rPr>
                                  <w:rFonts w:hint="eastAsia"/>
                                  <w:lang w:val="en-US" w:eastAsia="zh-CN"/>
                                </w:rPr>
                                <w:t>絮凝、沉淀</w:t>
                              </w:r>
                            </w:p>
                          </w:txbxContent>
                        </v:textbox>
                      </v:rect>
                      <v:shape id="自选图形 478" o:spid="_x0000_s1026" o:spt="32" type="#_x0000_t32" style="position:absolute;left:6085;top:627317;height:2;width:517;"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rect id="矩形 470" o:spid="_x0000_s1026" o:spt="1" style="position:absolute;left:4856;top:627094;height:433;width:1287;" fillcolor="#FFFFFF" filled="t" stroked="f" coordsize="21600,21600" o:gfxdata="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5gwv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796FF982">
                              <w:pPr>
                                <w:pStyle w:val="27"/>
                                <w:bidi w:val="0"/>
                                <w:rPr>
                                  <w:rFonts w:hint="eastAsia" w:eastAsia="宋体"/>
                                  <w:lang w:val="en-US" w:eastAsia="zh-CN"/>
                                </w:rPr>
                              </w:pPr>
                              <w:r>
                                <w:rPr>
                                  <w:rFonts w:hint="eastAsia"/>
                                  <w:lang w:val="en-US" w:eastAsia="zh-CN"/>
                                </w:rPr>
                                <w:t>酸（碱）</w:t>
                              </w:r>
                            </w:p>
                          </w:txbxContent>
                        </v:textbox>
                      </v:rect>
                      <v:shape id="自选图形 478" o:spid="_x0000_s1026" o:spt="32" type="#_x0000_t32" style="position:absolute;left:6085;top:628157;height:2;width:517;"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rect id="矩形 470" o:spid="_x0000_s1026" o:spt="1" style="position:absolute;left:4931;top:627919;height:433;width:1287;" fillcolor="#FFFFFF" filled="t" stroked="f" coordsize="21600,21600" o:gfxdata="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c8b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381E9725">
                              <w:pPr>
                                <w:pStyle w:val="27"/>
                                <w:bidi w:val="0"/>
                                <w:rPr>
                                  <w:rFonts w:hint="default" w:eastAsia="宋体"/>
                                  <w:lang w:val="en-US" w:eastAsia="zh-CN"/>
                                </w:rPr>
                              </w:pPr>
                              <w:r>
                                <w:rPr>
                                  <w:rFonts w:hint="eastAsia"/>
                                  <w:lang w:val="en-US" w:eastAsia="zh-CN"/>
                                </w:rPr>
                                <w:t>絮凝剂</w:t>
                              </w:r>
                            </w:p>
                          </w:txbxContent>
                        </v:textbox>
                      </v:rect>
                      <v:rect id="矩形 470" o:spid="_x0000_s1026" o:spt="1" style="position:absolute;left:7131;top:628680;height:433;width:1287;" fillcolor="#FFFFFF" filled="t" stroked="f" coordsize="21600,21600" o:gfxdata="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sg7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780C1D88">
                              <w:pPr>
                                <w:pStyle w:val="27"/>
                                <w:bidi w:val="0"/>
                                <w:rPr>
                                  <w:rFonts w:hint="eastAsia" w:eastAsia="宋体"/>
                                  <w:lang w:val="en-US" w:eastAsia="zh-CN"/>
                                </w:rPr>
                              </w:pPr>
                              <w:r>
                                <w:rPr>
                                  <w:rFonts w:hint="eastAsia"/>
                                  <w:lang w:val="en-US" w:eastAsia="zh-CN"/>
                                </w:rPr>
                                <w:t>排放</w:t>
                              </w:r>
                            </w:p>
                          </w:txbxContent>
                        </v:textbox>
                      </v:rect>
                    </v:group>
                  </w:pict>
                </mc:Fallback>
              </mc:AlternateContent>
            </w:r>
          </w:p>
          <w:p w14:paraId="5EB7559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699BF85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0B33C3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3A2D1B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12C5977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3EDB55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5FEA94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p>
          <w:p w14:paraId="10B496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eastAsia="宋体"/>
                <w:b/>
                <w:bCs/>
                <w:snapToGrid w:val="0"/>
                <w:color w:val="auto"/>
                <w:kern w:val="0"/>
                <w:sz w:val="24"/>
                <w:highlight w:val="none"/>
                <w:lang w:val="en-US" w:eastAsia="zh-CN"/>
              </w:rPr>
            </w:pPr>
            <w:r>
              <w:rPr>
                <w:rFonts w:hint="eastAsia"/>
                <w:b/>
                <w:bCs/>
                <w:snapToGrid w:val="0"/>
                <w:color w:val="auto"/>
                <w:kern w:val="0"/>
                <w:sz w:val="24"/>
                <w:highlight w:val="none"/>
                <w:lang w:val="en-US" w:eastAsia="zh-CN"/>
              </w:rPr>
              <w:t>图4-2  本项目实验室废水处理设施工艺流程图</w:t>
            </w:r>
          </w:p>
          <w:p w14:paraId="2C7716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eastAsia="宋体"/>
                <w:b/>
                <w:bCs/>
                <w:snapToGrid w:val="0"/>
                <w:color w:val="auto"/>
                <w:kern w:val="0"/>
                <w:sz w:val="24"/>
                <w:highlight w:val="none"/>
                <w:lang w:eastAsia="zh-CN"/>
              </w:rPr>
            </w:pPr>
            <w:r>
              <w:rPr>
                <w:rFonts w:hint="eastAsia"/>
                <w:b/>
                <w:bCs/>
                <w:snapToGrid w:val="0"/>
                <w:color w:val="auto"/>
                <w:kern w:val="0"/>
                <w:sz w:val="24"/>
                <w:highlight w:val="none"/>
                <w:lang w:val="en-US" w:eastAsia="zh-CN"/>
              </w:rPr>
              <w:t>废水处理设施</w:t>
            </w:r>
            <w:r>
              <w:rPr>
                <w:rFonts w:hint="default"/>
                <w:b/>
                <w:bCs/>
                <w:snapToGrid w:val="0"/>
                <w:color w:val="auto"/>
                <w:kern w:val="0"/>
                <w:sz w:val="24"/>
                <w:highlight w:val="none"/>
              </w:rPr>
              <w:t>工艺介绍</w:t>
            </w:r>
            <w:r>
              <w:rPr>
                <w:rFonts w:hint="eastAsia"/>
                <w:b/>
                <w:bCs/>
                <w:snapToGrid w:val="0"/>
                <w:color w:val="auto"/>
                <w:kern w:val="0"/>
                <w:sz w:val="24"/>
                <w:highlight w:val="none"/>
                <w:lang w:eastAsia="zh-CN"/>
              </w:rPr>
              <w:t>：</w:t>
            </w:r>
          </w:p>
          <w:p w14:paraId="45DFD1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r>
              <w:rPr>
                <w:rFonts w:hint="eastAsia"/>
                <w:snapToGrid w:val="0"/>
                <w:color w:val="auto"/>
                <w:kern w:val="0"/>
                <w:sz w:val="24"/>
                <w:highlight w:val="none"/>
                <w:lang w:val="en-US" w:eastAsia="zh-CN"/>
              </w:rPr>
              <w:t>本项目所产生的实验室检验废水较少，废水经中和池进行统一收集</w:t>
            </w:r>
            <w:r>
              <w:rPr>
                <w:rFonts w:hint="default"/>
                <w:snapToGrid w:val="0"/>
                <w:color w:val="auto"/>
                <w:kern w:val="0"/>
                <w:sz w:val="24"/>
                <w:highlight w:val="none"/>
              </w:rPr>
              <w:t>。</w:t>
            </w:r>
            <w:r>
              <w:rPr>
                <w:rFonts w:hint="eastAsia"/>
                <w:snapToGrid w:val="0"/>
                <w:color w:val="auto"/>
                <w:kern w:val="0"/>
                <w:sz w:val="24"/>
                <w:highlight w:val="none"/>
                <w:lang w:val="en-US" w:eastAsia="zh-CN"/>
              </w:rPr>
              <w:t>废水经</w:t>
            </w:r>
            <w:r>
              <w:rPr>
                <w:rFonts w:hint="default"/>
                <w:snapToGrid w:val="0"/>
                <w:color w:val="auto"/>
                <w:kern w:val="0"/>
                <w:sz w:val="24"/>
                <w:highlight w:val="none"/>
              </w:rPr>
              <w:t>投加NaOH或稀硫酸将污水调节至适当的</w:t>
            </w:r>
            <w:r>
              <w:rPr>
                <w:rFonts w:hint="eastAsia"/>
                <w:snapToGrid w:val="0"/>
                <w:color w:val="auto"/>
                <w:kern w:val="0"/>
                <w:sz w:val="24"/>
                <w:highlight w:val="none"/>
                <w:lang w:val="en-US" w:eastAsia="zh-CN"/>
              </w:rPr>
              <w:t>p</w:t>
            </w:r>
            <w:r>
              <w:rPr>
                <w:rFonts w:hint="default"/>
                <w:snapToGrid w:val="0"/>
                <w:color w:val="auto"/>
                <w:kern w:val="0"/>
                <w:sz w:val="24"/>
                <w:highlight w:val="none"/>
              </w:rPr>
              <w:t>H值，出水自流进入絮凝</w:t>
            </w:r>
            <w:r>
              <w:rPr>
                <w:rFonts w:hint="eastAsia"/>
                <w:snapToGrid w:val="0"/>
                <w:color w:val="auto"/>
                <w:kern w:val="0"/>
                <w:sz w:val="24"/>
                <w:highlight w:val="none"/>
                <w:lang w:val="en-US" w:eastAsia="zh-CN"/>
              </w:rPr>
              <w:t>沉淀池</w:t>
            </w:r>
            <w:r>
              <w:rPr>
                <w:rFonts w:hint="default"/>
                <w:snapToGrid w:val="0"/>
                <w:color w:val="auto"/>
                <w:kern w:val="0"/>
                <w:sz w:val="24"/>
                <w:highlight w:val="none"/>
              </w:rPr>
              <w:t>。絮凝池主要用于投加PAC、PAM，进行物理化学反应，并形成易沉降的矾花，</w:t>
            </w:r>
            <w:r>
              <w:rPr>
                <w:rFonts w:hint="eastAsia"/>
                <w:snapToGrid w:val="0"/>
                <w:color w:val="auto"/>
                <w:kern w:val="0"/>
                <w:sz w:val="24"/>
                <w:highlight w:val="none"/>
                <w:lang w:val="en-US" w:eastAsia="zh-CN"/>
              </w:rPr>
              <w:t>经过一段时间的水力停留，污泥在底部沉淀，</w:t>
            </w:r>
            <w:r>
              <w:rPr>
                <w:rFonts w:hint="default"/>
                <w:snapToGrid w:val="0"/>
                <w:color w:val="auto"/>
                <w:kern w:val="0"/>
                <w:sz w:val="24"/>
                <w:highlight w:val="none"/>
              </w:rPr>
              <w:t>沉淀池出水自流进入</w:t>
            </w:r>
            <w:r>
              <w:rPr>
                <w:rFonts w:hint="eastAsia"/>
                <w:snapToGrid w:val="0"/>
                <w:color w:val="auto"/>
                <w:kern w:val="0"/>
                <w:sz w:val="24"/>
                <w:highlight w:val="none"/>
                <w:lang w:val="en-US" w:eastAsia="zh-CN"/>
              </w:rPr>
              <w:t>市政污水管网</w:t>
            </w:r>
            <w:r>
              <w:rPr>
                <w:rFonts w:hint="default"/>
                <w:snapToGrid w:val="0"/>
                <w:color w:val="auto"/>
                <w:kern w:val="0"/>
                <w:sz w:val="24"/>
                <w:highlight w:val="none"/>
              </w:rPr>
              <w:t>。</w:t>
            </w:r>
          </w:p>
          <w:p w14:paraId="4510CFC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本项目外排废水主要为生活污水、保洁废水、纯水制备浓水、反冲洗废水及实验废水，实验废水主要污染物为添加的试剂，根据添加试剂的种类进行判别，所配套污水处理设施为酸碱中和+混凝沉淀处理工艺（工艺参数见表4-4，处理工艺见流程图4-1），添加涉及重金属类、有机溶剂类检验样品，沉淀污泥作为危废收集。根据实验水样检测结果，本实验室污水处理设施无能力处理的剩余水样作为危废处置，其他种类检验过程废水进入污水处理设施处理，根据表4-1可知，本项目废水污染物浓度能够达到山南新区</w:t>
            </w:r>
            <w:r>
              <w:rPr>
                <w:rFonts w:hint="default"/>
                <w:color w:val="auto"/>
                <w:highlight w:val="none"/>
              </w:rPr>
              <w:t>污水处理厂</w:t>
            </w:r>
            <w:r>
              <w:rPr>
                <w:rFonts w:hint="eastAsia"/>
                <w:color w:val="auto"/>
                <w:highlight w:val="none"/>
                <w:lang w:val="en-US" w:eastAsia="zh-CN"/>
              </w:rPr>
              <w:t>接管标准。</w:t>
            </w:r>
            <w:r>
              <w:rPr>
                <w:rFonts w:hint="default"/>
                <w:color w:val="auto"/>
                <w:highlight w:val="none"/>
              </w:rPr>
              <w:t>因此，产生的废水排入</w:t>
            </w:r>
            <w:r>
              <w:rPr>
                <w:rFonts w:hint="eastAsia"/>
                <w:color w:val="auto"/>
                <w:highlight w:val="none"/>
              </w:rPr>
              <w:t>园区</w:t>
            </w:r>
            <w:r>
              <w:rPr>
                <w:rFonts w:hint="default"/>
                <w:color w:val="auto"/>
                <w:highlight w:val="none"/>
              </w:rPr>
              <w:t>污水处理厂可行。</w:t>
            </w:r>
          </w:p>
          <w:p w14:paraId="59C1EA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snapToGrid w:val="0"/>
                <w:color w:val="auto"/>
                <w:kern w:val="0"/>
                <w:sz w:val="24"/>
                <w:highlight w:val="none"/>
              </w:rPr>
            </w:pPr>
            <w:r>
              <w:rPr>
                <w:rFonts w:hint="default"/>
                <w:snapToGrid w:val="0"/>
                <w:color w:val="auto"/>
                <w:kern w:val="0"/>
                <w:sz w:val="24"/>
                <w:highlight w:val="none"/>
              </w:rPr>
              <w:t>综上所述，本项目生活污水依托</w:t>
            </w:r>
            <w:r>
              <w:rPr>
                <w:rFonts w:hint="eastAsia"/>
                <w:snapToGrid w:val="0"/>
                <w:color w:val="auto"/>
                <w:kern w:val="0"/>
                <w:sz w:val="24"/>
                <w:highlight w:val="none"/>
              </w:rPr>
              <w:t>厂区现有</w:t>
            </w:r>
            <w:r>
              <w:rPr>
                <w:rFonts w:hint="default"/>
                <w:snapToGrid w:val="0"/>
                <w:color w:val="auto"/>
                <w:kern w:val="0"/>
                <w:sz w:val="24"/>
                <w:highlight w:val="none"/>
              </w:rPr>
              <w:t>化粪池</w:t>
            </w:r>
            <w:r>
              <w:rPr>
                <w:rFonts w:hint="eastAsia"/>
                <w:snapToGrid w:val="0"/>
                <w:color w:val="auto"/>
                <w:kern w:val="0"/>
                <w:sz w:val="24"/>
                <w:highlight w:val="none"/>
              </w:rPr>
              <w:t>、依托</w:t>
            </w:r>
            <w:r>
              <w:rPr>
                <w:rFonts w:hint="eastAsia"/>
                <w:color w:val="auto"/>
                <w:highlight w:val="none"/>
                <w:lang w:val="en-US" w:eastAsia="zh-CN"/>
              </w:rPr>
              <w:t>山南新区</w:t>
            </w:r>
            <w:r>
              <w:rPr>
                <w:rFonts w:hint="default"/>
                <w:color w:val="auto"/>
                <w:highlight w:val="none"/>
              </w:rPr>
              <w:t>污水处理厂</w:t>
            </w:r>
            <w:r>
              <w:rPr>
                <w:rFonts w:hint="default"/>
                <w:snapToGrid w:val="0"/>
                <w:color w:val="auto"/>
                <w:kern w:val="0"/>
                <w:sz w:val="24"/>
                <w:highlight w:val="none"/>
              </w:rPr>
              <w:t>处理是可行的。</w:t>
            </w:r>
          </w:p>
          <w:p w14:paraId="151C8378">
            <w:pPr>
              <w:keepNext w:val="0"/>
              <w:keepLines w:val="0"/>
              <w:suppressLineNumbers w:val="0"/>
              <w:spacing w:before="0" w:beforeAutospacing="0" w:after="0" w:afterAutospacing="0"/>
              <w:ind w:left="0" w:right="0" w:firstLine="480"/>
              <w:rPr>
                <w:rFonts w:hint="eastAsia"/>
                <w:b/>
                <w:bCs w:val="0"/>
                <w:snapToGrid w:val="0"/>
                <w:color w:val="auto"/>
                <w:kern w:val="0"/>
                <w:sz w:val="24"/>
                <w:szCs w:val="24"/>
                <w:highlight w:val="none"/>
                <w:lang w:val="en-US" w:eastAsia="zh-CN"/>
              </w:rPr>
            </w:pPr>
            <w:r>
              <w:rPr>
                <w:rFonts w:hint="eastAsia"/>
                <w:b/>
                <w:bCs w:val="0"/>
                <w:snapToGrid w:val="0"/>
                <w:color w:val="auto"/>
                <w:kern w:val="0"/>
                <w:sz w:val="24"/>
                <w:szCs w:val="24"/>
                <w:highlight w:val="none"/>
                <w:lang w:val="en-US" w:eastAsia="zh-CN"/>
              </w:rPr>
              <w:t>（5）废水污染物自行监测计划</w:t>
            </w:r>
          </w:p>
          <w:p w14:paraId="5419FA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bCs/>
                <w:color w:val="auto"/>
                <w:spacing w:val="0"/>
                <w:szCs w:val="21"/>
                <w:highlight w:val="none"/>
                <w:lang w:val="en-US" w:eastAsia="zh-CN"/>
              </w:rPr>
            </w:pPr>
            <w:r>
              <w:rPr>
                <w:rFonts w:hint="eastAsia"/>
                <w:color w:val="auto"/>
                <w:highlight w:val="none"/>
                <w:lang w:val="en-US" w:eastAsia="zh-CN"/>
              </w:rPr>
              <w:t>项目监测频次根据《排污许可证申请与核发技术规范 总则》中规定，按照排放标准规定的监控位置设置废水排放口监测点位，</w:t>
            </w:r>
            <w:r>
              <w:rPr>
                <w:rFonts w:hint="eastAsia" w:ascii="Times New Roman" w:hAnsi="Times New Roman" w:cs="Times New Roman"/>
                <w:bCs/>
                <w:color w:val="auto"/>
                <w:spacing w:val="0"/>
                <w:szCs w:val="21"/>
                <w:highlight w:val="none"/>
                <w:lang w:val="en-US" w:eastAsia="zh-CN"/>
              </w:rPr>
              <w:t>对污染源进行日常例行监测，设置环境保护图形标志牌，本项目有关废水污染源监测点、监测项目及监测频次见表4-</w:t>
            </w:r>
            <w:r>
              <w:rPr>
                <w:rFonts w:hint="eastAsia" w:cs="Times New Roman"/>
                <w:bCs/>
                <w:color w:val="auto"/>
                <w:spacing w:val="0"/>
                <w:szCs w:val="21"/>
                <w:highlight w:val="none"/>
                <w:lang w:val="en-US" w:eastAsia="zh-CN"/>
              </w:rPr>
              <w:t>5</w:t>
            </w:r>
            <w:r>
              <w:rPr>
                <w:rFonts w:hint="eastAsia" w:ascii="Times New Roman" w:hAnsi="Times New Roman" w:cs="Times New Roman"/>
                <w:bCs/>
                <w:color w:val="auto"/>
                <w:spacing w:val="0"/>
                <w:szCs w:val="21"/>
                <w:highlight w:val="none"/>
                <w:lang w:val="en-US" w:eastAsia="zh-CN"/>
              </w:rPr>
              <w:t>。</w:t>
            </w:r>
          </w:p>
          <w:p w14:paraId="336EB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 xml:space="preserve">5 </w:t>
            </w:r>
            <w:r>
              <w:rPr>
                <w:rFonts w:hint="eastAsia"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本项目</w:t>
            </w:r>
            <w:r>
              <w:rPr>
                <w:rFonts w:hint="default" w:ascii="Times New Roman" w:hAnsi="Times New Roman" w:cs="Times New Roman"/>
                <w:b/>
                <w:color w:val="auto"/>
                <w:sz w:val="21"/>
                <w:szCs w:val="21"/>
                <w:highlight w:val="none"/>
              </w:rPr>
              <w:t>监测计划一览表</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6"/>
              <w:gridCol w:w="1100"/>
              <w:gridCol w:w="4712"/>
              <w:gridCol w:w="1205"/>
            </w:tblGrid>
            <w:tr w14:paraId="2898E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1380" w:type="pct"/>
                  <w:gridSpan w:val="2"/>
                  <w:tcBorders>
                    <w:tl2br w:val="nil"/>
                    <w:tr2bl w:val="nil"/>
                  </w:tcBorders>
                  <w:noWrap w:val="0"/>
                  <w:vAlign w:val="center"/>
                </w:tcPr>
                <w:p w14:paraId="151F146A">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2882" w:type="pct"/>
                  <w:tcBorders>
                    <w:tl2br w:val="nil"/>
                    <w:tr2bl w:val="nil"/>
                  </w:tcBorders>
                  <w:noWrap w:val="0"/>
                  <w:vAlign w:val="center"/>
                </w:tcPr>
                <w:p w14:paraId="5F844326">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737" w:type="pct"/>
                  <w:tcBorders>
                    <w:tl2br w:val="nil"/>
                    <w:tr2bl w:val="nil"/>
                  </w:tcBorders>
                  <w:noWrap w:val="0"/>
                  <w:vAlign w:val="center"/>
                </w:tcPr>
                <w:p w14:paraId="3E0FBF38">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r>
            <w:tr w14:paraId="6D9E3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707" w:type="pct"/>
                  <w:tcBorders>
                    <w:tl2br w:val="nil"/>
                    <w:tr2bl w:val="nil"/>
                  </w:tcBorders>
                  <w:noWrap w:val="0"/>
                  <w:vAlign w:val="center"/>
                </w:tcPr>
                <w:p w14:paraId="5E69C998">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污水处理设施废水排口</w:t>
                  </w:r>
                </w:p>
              </w:tc>
              <w:tc>
                <w:tcPr>
                  <w:tcW w:w="672" w:type="pct"/>
                  <w:tcBorders>
                    <w:tl2br w:val="nil"/>
                    <w:tr2bl w:val="nil"/>
                  </w:tcBorders>
                  <w:noWrap w:val="0"/>
                  <w:vAlign w:val="center"/>
                </w:tcPr>
                <w:p w14:paraId="5B645B48">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DW001</w:t>
                  </w:r>
                </w:p>
              </w:tc>
              <w:tc>
                <w:tcPr>
                  <w:tcW w:w="2882" w:type="pct"/>
                  <w:tcBorders>
                    <w:tl2br w:val="nil"/>
                    <w:tr2bl w:val="nil"/>
                  </w:tcBorders>
                  <w:noWrap w:val="0"/>
                  <w:vAlign w:val="center"/>
                </w:tcPr>
                <w:p w14:paraId="1913A928">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pH、SS、COD、BOD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-N、TP</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T</w:t>
                  </w:r>
                  <w:r>
                    <w:rPr>
                      <w:rFonts w:hint="eastAsia" w:ascii="Times New Roman" w:hAnsi="Times New Roman" w:cs="Times New Roman"/>
                      <w:color w:val="auto"/>
                      <w:kern w:val="2"/>
                      <w:sz w:val="21"/>
                      <w:szCs w:val="21"/>
                      <w:highlight w:val="none"/>
                      <w:lang w:val="en-US" w:eastAsia="zh-CN" w:bidi="ar-SA"/>
                    </w:rPr>
                    <w:t>N</w:t>
                  </w:r>
                </w:p>
              </w:tc>
              <w:tc>
                <w:tcPr>
                  <w:tcW w:w="737" w:type="pct"/>
                  <w:tcBorders>
                    <w:tl2br w:val="nil"/>
                    <w:tr2bl w:val="nil"/>
                  </w:tcBorders>
                  <w:noWrap w:val="0"/>
                  <w:vAlign w:val="center"/>
                </w:tcPr>
                <w:p w14:paraId="2826F56A">
                  <w:pPr>
                    <w:pStyle w:val="3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1次/年</w:t>
                  </w:r>
                </w:p>
              </w:tc>
            </w:tr>
          </w:tbl>
          <w:p w14:paraId="4ECCB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b/>
                <w:bCs/>
                <w:color w:val="auto"/>
                <w:sz w:val="24"/>
                <w:highlight w:val="none"/>
              </w:rPr>
            </w:pPr>
            <w:r>
              <w:rPr>
                <w:rFonts w:hint="eastAsia"/>
                <w:b/>
                <w:bCs/>
                <w:color w:val="auto"/>
                <w:sz w:val="24"/>
                <w:highlight w:val="none"/>
              </w:rPr>
              <w:t>（6）</w:t>
            </w:r>
            <w:r>
              <w:rPr>
                <w:rFonts w:hint="default"/>
                <w:b/>
                <w:bCs/>
                <w:color w:val="auto"/>
                <w:sz w:val="24"/>
                <w:highlight w:val="none"/>
              </w:rPr>
              <w:t>地表水环境影响评价结论</w:t>
            </w:r>
          </w:p>
          <w:p w14:paraId="71ACE408">
            <w:pPr>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本新建项目采用</w:t>
            </w:r>
            <w:r>
              <w:rPr>
                <w:rFonts w:hint="eastAsia"/>
                <w:color w:val="auto"/>
                <w:highlight w:val="none"/>
                <w:lang w:eastAsia="zh-CN"/>
              </w:rPr>
              <w:t>“</w:t>
            </w:r>
            <w:r>
              <w:rPr>
                <w:rFonts w:hint="default"/>
                <w:color w:val="auto"/>
                <w:highlight w:val="none"/>
              </w:rPr>
              <w:t>雨污分流制</w:t>
            </w:r>
            <w:r>
              <w:rPr>
                <w:rFonts w:hint="eastAsia"/>
                <w:color w:val="auto"/>
                <w:highlight w:val="none"/>
                <w:lang w:eastAsia="zh-CN"/>
              </w:rPr>
              <w:t>”</w:t>
            </w:r>
            <w:r>
              <w:rPr>
                <w:rFonts w:hint="default"/>
                <w:color w:val="auto"/>
                <w:highlight w:val="none"/>
              </w:rPr>
              <w:t>排水系统。雨水直接进入市政雨水管网，排入区域地表水系。项目污水不直接排入区域地表水环境，对区域水环境质量影响较小</w:t>
            </w:r>
            <w:r>
              <w:rPr>
                <w:rFonts w:hint="eastAsia"/>
                <w:color w:val="auto"/>
                <w:highlight w:val="none"/>
              </w:rPr>
              <w:t>。</w:t>
            </w:r>
          </w:p>
          <w:p w14:paraId="11E9B791">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3</w:t>
            </w:r>
            <w:r>
              <w:rPr>
                <w:rFonts w:hint="eastAsia"/>
                <w:b/>
                <w:bCs/>
                <w:color w:val="auto"/>
                <w:highlight w:val="none"/>
                <w:lang w:eastAsia="zh-CN"/>
              </w:rPr>
              <w:t>、</w:t>
            </w:r>
            <w:r>
              <w:rPr>
                <w:rFonts w:hint="default"/>
                <w:b/>
                <w:bCs/>
                <w:color w:val="auto"/>
                <w:highlight w:val="none"/>
              </w:rPr>
              <w:t>噪声</w:t>
            </w:r>
          </w:p>
          <w:p w14:paraId="1F15F76F">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（1）源强分析</w:t>
            </w:r>
          </w:p>
          <w:p w14:paraId="77E60CDF">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highlight w:val="none"/>
              </w:rPr>
            </w:pPr>
            <w:r>
              <w:rPr>
                <w:rFonts w:hint="eastAsia"/>
                <w:color w:val="auto"/>
                <w:highlight w:val="none"/>
              </w:rPr>
              <w:t>本项目投入使用后，各个实验室的设备较多，</w:t>
            </w:r>
            <w:r>
              <w:rPr>
                <w:rFonts w:hint="eastAsia"/>
                <w:color w:val="auto"/>
                <w:highlight w:val="none"/>
                <w:lang w:val="en-US" w:eastAsia="zh-CN"/>
              </w:rPr>
              <w:t>基本</w:t>
            </w:r>
            <w:r>
              <w:rPr>
                <w:rFonts w:hint="eastAsia"/>
                <w:color w:val="auto"/>
                <w:highlight w:val="none"/>
              </w:rPr>
              <w:t>均为小型实验设备。对外部环境无明显影响，本项目的主要</w:t>
            </w:r>
            <w:r>
              <w:rPr>
                <w:rFonts w:hint="eastAsia"/>
                <w:color w:val="auto"/>
                <w:highlight w:val="none"/>
                <w:lang w:val="en-US" w:eastAsia="zh-CN"/>
              </w:rPr>
              <w:t>室外</w:t>
            </w:r>
            <w:r>
              <w:rPr>
                <w:rFonts w:hint="eastAsia"/>
                <w:color w:val="auto"/>
                <w:highlight w:val="none"/>
              </w:rPr>
              <w:t>噪声源风机</w:t>
            </w:r>
            <w:r>
              <w:rPr>
                <w:rFonts w:hint="eastAsia"/>
                <w:color w:val="auto"/>
                <w:highlight w:val="none"/>
                <w:lang w:eastAsia="zh-CN"/>
              </w:rPr>
              <w:t>、</w:t>
            </w:r>
            <w:r>
              <w:rPr>
                <w:rFonts w:hint="eastAsia"/>
                <w:color w:val="auto"/>
                <w:highlight w:val="none"/>
              </w:rPr>
              <w:t>空调外机，</w:t>
            </w:r>
            <w:r>
              <w:rPr>
                <w:rFonts w:hint="default"/>
                <w:color w:val="auto"/>
                <w:highlight w:val="none"/>
              </w:rPr>
              <w:t>本次噪声评价坐标系建立以本项目</w:t>
            </w:r>
            <w:r>
              <w:rPr>
                <w:rFonts w:hint="eastAsia"/>
                <w:color w:val="auto"/>
                <w:highlight w:val="none"/>
                <w:lang w:val="en-US" w:eastAsia="zh-CN"/>
              </w:rPr>
              <w:t>办公楼</w:t>
            </w:r>
            <w:r>
              <w:rPr>
                <w:rFonts w:hint="eastAsia"/>
                <w:color w:val="auto"/>
                <w:highlight w:val="none"/>
              </w:rPr>
              <w:t>西</w:t>
            </w:r>
            <w:r>
              <w:rPr>
                <w:rFonts w:hint="default"/>
                <w:color w:val="auto"/>
                <w:highlight w:val="none"/>
              </w:rPr>
              <w:t>边界与南边界交汇点处为坐标原点（x=0.00，y=0.00），x轴正向为正东向，y轴正向为正南向。推算出各位置坐标点，主要噪声源强见表</w:t>
            </w:r>
            <w:r>
              <w:rPr>
                <w:rFonts w:hint="eastAsia"/>
                <w:color w:val="auto"/>
                <w:highlight w:val="none"/>
              </w:rPr>
              <w:t>4-</w:t>
            </w:r>
            <w:r>
              <w:rPr>
                <w:rFonts w:hint="eastAsia"/>
                <w:color w:val="auto"/>
                <w:highlight w:val="none"/>
                <w:lang w:val="en-US" w:eastAsia="zh-CN"/>
              </w:rPr>
              <w:t>7</w:t>
            </w:r>
            <w:r>
              <w:rPr>
                <w:rFonts w:hint="default"/>
                <w:color w:val="auto"/>
                <w:highlight w:val="none"/>
              </w:rPr>
              <w:t>。</w:t>
            </w:r>
            <w:r>
              <w:rPr>
                <w:rFonts w:hint="eastAsia"/>
                <w:color w:val="auto"/>
                <w:highlight w:val="none"/>
              </w:rPr>
              <w:t>根据类比设备噪声源强见下表。</w:t>
            </w:r>
          </w:p>
          <w:p w14:paraId="335E855D">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表4-</w:t>
            </w:r>
            <w:r>
              <w:rPr>
                <w:rFonts w:hint="eastAsia"/>
                <w:color w:val="auto"/>
                <w:highlight w:val="none"/>
                <w:lang w:val="en-US" w:eastAsia="zh-CN"/>
              </w:rPr>
              <w:t>6</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rPr>
              <w:t>本项目主要设备源强调查清单（室外声源）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882"/>
              <w:gridCol w:w="1127"/>
              <w:gridCol w:w="888"/>
              <w:gridCol w:w="808"/>
              <w:gridCol w:w="853"/>
              <w:gridCol w:w="1484"/>
              <w:gridCol w:w="1057"/>
              <w:gridCol w:w="656"/>
            </w:tblGrid>
            <w:tr w14:paraId="1BA8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6" w:type="pct"/>
                  <w:vMerge w:val="restart"/>
                  <w:noWrap w:val="0"/>
                  <w:vAlign w:val="center"/>
                </w:tcPr>
                <w:p w14:paraId="10F0A180">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序号</w:t>
                  </w:r>
                </w:p>
              </w:tc>
              <w:tc>
                <w:tcPr>
                  <w:tcW w:w="539" w:type="pct"/>
                  <w:vMerge w:val="restart"/>
                  <w:noWrap w:val="0"/>
                  <w:vAlign w:val="center"/>
                </w:tcPr>
                <w:p w14:paraId="485E31D2">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设备</w:t>
                  </w:r>
                </w:p>
                <w:p w14:paraId="23FDEA6C">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名称</w:t>
                  </w:r>
                </w:p>
              </w:tc>
              <w:tc>
                <w:tcPr>
                  <w:tcW w:w="689" w:type="pct"/>
                  <w:vMerge w:val="restart"/>
                  <w:noWrap w:val="0"/>
                  <w:vAlign w:val="center"/>
                </w:tcPr>
                <w:p w14:paraId="3219066E">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规格</w:t>
                  </w:r>
                </w:p>
                <w:p w14:paraId="5BBC743E">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型号</w:t>
                  </w:r>
                </w:p>
              </w:tc>
              <w:tc>
                <w:tcPr>
                  <w:tcW w:w="1558" w:type="pct"/>
                  <w:gridSpan w:val="3"/>
                  <w:noWrap w:val="0"/>
                  <w:vAlign w:val="center"/>
                </w:tcPr>
                <w:p w14:paraId="33F4A384">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空间相对位置</w:t>
                  </w:r>
                </w:p>
              </w:tc>
              <w:tc>
                <w:tcPr>
                  <w:tcW w:w="907" w:type="pct"/>
                  <w:vMerge w:val="restart"/>
                  <w:noWrap w:val="0"/>
                  <w:vAlign w:val="center"/>
                </w:tcPr>
                <w:p w14:paraId="6D039B52">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声压级/距离声源距离dB（A）/m</w:t>
                  </w:r>
                </w:p>
              </w:tc>
              <w:tc>
                <w:tcPr>
                  <w:tcW w:w="646" w:type="pct"/>
                  <w:vMerge w:val="restart"/>
                  <w:noWrap w:val="0"/>
                  <w:vAlign w:val="center"/>
                </w:tcPr>
                <w:p w14:paraId="3B97EF32">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声源控制措施</w:t>
                  </w:r>
                </w:p>
              </w:tc>
              <w:tc>
                <w:tcPr>
                  <w:tcW w:w="401" w:type="pct"/>
                  <w:vMerge w:val="restart"/>
                  <w:noWrap w:val="0"/>
                  <w:vAlign w:val="center"/>
                </w:tcPr>
                <w:p w14:paraId="2AFE89BF">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运行时段</w:t>
                  </w:r>
                </w:p>
              </w:tc>
            </w:tr>
            <w:tr w14:paraId="2E6A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56" w:type="pct"/>
                  <w:vMerge w:val="continue"/>
                  <w:noWrap w:val="0"/>
                  <w:vAlign w:val="center"/>
                </w:tcPr>
                <w:p w14:paraId="4A51FAB7">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539" w:type="pct"/>
                  <w:vMerge w:val="continue"/>
                  <w:noWrap w:val="0"/>
                  <w:vAlign w:val="center"/>
                </w:tcPr>
                <w:p w14:paraId="7261805B">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689" w:type="pct"/>
                  <w:vMerge w:val="continue"/>
                  <w:noWrap w:val="0"/>
                  <w:vAlign w:val="center"/>
                </w:tcPr>
                <w:p w14:paraId="4E50E73D">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543" w:type="pct"/>
                  <w:noWrap w:val="0"/>
                  <w:vAlign w:val="center"/>
                </w:tcPr>
                <w:p w14:paraId="3F9A7579">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X</w:t>
                  </w:r>
                </w:p>
              </w:tc>
              <w:tc>
                <w:tcPr>
                  <w:tcW w:w="494" w:type="pct"/>
                  <w:noWrap w:val="0"/>
                  <w:vAlign w:val="center"/>
                </w:tcPr>
                <w:p w14:paraId="139427E5">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Y</w:t>
                  </w:r>
                </w:p>
              </w:tc>
              <w:tc>
                <w:tcPr>
                  <w:tcW w:w="520" w:type="pct"/>
                  <w:noWrap w:val="0"/>
                  <w:vAlign w:val="center"/>
                </w:tcPr>
                <w:p w14:paraId="6D15102D">
                  <w:pPr>
                    <w:pStyle w:val="26"/>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Z</w:t>
                  </w:r>
                </w:p>
              </w:tc>
              <w:tc>
                <w:tcPr>
                  <w:tcW w:w="907" w:type="pct"/>
                  <w:vMerge w:val="continue"/>
                  <w:noWrap w:val="0"/>
                  <w:vAlign w:val="center"/>
                </w:tcPr>
                <w:p w14:paraId="5B640F45">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646" w:type="pct"/>
                  <w:vMerge w:val="continue"/>
                  <w:noWrap w:val="0"/>
                  <w:vAlign w:val="center"/>
                </w:tcPr>
                <w:p w14:paraId="038BF78D">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401" w:type="pct"/>
                  <w:vMerge w:val="continue"/>
                  <w:noWrap w:val="0"/>
                  <w:vAlign w:val="center"/>
                </w:tcPr>
                <w:p w14:paraId="1DAB256F">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r>
            <w:tr w14:paraId="0503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256" w:type="pct"/>
                  <w:noWrap w:val="0"/>
                  <w:vAlign w:val="center"/>
                </w:tcPr>
                <w:p w14:paraId="5ADA05A0">
                  <w:pPr>
                    <w:pStyle w:val="26"/>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539" w:type="pct"/>
                  <w:noWrap w:val="0"/>
                  <w:vAlign w:val="center"/>
                </w:tcPr>
                <w:p w14:paraId="5E845362">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风机</w:t>
                  </w:r>
                </w:p>
              </w:tc>
              <w:tc>
                <w:tcPr>
                  <w:tcW w:w="689" w:type="pct"/>
                  <w:noWrap w:val="0"/>
                  <w:vAlign w:val="center"/>
                </w:tcPr>
                <w:p w14:paraId="33D4045D">
                  <w:pPr>
                    <w:pStyle w:val="26"/>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543" w:type="pct"/>
                  <w:noWrap w:val="0"/>
                  <w:vAlign w:val="center"/>
                </w:tcPr>
                <w:p w14:paraId="45F93139">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28</w:t>
                  </w:r>
                </w:p>
              </w:tc>
              <w:tc>
                <w:tcPr>
                  <w:tcW w:w="494" w:type="pct"/>
                  <w:noWrap w:val="0"/>
                  <w:vAlign w:val="center"/>
                </w:tcPr>
                <w:p w14:paraId="6CD12E71">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26.1</w:t>
                  </w:r>
                </w:p>
              </w:tc>
              <w:tc>
                <w:tcPr>
                  <w:tcW w:w="520" w:type="pct"/>
                  <w:noWrap w:val="0"/>
                  <w:vAlign w:val="center"/>
                </w:tcPr>
                <w:p w14:paraId="764E4816">
                  <w:pPr>
                    <w:pStyle w:val="26"/>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1</w:t>
                  </w:r>
                  <w:r>
                    <w:rPr>
                      <w:rFonts w:hint="eastAsia" w:cs="Times New Roman"/>
                      <w:b w:val="0"/>
                      <w:bCs/>
                      <w:color w:val="auto"/>
                      <w:sz w:val="21"/>
                      <w:szCs w:val="21"/>
                      <w:highlight w:val="none"/>
                      <w:lang w:val="en-US" w:eastAsia="zh-CN"/>
                    </w:rPr>
                    <w:t>2</w:t>
                  </w:r>
                </w:p>
              </w:tc>
              <w:tc>
                <w:tcPr>
                  <w:tcW w:w="907" w:type="pct"/>
                  <w:noWrap w:val="0"/>
                  <w:vAlign w:val="center"/>
                </w:tcPr>
                <w:p w14:paraId="49738FE3">
                  <w:pPr>
                    <w:pStyle w:val="26"/>
                    <w:keepNext w:val="0"/>
                    <w:keepLines w:val="0"/>
                    <w:pageBreakBefore w:val="0"/>
                    <w:widowControl w:val="0"/>
                    <w:suppressLineNumbers w:val="0"/>
                    <w:kinsoku/>
                    <w:wordWrap/>
                    <w:overflowPunct/>
                    <w:topLinePunct w:val="0"/>
                    <w:bidi w:val="0"/>
                    <w:spacing w:before="0" w:beforeAutospacing="0" w:after="0" w:afterAutospacing="0" w:line="240" w:lineRule="atLeast"/>
                    <w:ind w:left="0" w:right="0" w:firstLine="0" w:firstLineChars="0"/>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85</w:t>
                  </w:r>
                  <w:r>
                    <w:rPr>
                      <w:rFonts w:hint="default" w:ascii="Times New Roman" w:hAnsi="Times New Roman" w:cs="Times New Roman"/>
                      <w:b w:val="0"/>
                      <w:bCs/>
                      <w:color w:val="auto"/>
                      <w:sz w:val="21"/>
                      <w:szCs w:val="21"/>
                      <w:highlight w:val="none"/>
                    </w:rPr>
                    <w:t>/1</w:t>
                  </w:r>
                </w:p>
              </w:tc>
              <w:tc>
                <w:tcPr>
                  <w:tcW w:w="646" w:type="pct"/>
                  <w:vMerge w:val="restart"/>
                  <w:noWrap w:val="0"/>
                  <w:vAlign w:val="center"/>
                </w:tcPr>
                <w:p w14:paraId="5C06C661">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 w:val="0"/>
                      <w:bCs/>
                      <w:color w:val="auto"/>
                      <w:sz w:val="21"/>
                      <w:szCs w:val="21"/>
                      <w:highlight w:val="none"/>
                    </w:rPr>
                    <w:t>选用低噪声设备，</w:t>
                  </w:r>
                  <w:r>
                    <w:rPr>
                      <w:rFonts w:hint="eastAsia" w:cs="Times New Roman"/>
                      <w:b w:val="0"/>
                      <w:bCs/>
                      <w:color w:val="auto"/>
                      <w:sz w:val="21"/>
                      <w:szCs w:val="21"/>
                      <w:highlight w:val="none"/>
                      <w:lang w:val="en-US" w:eastAsia="zh-CN"/>
                    </w:rPr>
                    <w:t>安装隔声垫</w:t>
                  </w:r>
                </w:p>
              </w:tc>
              <w:tc>
                <w:tcPr>
                  <w:tcW w:w="401" w:type="pct"/>
                  <w:vMerge w:val="restart"/>
                  <w:noWrap w:val="0"/>
                  <w:vAlign w:val="center"/>
                </w:tcPr>
                <w:p w14:paraId="0C755A4B">
                  <w:pPr>
                    <w:pStyle w:val="26"/>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b w:val="0"/>
                      <w:bCs/>
                      <w:color w:val="auto"/>
                      <w:sz w:val="21"/>
                      <w:szCs w:val="21"/>
                      <w:highlight w:val="none"/>
                    </w:rPr>
                    <w:t>昼间运行</w:t>
                  </w:r>
                </w:p>
              </w:tc>
            </w:tr>
            <w:tr w14:paraId="0396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256" w:type="pct"/>
                  <w:noWrap w:val="0"/>
                  <w:vAlign w:val="center"/>
                </w:tcPr>
                <w:p w14:paraId="05E8DB07">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p>
              </w:tc>
              <w:tc>
                <w:tcPr>
                  <w:tcW w:w="539" w:type="pct"/>
                  <w:noWrap w:val="0"/>
                  <w:vAlign w:val="center"/>
                </w:tcPr>
                <w:p w14:paraId="3A49E62A">
                  <w:pPr>
                    <w:pStyle w:val="26"/>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风机</w:t>
                  </w:r>
                </w:p>
              </w:tc>
              <w:tc>
                <w:tcPr>
                  <w:tcW w:w="689" w:type="pct"/>
                  <w:noWrap w:val="0"/>
                  <w:vAlign w:val="center"/>
                </w:tcPr>
                <w:p w14:paraId="0F2FC67D">
                  <w:pPr>
                    <w:pStyle w:val="26"/>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543" w:type="pct"/>
                  <w:noWrap w:val="0"/>
                  <w:vAlign w:val="center"/>
                </w:tcPr>
                <w:p w14:paraId="2A779F1D">
                  <w:pPr>
                    <w:pStyle w:val="2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26</w:t>
                  </w:r>
                </w:p>
              </w:tc>
              <w:tc>
                <w:tcPr>
                  <w:tcW w:w="494" w:type="pct"/>
                  <w:noWrap w:val="0"/>
                  <w:vAlign w:val="center"/>
                </w:tcPr>
                <w:p w14:paraId="7B038FDA">
                  <w:pPr>
                    <w:pStyle w:val="2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 w:val="21"/>
                      <w:szCs w:val="21"/>
                      <w:highlight w:val="none"/>
                      <w:lang w:val="en-US"/>
                    </w:rPr>
                  </w:pPr>
                  <w:r>
                    <w:rPr>
                      <w:rFonts w:hint="eastAsia" w:cs="Times New Roman"/>
                      <w:b w:val="0"/>
                      <w:bCs/>
                      <w:color w:val="auto"/>
                      <w:sz w:val="21"/>
                      <w:szCs w:val="21"/>
                      <w:highlight w:val="none"/>
                      <w:lang w:val="en-US" w:eastAsia="zh-CN"/>
                    </w:rPr>
                    <w:t>26.1</w:t>
                  </w:r>
                </w:p>
              </w:tc>
              <w:tc>
                <w:tcPr>
                  <w:tcW w:w="520" w:type="pct"/>
                  <w:noWrap w:val="0"/>
                  <w:vAlign w:val="center"/>
                </w:tcPr>
                <w:p w14:paraId="2197C4CD">
                  <w:pPr>
                    <w:pStyle w:val="2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1</w:t>
                  </w:r>
                  <w:r>
                    <w:rPr>
                      <w:rFonts w:hint="eastAsia" w:cs="Times New Roman"/>
                      <w:b w:val="0"/>
                      <w:bCs/>
                      <w:color w:val="auto"/>
                      <w:sz w:val="21"/>
                      <w:szCs w:val="21"/>
                      <w:highlight w:val="none"/>
                      <w:lang w:val="en-US" w:eastAsia="zh-CN"/>
                    </w:rPr>
                    <w:t>2</w:t>
                  </w:r>
                </w:p>
              </w:tc>
              <w:tc>
                <w:tcPr>
                  <w:tcW w:w="907" w:type="pct"/>
                  <w:noWrap w:val="0"/>
                  <w:vAlign w:val="center"/>
                </w:tcPr>
                <w:p w14:paraId="25C628D5">
                  <w:pPr>
                    <w:pStyle w:val="26"/>
                    <w:keepNext w:val="0"/>
                    <w:keepLines w:val="0"/>
                    <w:pageBreakBefore w:val="0"/>
                    <w:widowControl w:val="0"/>
                    <w:suppressLineNumbers w:val="0"/>
                    <w:kinsoku/>
                    <w:wordWrap/>
                    <w:overflowPunct/>
                    <w:topLinePunct w:val="0"/>
                    <w:bidi w:val="0"/>
                    <w:spacing w:before="0" w:beforeAutospacing="0" w:after="0" w:afterAutospacing="0" w:line="240" w:lineRule="atLeast"/>
                    <w:ind w:left="0" w:right="0" w:firstLine="0" w:firstLineChars="0"/>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85</w:t>
                  </w:r>
                  <w:r>
                    <w:rPr>
                      <w:rFonts w:hint="default" w:ascii="Times New Roman" w:hAnsi="Times New Roman" w:cs="Times New Roman"/>
                      <w:b w:val="0"/>
                      <w:bCs/>
                      <w:color w:val="auto"/>
                      <w:sz w:val="21"/>
                      <w:szCs w:val="21"/>
                      <w:highlight w:val="none"/>
                    </w:rPr>
                    <w:t>/1</w:t>
                  </w:r>
                </w:p>
              </w:tc>
              <w:tc>
                <w:tcPr>
                  <w:tcW w:w="646" w:type="pct"/>
                  <w:vMerge w:val="continue"/>
                  <w:noWrap w:val="0"/>
                  <w:vAlign w:val="center"/>
                </w:tcPr>
                <w:p w14:paraId="093411BE">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401" w:type="pct"/>
                  <w:vMerge w:val="continue"/>
                  <w:noWrap w:val="0"/>
                  <w:vAlign w:val="center"/>
                </w:tcPr>
                <w:p w14:paraId="63EF3D94">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r>
            <w:tr w14:paraId="27C8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6" w:type="pct"/>
                  <w:noWrap w:val="0"/>
                  <w:vAlign w:val="center"/>
                </w:tcPr>
                <w:p w14:paraId="6545B415">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p>
              </w:tc>
              <w:tc>
                <w:tcPr>
                  <w:tcW w:w="539" w:type="pct"/>
                  <w:noWrap w:val="0"/>
                  <w:vAlign w:val="center"/>
                </w:tcPr>
                <w:p w14:paraId="16306A8B">
                  <w:pPr>
                    <w:pStyle w:val="26"/>
                    <w:keepNext w:val="0"/>
                    <w:keepLines w:val="0"/>
                    <w:suppressLineNumbers w:val="0"/>
                    <w:bidi w:val="0"/>
                    <w:spacing w:before="0" w:beforeAutospacing="0" w:after="0" w:afterAutospacing="0"/>
                    <w:ind w:left="0" w:right="0"/>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风机</w:t>
                  </w:r>
                </w:p>
              </w:tc>
              <w:tc>
                <w:tcPr>
                  <w:tcW w:w="689" w:type="pct"/>
                  <w:noWrap w:val="0"/>
                  <w:vAlign w:val="center"/>
                </w:tcPr>
                <w:p w14:paraId="6A4B4093">
                  <w:pPr>
                    <w:pStyle w:val="26"/>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543" w:type="pct"/>
                  <w:noWrap w:val="0"/>
                  <w:vAlign w:val="center"/>
                </w:tcPr>
                <w:p w14:paraId="3CC378C4">
                  <w:pPr>
                    <w:pStyle w:val="26"/>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w:t>
                  </w:r>
                </w:p>
              </w:tc>
              <w:tc>
                <w:tcPr>
                  <w:tcW w:w="494" w:type="pct"/>
                  <w:noWrap w:val="0"/>
                  <w:vAlign w:val="center"/>
                </w:tcPr>
                <w:p w14:paraId="2A5F1EDB">
                  <w:pPr>
                    <w:pStyle w:val="26"/>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color w:val="auto"/>
                      <w:sz w:val="21"/>
                      <w:szCs w:val="21"/>
                      <w:highlight w:val="none"/>
                      <w:lang w:val="en-US"/>
                    </w:rPr>
                  </w:pPr>
                  <w:r>
                    <w:rPr>
                      <w:rFonts w:hint="eastAsia" w:cs="Times New Roman"/>
                      <w:b w:val="0"/>
                      <w:bCs/>
                      <w:color w:val="auto"/>
                      <w:sz w:val="21"/>
                      <w:szCs w:val="21"/>
                      <w:highlight w:val="none"/>
                      <w:lang w:val="en-US" w:eastAsia="zh-CN"/>
                    </w:rPr>
                    <w:t>1</w:t>
                  </w:r>
                </w:p>
              </w:tc>
              <w:tc>
                <w:tcPr>
                  <w:tcW w:w="520" w:type="pct"/>
                  <w:noWrap w:val="0"/>
                  <w:vAlign w:val="center"/>
                </w:tcPr>
                <w:p w14:paraId="455ABC68">
                  <w:pPr>
                    <w:pStyle w:val="26"/>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1</w:t>
                  </w:r>
                  <w:r>
                    <w:rPr>
                      <w:rFonts w:hint="eastAsia" w:cs="Times New Roman"/>
                      <w:b w:val="0"/>
                      <w:bCs/>
                      <w:color w:val="auto"/>
                      <w:sz w:val="21"/>
                      <w:szCs w:val="21"/>
                      <w:highlight w:val="none"/>
                      <w:lang w:val="en-US" w:eastAsia="zh-CN"/>
                    </w:rPr>
                    <w:t>2</w:t>
                  </w:r>
                </w:p>
              </w:tc>
              <w:tc>
                <w:tcPr>
                  <w:tcW w:w="907" w:type="pct"/>
                  <w:noWrap w:val="0"/>
                  <w:vAlign w:val="center"/>
                </w:tcPr>
                <w:p w14:paraId="33068DA5">
                  <w:pPr>
                    <w:pStyle w:val="26"/>
                    <w:keepNext w:val="0"/>
                    <w:keepLines w:val="0"/>
                    <w:pageBreakBefore w:val="0"/>
                    <w:widowControl w:val="0"/>
                    <w:suppressLineNumbers w:val="0"/>
                    <w:kinsoku/>
                    <w:wordWrap/>
                    <w:overflowPunct/>
                    <w:topLinePunct w:val="0"/>
                    <w:bidi w:val="0"/>
                    <w:spacing w:before="0" w:beforeAutospacing="0" w:after="0" w:afterAutospacing="0" w:line="240" w:lineRule="atLeast"/>
                    <w:ind w:left="0" w:right="0" w:firstLine="0" w:firstLineChars="0"/>
                    <w:jc w:val="center"/>
                    <w:textAlignment w:val="auto"/>
                    <w:rPr>
                      <w:rFonts w:hint="default" w:ascii="Times New Roman" w:hAnsi="Times New Roman" w:cs="Times New Roman"/>
                      <w:b w:val="0"/>
                      <w:bCs/>
                      <w:color w:val="auto"/>
                      <w:sz w:val="21"/>
                      <w:szCs w:val="21"/>
                      <w:highlight w:val="none"/>
                    </w:rPr>
                  </w:pPr>
                  <w:r>
                    <w:rPr>
                      <w:rFonts w:hint="eastAsia" w:cs="Times New Roman"/>
                      <w:b w:val="0"/>
                      <w:bCs/>
                      <w:color w:val="auto"/>
                      <w:sz w:val="21"/>
                      <w:szCs w:val="21"/>
                      <w:highlight w:val="none"/>
                      <w:lang w:val="en-US" w:eastAsia="zh-CN"/>
                    </w:rPr>
                    <w:t>85</w:t>
                  </w:r>
                  <w:r>
                    <w:rPr>
                      <w:rFonts w:hint="default" w:ascii="Times New Roman" w:hAnsi="Times New Roman" w:cs="Times New Roman"/>
                      <w:b w:val="0"/>
                      <w:bCs/>
                      <w:color w:val="auto"/>
                      <w:sz w:val="21"/>
                      <w:szCs w:val="21"/>
                      <w:highlight w:val="none"/>
                    </w:rPr>
                    <w:t>/1</w:t>
                  </w:r>
                </w:p>
              </w:tc>
              <w:tc>
                <w:tcPr>
                  <w:tcW w:w="646" w:type="pct"/>
                  <w:vMerge w:val="continue"/>
                  <w:noWrap w:val="0"/>
                  <w:vAlign w:val="center"/>
                </w:tcPr>
                <w:p w14:paraId="48B5EFD8">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c>
                <w:tcPr>
                  <w:tcW w:w="401" w:type="pct"/>
                  <w:vMerge w:val="continue"/>
                  <w:noWrap w:val="0"/>
                  <w:vAlign w:val="center"/>
                </w:tcPr>
                <w:p w14:paraId="49C0306D">
                  <w:pPr>
                    <w:pStyle w:val="26"/>
                    <w:keepNext w:val="0"/>
                    <w:keepLines w:val="0"/>
                    <w:suppressLineNumbers w:val="0"/>
                    <w:bidi w:val="0"/>
                    <w:spacing w:before="0" w:beforeAutospacing="0" w:after="0" w:afterAutospacing="0"/>
                    <w:ind w:left="0" w:right="0"/>
                    <w:rPr>
                      <w:rFonts w:hint="default"/>
                      <w:color w:val="auto"/>
                      <w:sz w:val="21"/>
                      <w:szCs w:val="21"/>
                      <w:highlight w:val="none"/>
                    </w:rPr>
                  </w:pPr>
                </w:p>
              </w:tc>
            </w:tr>
          </w:tbl>
          <w:p w14:paraId="3A67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b/>
                <w:bCs/>
                <w:color w:val="auto"/>
                <w:highlight w:val="none"/>
              </w:rPr>
            </w:pPr>
            <w:r>
              <w:rPr>
                <w:rFonts w:hint="eastAsia"/>
                <w:b/>
                <w:bCs/>
                <w:color w:val="auto"/>
                <w:highlight w:val="none"/>
              </w:rPr>
              <w:t>（2）</w:t>
            </w:r>
            <w:r>
              <w:rPr>
                <w:rFonts w:hint="default"/>
                <w:b/>
                <w:bCs/>
                <w:color w:val="auto"/>
                <w:highlight w:val="none"/>
              </w:rPr>
              <w:t>项目噪声防治措施如下：</w:t>
            </w:r>
          </w:p>
          <w:p w14:paraId="5FDC3ED6">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项目噪声源主要包括</w:t>
            </w:r>
            <w:r>
              <w:rPr>
                <w:rFonts w:hint="eastAsia"/>
                <w:color w:val="auto"/>
                <w:highlight w:val="none"/>
                <w:lang w:val="en-US" w:eastAsia="zh-CN"/>
              </w:rPr>
              <w:t>风机</w:t>
            </w:r>
            <w:r>
              <w:rPr>
                <w:rFonts w:hint="eastAsia"/>
                <w:color w:val="auto"/>
                <w:highlight w:val="none"/>
              </w:rPr>
              <w:t>、</w:t>
            </w:r>
            <w:r>
              <w:rPr>
                <w:rFonts w:hint="eastAsia"/>
                <w:color w:val="auto"/>
                <w:highlight w:val="none"/>
                <w:lang w:val="en-US" w:eastAsia="zh-CN"/>
              </w:rPr>
              <w:t>空调冷却塔</w:t>
            </w:r>
            <w:r>
              <w:rPr>
                <w:rFonts w:hint="eastAsia"/>
                <w:color w:val="auto"/>
                <w:highlight w:val="none"/>
              </w:rPr>
              <w:t>等</w:t>
            </w:r>
            <w:r>
              <w:rPr>
                <w:rFonts w:hint="default"/>
                <w:color w:val="auto"/>
                <w:highlight w:val="none"/>
              </w:rPr>
              <w:t>，单台设备的噪声值</w:t>
            </w:r>
            <w:r>
              <w:rPr>
                <w:rFonts w:hint="eastAsia"/>
                <w:color w:val="auto"/>
                <w:highlight w:val="none"/>
              </w:rPr>
              <w:t>在</w:t>
            </w:r>
            <w:r>
              <w:rPr>
                <w:rFonts w:hint="eastAsia"/>
                <w:color w:val="auto"/>
                <w:highlight w:val="none"/>
                <w:lang w:val="en-US" w:eastAsia="zh-CN"/>
              </w:rPr>
              <w:t>85</w:t>
            </w:r>
            <w:r>
              <w:rPr>
                <w:rFonts w:hint="default"/>
                <w:color w:val="auto"/>
                <w:highlight w:val="none"/>
              </w:rPr>
              <w:t>～</w:t>
            </w:r>
            <w:r>
              <w:rPr>
                <w:rFonts w:hint="eastAsia"/>
                <w:color w:val="auto"/>
                <w:highlight w:val="none"/>
                <w:lang w:val="en-US" w:eastAsia="zh-CN"/>
              </w:rPr>
              <w:t>90</w:t>
            </w:r>
            <w:r>
              <w:rPr>
                <w:rFonts w:hint="default"/>
                <w:color w:val="auto"/>
                <w:highlight w:val="none"/>
              </w:rPr>
              <w:t>dB</w:t>
            </w:r>
            <w:r>
              <w:rPr>
                <w:rFonts w:hint="eastAsia"/>
                <w:color w:val="auto"/>
                <w:highlight w:val="none"/>
                <w:lang w:eastAsia="zh-CN"/>
              </w:rPr>
              <w:t>（</w:t>
            </w:r>
            <w:r>
              <w:rPr>
                <w:rFonts w:hint="default"/>
                <w:color w:val="auto"/>
                <w:highlight w:val="none"/>
              </w:rPr>
              <w:t>A</w:t>
            </w:r>
            <w:r>
              <w:rPr>
                <w:rFonts w:hint="eastAsia"/>
                <w:color w:val="auto"/>
                <w:highlight w:val="none"/>
                <w:lang w:eastAsia="zh-CN"/>
              </w:rPr>
              <w:t>）</w:t>
            </w:r>
            <w:r>
              <w:rPr>
                <w:rFonts w:hint="eastAsia"/>
                <w:color w:val="auto"/>
                <w:highlight w:val="none"/>
              </w:rPr>
              <w:t>之间</w:t>
            </w:r>
            <w:r>
              <w:rPr>
                <w:rFonts w:hint="default"/>
                <w:color w:val="auto"/>
                <w:highlight w:val="none"/>
              </w:rPr>
              <w:t>。针对噪声源的产噪特点，建设单位拟采用下列措施进行噪声控制：</w:t>
            </w:r>
          </w:p>
          <w:p w14:paraId="017B59D7">
            <w:pPr>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default"/>
                <w:color w:val="auto"/>
                <w:highlight w:val="none"/>
              </w:rPr>
              <w:t>1）选用低噪声的设备</w:t>
            </w:r>
            <w:r>
              <w:rPr>
                <w:rFonts w:hint="eastAsia"/>
                <w:color w:val="auto"/>
                <w:highlight w:val="none"/>
                <w:lang w:eastAsia="zh-CN"/>
              </w:rPr>
              <w:t>；</w:t>
            </w:r>
          </w:p>
          <w:p w14:paraId="7A19C7DF">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w:t>
            </w:r>
            <w:r>
              <w:rPr>
                <w:rFonts w:hint="eastAsia"/>
                <w:color w:val="auto"/>
                <w:highlight w:val="none"/>
                <w:lang w:val="en-US" w:eastAsia="zh-CN"/>
              </w:rPr>
              <w:t>风机等设备</w:t>
            </w:r>
            <w:r>
              <w:rPr>
                <w:rFonts w:hint="default"/>
                <w:color w:val="auto"/>
                <w:highlight w:val="none"/>
              </w:rPr>
              <w:t>安装</w:t>
            </w:r>
            <w:r>
              <w:rPr>
                <w:rFonts w:hint="eastAsia"/>
                <w:color w:val="auto"/>
                <w:highlight w:val="none"/>
                <w:lang w:eastAsia="zh-CN"/>
              </w:rPr>
              <w:t>减振</w:t>
            </w:r>
            <w:r>
              <w:rPr>
                <w:rFonts w:hint="default"/>
                <w:color w:val="auto"/>
                <w:highlight w:val="none"/>
              </w:rPr>
              <w:t>装置；</w:t>
            </w:r>
          </w:p>
          <w:p w14:paraId="1F08EA7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3）合理布局生产车间，噪声较大的设备应进行适当的减振和降噪处理，机械设备加强维修保养，适时添加机油防止机械磨损；</w:t>
            </w:r>
          </w:p>
          <w:p w14:paraId="764BE69E">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default"/>
                <w:color w:val="auto"/>
                <w:highlight w:val="none"/>
              </w:rPr>
              <w:t>4）墙壁采用吸声材料</w:t>
            </w:r>
            <w:r>
              <w:rPr>
                <w:rFonts w:hint="eastAsia"/>
                <w:color w:val="auto"/>
                <w:highlight w:val="none"/>
                <w:lang w:eastAsia="zh-CN"/>
              </w:rPr>
              <w:t>，加</w:t>
            </w:r>
            <w:r>
              <w:rPr>
                <w:rFonts w:hint="default"/>
                <w:color w:val="auto"/>
                <w:highlight w:val="none"/>
              </w:rPr>
              <w:t>装隔声门窗；</w:t>
            </w:r>
            <w:r>
              <w:rPr>
                <w:rFonts w:hint="eastAsia"/>
                <w:color w:val="auto"/>
                <w:highlight w:val="none"/>
                <w:lang w:val="en-US" w:eastAsia="zh-CN"/>
              </w:rPr>
              <w:t>在管道穿墙处和与支架接触的地方加装弹性软垫；在风管外壁加设阻尼材料（如矿物棉）以降低管壁振动；</w:t>
            </w:r>
          </w:p>
          <w:p w14:paraId="580A2694">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5）对高噪声设备增设隔声罩；</w:t>
            </w:r>
          </w:p>
          <w:p w14:paraId="7A92B0F7">
            <w:pPr>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6）部分设备排气口加装消声器；</w:t>
            </w:r>
          </w:p>
          <w:p w14:paraId="21DC0FBE">
            <w:pPr>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（3）影响预测</w:t>
            </w:r>
          </w:p>
          <w:p w14:paraId="0F272E8D">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①预测内容和预测因子</w:t>
            </w:r>
          </w:p>
          <w:p w14:paraId="64E7DBF0">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预测内容：项目厂区东、西、南、北厂界。</w:t>
            </w:r>
          </w:p>
          <w:p w14:paraId="69F4BC4A">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预测因子：昼、夜间等效声级</w:t>
            </w:r>
            <w:r>
              <w:rPr>
                <w:rFonts w:hint="default"/>
                <w:color w:val="auto"/>
                <w:highlight w:val="none"/>
              </w:rPr>
              <w:t>Ld</w:t>
            </w:r>
            <w:r>
              <w:rPr>
                <w:rFonts w:hint="eastAsia"/>
                <w:color w:val="auto"/>
                <w:highlight w:val="none"/>
              </w:rPr>
              <w:t>、</w:t>
            </w:r>
            <w:r>
              <w:rPr>
                <w:rFonts w:hint="default"/>
                <w:color w:val="auto"/>
                <w:highlight w:val="none"/>
              </w:rPr>
              <w:t>Ln</w:t>
            </w:r>
            <w:r>
              <w:rPr>
                <w:rFonts w:hint="eastAsia"/>
                <w:color w:val="auto"/>
                <w:highlight w:val="none"/>
              </w:rPr>
              <w:t>。</w:t>
            </w:r>
          </w:p>
          <w:p w14:paraId="127C8F83">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fldChar w:fldCharType="begin"/>
            </w:r>
            <w:r>
              <w:rPr>
                <w:rFonts w:hint="default"/>
                <w:color w:val="auto"/>
                <w:highlight w:val="none"/>
              </w:rPr>
              <w:instrText xml:space="preserve"> </w:instrText>
            </w:r>
            <w:r>
              <w:rPr>
                <w:rFonts w:hint="eastAsia"/>
                <w:color w:val="auto"/>
                <w:highlight w:val="none"/>
              </w:rPr>
              <w:instrText xml:space="preserve">= 2 \* GB3</w:instrText>
            </w:r>
            <w:r>
              <w:rPr>
                <w:rFonts w:hint="default"/>
                <w:color w:val="auto"/>
                <w:highlight w:val="none"/>
              </w:rPr>
              <w:instrText xml:space="preserve"> </w:instrText>
            </w:r>
            <w:r>
              <w:rPr>
                <w:rFonts w:hint="default"/>
                <w:color w:val="auto"/>
                <w:highlight w:val="none"/>
              </w:rPr>
              <w:fldChar w:fldCharType="separate"/>
            </w:r>
            <w:r>
              <w:rPr>
                <w:rFonts w:hint="eastAsia"/>
                <w:color w:val="auto"/>
                <w:highlight w:val="none"/>
              </w:rPr>
              <w:t>②</w:t>
            </w:r>
            <w:r>
              <w:rPr>
                <w:rFonts w:hint="default"/>
                <w:color w:val="auto"/>
                <w:highlight w:val="none"/>
              </w:rPr>
              <w:fldChar w:fldCharType="end"/>
            </w:r>
            <w:r>
              <w:rPr>
                <w:rFonts w:hint="eastAsia"/>
                <w:color w:val="auto"/>
                <w:highlight w:val="none"/>
              </w:rPr>
              <w:t>预测模式</w:t>
            </w:r>
          </w:p>
          <w:p w14:paraId="7BC58313">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根据《环境影响评价技术导则声环境》（HJ2.4-2021）对室内声源的预测方法，声源位于室内，室内声源可采用等效室外声源声功率级法进行计算。</w:t>
            </w:r>
            <w:r>
              <w:rPr>
                <w:rFonts w:hint="default"/>
                <w:color w:val="auto"/>
                <w:highlight w:val="none"/>
              </w:rPr>
              <w:t>设靠近开口处（或窗户）室内、室外某倍频带的声压级分别为L</w:t>
            </w:r>
            <w:r>
              <w:rPr>
                <w:rFonts w:hint="default"/>
                <w:color w:val="auto"/>
                <w:highlight w:val="none"/>
                <w:vertAlign w:val="subscript"/>
              </w:rPr>
              <w:t>p1</w:t>
            </w:r>
            <w:r>
              <w:rPr>
                <w:rFonts w:hint="default"/>
                <w:color w:val="auto"/>
                <w:highlight w:val="none"/>
              </w:rPr>
              <w:t>和L</w:t>
            </w:r>
            <w:r>
              <w:rPr>
                <w:rFonts w:hint="default"/>
                <w:color w:val="auto"/>
                <w:highlight w:val="none"/>
                <w:vertAlign w:val="subscript"/>
              </w:rPr>
              <w:t>p2</w:t>
            </w:r>
            <w:r>
              <w:rPr>
                <w:rFonts w:hint="default"/>
                <w:color w:val="auto"/>
                <w:highlight w:val="none"/>
              </w:rPr>
              <w:t>。若声源所在室内声场为近似扩散声场，则室外的倍频带声压级可按下式近似求出：</w:t>
            </w:r>
          </w:p>
          <w:p w14:paraId="2BE02FA8">
            <w:pPr>
              <w:keepNext w:val="0"/>
              <w:keepLines w:val="0"/>
              <w:suppressLineNumbers w:val="0"/>
              <w:tabs>
                <w:tab w:val="left" w:pos="0"/>
              </w:tabs>
              <w:spacing w:before="0" w:beforeAutospacing="0" w:after="0" w:afterAutospacing="0" w:line="360" w:lineRule="auto"/>
              <w:ind w:left="0" w:right="-30"/>
              <w:jc w:val="center"/>
              <w:rPr>
                <w:rFonts w:hint="default"/>
                <w:color w:val="auto"/>
                <w:sz w:val="24"/>
                <w:highlight w:val="none"/>
              </w:rPr>
            </w:pPr>
            <w:r>
              <w:rPr>
                <w:rFonts w:hint="default"/>
                <w:color w:val="auto"/>
                <w:position w:val="-14"/>
                <w:sz w:val="24"/>
                <w:highlight w:val="none"/>
              </w:rPr>
              <w:object>
                <v:shape id="_x0000_i1025" o:spt="75" type="#_x0000_t75" style="height:20.05pt;width:92.05pt;" o:ole="t" filled="f" o:preferrelative="t" stroked="f" coordsize="21600,21600">
                  <v:path/>
                  <v:fill on="f" focussize="0,0"/>
                  <v:stroke on="f"/>
                  <v:imagedata r:id="rId14" o:title=""/>
                  <o:lock v:ext="edit" aspectratio="t"/>
                  <w10:wrap type="none"/>
                  <w10:anchorlock/>
                </v:shape>
                <o:OLEObject Type="Embed" ProgID="Equation.DSMT4" ShapeID="_x0000_i1025" DrawAspect="Content" ObjectID="_1468075725" r:id="rId13">
                  <o:LockedField>false</o:LockedField>
                </o:OLEObject>
              </w:object>
            </w:r>
          </w:p>
          <w:p w14:paraId="4411E66C">
            <w:pPr>
              <w:keepNext w:val="0"/>
              <w:keepLines w:val="0"/>
              <w:suppressLineNumbers w:val="0"/>
              <w:tabs>
                <w:tab w:val="left" w:pos="0"/>
              </w:tabs>
              <w:spacing w:before="0" w:beforeAutospacing="0" w:after="0" w:afterAutospacing="0" w:line="360" w:lineRule="auto"/>
              <w:ind w:left="0" w:right="-28" w:firstLine="482"/>
              <w:rPr>
                <w:rFonts w:hint="default"/>
                <w:color w:val="auto"/>
                <w:sz w:val="24"/>
                <w:highlight w:val="none"/>
              </w:rPr>
            </w:pPr>
            <w:r>
              <w:rPr>
                <w:rFonts w:hint="default"/>
                <w:color w:val="auto"/>
                <w:sz w:val="24"/>
                <w:highlight w:val="none"/>
              </w:rPr>
              <w:t>式中：</w:t>
            </w:r>
          </w:p>
          <w:p w14:paraId="77890AE6">
            <w:pPr>
              <w:keepNext w:val="0"/>
              <w:keepLines w:val="0"/>
              <w:suppressLineNumbers w:val="0"/>
              <w:tabs>
                <w:tab w:val="left" w:pos="0"/>
              </w:tabs>
              <w:spacing w:before="0" w:beforeAutospacing="0" w:after="0" w:afterAutospacing="0" w:line="360" w:lineRule="auto"/>
              <w:ind w:left="0" w:right="-28" w:firstLine="482"/>
              <w:rPr>
                <w:rFonts w:hint="default"/>
                <w:color w:val="auto"/>
                <w:sz w:val="24"/>
                <w:highlight w:val="none"/>
              </w:rPr>
            </w:pPr>
            <w:r>
              <w:rPr>
                <w:rFonts w:hint="default"/>
                <w:color w:val="auto"/>
                <w:sz w:val="24"/>
                <w:highlight w:val="none"/>
              </w:rPr>
              <w:t>TL——隔墙（或窗户）倍频带的隔声量，dB(A)。</w:t>
            </w:r>
          </w:p>
          <w:p w14:paraId="0946B74E">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drawing>
                <wp:inline distT="0" distB="0" distL="114300" distR="114300">
                  <wp:extent cx="3136265" cy="1226820"/>
                  <wp:effectExtent l="0" t="0" r="6985" b="11430"/>
                  <wp:docPr id="30"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1"/>
                          <pic:cNvPicPr>
                            <a:picLocks noChangeAspect="1"/>
                          </pic:cNvPicPr>
                        </pic:nvPicPr>
                        <pic:blipFill>
                          <a:blip r:embed="rId15"/>
                          <a:stretch>
                            <a:fillRect/>
                          </a:stretch>
                        </pic:blipFill>
                        <pic:spPr>
                          <a:xfrm>
                            <a:off x="0" y="0"/>
                            <a:ext cx="3136265" cy="1226820"/>
                          </a:xfrm>
                          <a:prstGeom prst="rect">
                            <a:avLst/>
                          </a:prstGeom>
                          <a:noFill/>
                          <a:ln>
                            <a:noFill/>
                          </a:ln>
                        </pic:spPr>
                      </pic:pic>
                    </a:graphicData>
                  </a:graphic>
                </wp:inline>
              </w:drawing>
            </w:r>
          </w:p>
          <w:p w14:paraId="3D00C630">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图4-</w:t>
            </w:r>
            <w:r>
              <w:rPr>
                <w:rFonts w:hint="eastAsia"/>
                <w:color w:val="auto"/>
                <w:highlight w:val="none"/>
                <w:lang w:val="en-US" w:eastAsia="zh-CN"/>
              </w:rPr>
              <w:t>3</w:t>
            </w:r>
            <w:r>
              <w:rPr>
                <w:rFonts w:hint="default"/>
                <w:color w:val="auto"/>
                <w:highlight w:val="none"/>
              </w:rPr>
              <w:t xml:space="preserve"> </w:t>
            </w:r>
            <w:r>
              <w:rPr>
                <w:rFonts w:hint="eastAsia"/>
                <w:color w:val="auto"/>
                <w:highlight w:val="none"/>
                <w:lang w:val="en-US" w:eastAsia="zh-CN"/>
              </w:rPr>
              <w:t xml:space="preserve"> </w:t>
            </w:r>
            <w:r>
              <w:rPr>
                <w:rFonts w:hint="default"/>
                <w:color w:val="auto"/>
                <w:highlight w:val="none"/>
              </w:rPr>
              <w:t>室内声源等效为室外声源图例</w:t>
            </w:r>
          </w:p>
          <w:p w14:paraId="18BA6E1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也可按下式计算某一室内声源靠近围护结构处产生的倍频带声压级：</w:t>
            </w:r>
          </w:p>
          <w:p w14:paraId="245A377F">
            <w:pPr>
              <w:keepNext w:val="0"/>
              <w:keepLines w:val="0"/>
              <w:suppressLineNumbers w:val="0"/>
              <w:spacing w:before="0" w:beforeAutospacing="0" w:after="0" w:afterAutospacing="0" w:line="360" w:lineRule="auto"/>
              <w:ind w:left="0" w:leftChars="0" w:right="0" w:firstLine="0" w:firstLineChars="0"/>
              <w:jc w:val="center"/>
              <w:rPr>
                <w:rFonts w:hint="default"/>
                <w:color w:val="auto"/>
                <w:sz w:val="24"/>
                <w:highlight w:val="none"/>
              </w:rPr>
            </w:pPr>
            <w:r>
              <w:rPr>
                <w:rFonts w:hint="default"/>
                <w:color w:val="auto"/>
                <w:position w:val="-28"/>
                <w:sz w:val="24"/>
                <w:highlight w:val="none"/>
              </w:rPr>
              <w:object>
                <v:shape id="_x0000_i1026" o:spt="75" type="#_x0000_t75" style="height:34.1pt;width:135.65pt;" o:ole="t" filled="f" o:preferrelative="t" stroked="f" coordsize="21600,21600">
                  <v:path/>
                  <v:fill on="f" focussize="0,0"/>
                  <v:stroke on="f"/>
                  <v:imagedata r:id="rId17" o:title=""/>
                  <o:lock v:ext="edit" aspectratio="t"/>
                  <w10:wrap type="none"/>
                  <w10:anchorlock/>
                </v:shape>
                <o:OLEObject Type="Embed" ProgID="Equation.DSMT4" ShapeID="_x0000_i1026" DrawAspect="Content" ObjectID="_1468075726" r:id="rId16">
                  <o:LockedField>false</o:LockedField>
                </o:OLEObject>
              </w:object>
            </w:r>
          </w:p>
          <w:p w14:paraId="5F795E9A">
            <w:pPr>
              <w:keepNext w:val="0"/>
              <w:keepLines w:val="0"/>
              <w:suppressLineNumbers w:val="0"/>
              <w:autoSpaceDE w:val="0"/>
              <w:autoSpaceDN w:val="0"/>
              <w:adjustRightInd w:val="0"/>
              <w:spacing w:before="0" w:beforeAutospacing="0" w:after="0" w:afterAutospacing="0" w:line="360" w:lineRule="auto"/>
              <w:ind w:left="0" w:right="0"/>
              <w:rPr>
                <w:rFonts w:hint="default"/>
                <w:color w:val="auto"/>
                <w:kern w:val="0"/>
                <w:sz w:val="24"/>
                <w:highlight w:val="none"/>
              </w:rPr>
            </w:pPr>
            <w:r>
              <w:rPr>
                <w:rFonts w:hint="default"/>
                <w:color w:val="auto"/>
                <w:kern w:val="0"/>
                <w:sz w:val="24"/>
                <w:highlight w:val="none"/>
              </w:rPr>
              <w:t>式中：</w:t>
            </w:r>
          </w:p>
          <w:p w14:paraId="40986F9B">
            <w:pPr>
              <w:keepNext w:val="0"/>
              <w:keepLines w:val="0"/>
              <w:suppressLineNumbers w:val="0"/>
              <w:tabs>
                <w:tab w:val="left" w:pos="0"/>
              </w:tabs>
              <w:spacing w:before="0" w:beforeAutospacing="0" w:after="0" w:afterAutospacing="0" w:line="360" w:lineRule="auto"/>
              <w:ind w:left="0" w:right="-30" w:firstLine="480"/>
              <w:rPr>
                <w:rFonts w:hint="default"/>
                <w:color w:val="auto"/>
                <w:sz w:val="24"/>
                <w:highlight w:val="none"/>
              </w:rPr>
            </w:pPr>
            <w:r>
              <w:rPr>
                <w:rFonts w:hint="default"/>
                <w:color w:val="auto"/>
                <w:sz w:val="24"/>
                <w:highlight w:val="none"/>
              </w:rPr>
              <w:t>Q——指向性因数，通常对无指向性声源，当声源放在房间中心时，Q=1；当放在一面墙的中心时，Q=2；当放在两面墙夹角处时，Q=4；当放在三面墙夹角处时，Q=8；</w:t>
            </w:r>
          </w:p>
          <w:p w14:paraId="48E887AB">
            <w:pPr>
              <w:keepNext w:val="0"/>
              <w:keepLines w:val="0"/>
              <w:suppressLineNumbers w:val="0"/>
              <w:tabs>
                <w:tab w:val="left" w:pos="0"/>
              </w:tabs>
              <w:spacing w:before="0" w:beforeAutospacing="0" w:after="0" w:afterAutospacing="0" w:line="360" w:lineRule="auto"/>
              <w:ind w:left="0" w:right="-30" w:firstLine="480"/>
              <w:rPr>
                <w:rFonts w:hint="default"/>
                <w:color w:val="auto"/>
                <w:sz w:val="24"/>
                <w:highlight w:val="none"/>
              </w:rPr>
            </w:pPr>
            <w:r>
              <w:rPr>
                <w:rFonts w:hint="default"/>
                <w:color w:val="auto"/>
                <w:sz w:val="24"/>
                <w:highlight w:val="none"/>
              </w:rPr>
              <w:t>R——房间常数，R=Sα/（1-α），S为房间内表面面积，m</w:t>
            </w:r>
            <w:r>
              <w:rPr>
                <w:rFonts w:hint="default"/>
                <w:color w:val="auto"/>
                <w:sz w:val="24"/>
                <w:highlight w:val="none"/>
                <w:vertAlign w:val="superscript"/>
              </w:rPr>
              <w:t>2</w:t>
            </w:r>
            <w:r>
              <w:rPr>
                <w:rFonts w:hint="default"/>
                <w:color w:val="auto"/>
                <w:sz w:val="24"/>
                <w:highlight w:val="none"/>
              </w:rPr>
              <w:t>，α为平均吸声系数；</w:t>
            </w:r>
          </w:p>
          <w:p w14:paraId="30300F3E">
            <w:pPr>
              <w:keepNext w:val="0"/>
              <w:keepLines w:val="0"/>
              <w:suppressLineNumbers w:val="0"/>
              <w:tabs>
                <w:tab w:val="left" w:pos="0"/>
              </w:tabs>
              <w:spacing w:before="0" w:beforeAutospacing="0" w:after="0" w:afterAutospacing="0" w:line="360" w:lineRule="auto"/>
              <w:ind w:left="0" w:right="-30" w:firstLine="480"/>
              <w:rPr>
                <w:rFonts w:hint="default"/>
                <w:color w:val="auto"/>
                <w:sz w:val="24"/>
                <w:highlight w:val="none"/>
              </w:rPr>
            </w:pPr>
            <w:r>
              <w:rPr>
                <w:rFonts w:hint="default"/>
                <w:color w:val="auto"/>
                <w:sz w:val="24"/>
                <w:highlight w:val="none"/>
              </w:rPr>
              <w:t>r——声源到靠近围护结构某点处的距离，m。</w:t>
            </w:r>
          </w:p>
          <w:p w14:paraId="4B3732C5">
            <w:pPr>
              <w:keepNext w:val="0"/>
              <w:keepLines w:val="0"/>
              <w:suppressLineNumbers w:val="0"/>
              <w:tabs>
                <w:tab w:val="left" w:pos="0"/>
              </w:tabs>
              <w:spacing w:before="0" w:beforeAutospacing="0" w:after="0" w:afterAutospacing="0" w:line="360" w:lineRule="auto"/>
              <w:ind w:left="0" w:right="-30" w:firstLine="480"/>
              <w:rPr>
                <w:rFonts w:hint="default"/>
                <w:color w:val="auto"/>
                <w:sz w:val="24"/>
                <w:highlight w:val="none"/>
              </w:rPr>
            </w:pPr>
            <w:r>
              <w:rPr>
                <w:rFonts w:hint="default"/>
                <w:color w:val="auto"/>
                <w:sz w:val="24"/>
                <w:highlight w:val="none"/>
              </w:rPr>
              <w:t>然后按下式计算出所有室内声源在围护结构处产生的i倍频带叠加声压级：</w:t>
            </w:r>
          </w:p>
          <w:p w14:paraId="2439D4CF">
            <w:pPr>
              <w:pStyle w:val="26"/>
              <w:keepNext w:val="0"/>
              <w:keepLines w:val="0"/>
              <w:suppressLineNumbers w:val="0"/>
              <w:bidi w:val="0"/>
              <w:spacing w:before="0" w:beforeAutospacing="0" w:after="0" w:afterAutospacing="0"/>
              <w:ind w:left="0" w:right="0"/>
              <w:rPr>
                <w:rFonts w:hint="default"/>
                <w:color w:val="auto"/>
                <w:sz w:val="24"/>
                <w:highlight w:val="none"/>
              </w:rPr>
            </w:pPr>
            <w:r>
              <w:rPr>
                <w:rFonts w:hint="default"/>
                <w:color w:val="auto"/>
                <w:position w:val="-32"/>
                <w:sz w:val="24"/>
                <w:highlight w:val="none"/>
              </w:rPr>
              <w:object>
                <v:shape id="_x0000_i1027" o:spt="75" type="#_x0000_t75" style="height:38.1pt;width:133.65pt;" o:ole="t" filled="f" o:preferrelative="t" stroked="f" coordsize="21600,21600">
                  <v:path/>
                  <v:fill on="f" focussize="0,0"/>
                  <v:stroke on="f"/>
                  <v:imagedata r:id="rId19" o:title=""/>
                  <o:lock v:ext="edit" aspectratio="t"/>
                  <w10:wrap type="none"/>
                  <w10:anchorlock/>
                </v:shape>
                <o:OLEObject Type="Embed" ProgID="Equation.DSMT4" ShapeID="_x0000_i1027" DrawAspect="Content" ObjectID="_1468075727" r:id="rId18">
                  <o:LockedField>false</o:LockedField>
                </o:OLEObject>
              </w:object>
            </w:r>
          </w:p>
          <w:p w14:paraId="01A04DF1">
            <w:pPr>
              <w:keepNext w:val="0"/>
              <w:keepLines w:val="0"/>
              <w:suppressLineNumbers w:val="0"/>
              <w:autoSpaceDE w:val="0"/>
              <w:autoSpaceDN w:val="0"/>
              <w:adjustRightInd w:val="0"/>
              <w:spacing w:before="0" w:beforeAutospacing="0" w:after="0" w:afterAutospacing="0" w:line="360" w:lineRule="auto"/>
              <w:ind w:left="1180" w:right="0" w:hanging="1180"/>
              <w:rPr>
                <w:rFonts w:hint="default"/>
                <w:color w:val="auto"/>
                <w:kern w:val="0"/>
                <w:sz w:val="24"/>
                <w:highlight w:val="none"/>
              </w:rPr>
            </w:pPr>
            <w:r>
              <w:rPr>
                <w:rFonts w:hint="default"/>
                <w:color w:val="auto"/>
                <w:kern w:val="0"/>
                <w:sz w:val="24"/>
                <w:highlight w:val="none"/>
              </w:rPr>
              <w:t>式中：</w:t>
            </w:r>
          </w:p>
          <w:p w14:paraId="55827E34">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i/>
                <w:color w:val="auto"/>
                <w:kern w:val="0"/>
                <w:sz w:val="24"/>
                <w:highlight w:val="none"/>
              </w:rPr>
              <w:t>L</w:t>
            </w:r>
            <w:r>
              <w:rPr>
                <w:rFonts w:hint="default"/>
                <w:i/>
                <w:color w:val="auto"/>
                <w:kern w:val="0"/>
                <w:sz w:val="24"/>
                <w:highlight w:val="none"/>
                <w:vertAlign w:val="subscript"/>
              </w:rPr>
              <w:t>p1i</w:t>
            </w:r>
            <w:r>
              <w:rPr>
                <w:rFonts w:hint="default"/>
                <w:color w:val="auto"/>
                <w:kern w:val="0"/>
                <w:sz w:val="24"/>
                <w:highlight w:val="none"/>
              </w:rPr>
              <w:t>(T)——靠近围护结构处室内N个声源i倍频带的叠加声压级，dB；</w:t>
            </w:r>
          </w:p>
          <w:p w14:paraId="7424F27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i/>
                <w:color w:val="auto"/>
                <w:kern w:val="0"/>
                <w:sz w:val="24"/>
                <w:highlight w:val="none"/>
              </w:rPr>
              <w:t>L</w:t>
            </w:r>
            <w:r>
              <w:rPr>
                <w:rFonts w:hint="default"/>
                <w:i/>
                <w:color w:val="auto"/>
                <w:kern w:val="0"/>
                <w:sz w:val="24"/>
                <w:highlight w:val="none"/>
                <w:vertAlign w:val="subscript"/>
              </w:rPr>
              <w:t>p1ij</w:t>
            </w:r>
            <w:r>
              <w:rPr>
                <w:rFonts w:hint="default"/>
                <w:color w:val="auto"/>
                <w:kern w:val="0"/>
                <w:sz w:val="24"/>
                <w:highlight w:val="none"/>
              </w:rPr>
              <w:t>——室内j声源i倍频带的声压级，dB；</w:t>
            </w:r>
          </w:p>
          <w:p w14:paraId="16B44DDF">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N——室内声源总数。</w:t>
            </w:r>
          </w:p>
          <w:p w14:paraId="20B68AB6">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sz w:val="24"/>
                <w:highlight w:val="none"/>
              </w:rPr>
              <w:t>在室内近似为扩散声场时，按下式计算出靠近室外围护结构处的声压级：</w:t>
            </w:r>
          </w:p>
          <w:p w14:paraId="1F130F13">
            <w:pPr>
              <w:pStyle w:val="26"/>
              <w:keepNext w:val="0"/>
              <w:keepLines w:val="0"/>
              <w:suppressLineNumbers w:val="0"/>
              <w:bidi w:val="0"/>
              <w:spacing w:before="0" w:beforeAutospacing="0" w:after="0" w:afterAutospacing="0"/>
              <w:ind w:left="0" w:right="0"/>
              <w:rPr>
                <w:rFonts w:hint="default"/>
                <w:color w:val="auto"/>
                <w:sz w:val="24"/>
                <w:highlight w:val="none"/>
              </w:rPr>
            </w:pPr>
            <w:r>
              <w:rPr>
                <w:rFonts w:hint="default"/>
                <w:color w:val="auto"/>
                <w:position w:val="-14"/>
                <w:sz w:val="24"/>
                <w:highlight w:val="none"/>
              </w:rPr>
              <w:object>
                <v:shape id="_x0000_i1028" o:spt="75" type="#_x0000_t75" style="height:20.05pt;width:135.65pt;" o:ole="t" filled="f" o:preferrelative="t" stroked="f" coordsize="21600,21600">
                  <v:path/>
                  <v:fill on="f" focussize="0,0"/>
                  <v:stroke on="f"/>
                  <v:imagedata r:id="rId21" o:title=""/>
                  <o:lock v:ext="edit" aspectratio="t"/>
                  <w10:wrap type="none"/>
                  <w10:anchorlock/>
                </v:shape>
                <o:OLEObject Type="Embed" ProgID="Equation.DSMT4" ShapeID="_x0000_i1028" DrawAspect="Content" ObjectID="_1468075728" r:id="rId20">
                  <o:LockedField>false</o:LockedField>
                </o:OLEObject>
              </w:object>
            </w:r>
          </w:p>
          <w:p w14:paraId="5F033BBA">
            <w:pPr>
              <w:keepNext w:val="0"/>
              <w:keepLines w:val="0"/>
              <w:suppressLineNumbers w:val="0"/>
              <w:autoSpaceDE w:val="0"/>
              <w:autoSpaceDN w:val="0"/>
              <w:adjustRightInd w:val="0"/>
              <w:spacing w:before="0" w:beforeAutospacing="0" w:after="0" w:afterAutospacing="0" w:line="360" w:lineRule="auto"/>
              <w:ind w:left="1180" w:right="0" w:hanging="1180"/>
              <w:rPr>
                <w:rFonts w:hint="default"/>
                <w:color w:val="auto"/>
                <w:kern w:val="0"/>
                <w:sz w:val="24"/>
                <w:highlight w:val="none"/>
              </w:rPr>
            </w:pPr>
            <w:r>
              <w:rPr>
                <w:rFonts w:hint="default"/>
                <w:color w:val="auto"/>
                <w:kern w:val="0"/>
                <w:sz w:val="24"/>
                <w:highlight w:val="none"/>
              </w:rPr>
              <w:t>式中：</w:t>
            </w:r>
          </w:p>
          <w:p w14:paraId="73F06238">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i/>
                <w:color w:val="auto"/>
                <w:kern w:val="0"/>
                <w:sz w:val="24"/>
                <w:highlight w:val="none"/>
              </w:rPr>
              <w:t>L</w:t>
            </w:r>
            <w:r>
              <w:rPr>
                <w:rFonts w:hint="default"/>
                <w:i/>
                <w:color w:val="auto"/>
                <w:kern w:val="0"/>
                <w:sz w:val="24"/>
                <w:highlight w:val="none"/>
                <w:vertAlign w:val="subscript"/>
              </w:rPr>
              <w:t>p2i</w:t>
            </w:r>
            <w:r>
              <w:rPr>
                <w:rFonts w:hint="default"/>
                <w:color w:val="auto"/>
                <w:kern w:val="0"/>
                <w:sz w:val="24"/>
                <w:highlight w:val="none"/>
              </w:rPr>
              <w:t>(T)——靠近围护结构处室外N个声源</w:t>
            </w:r>
            <w:r>
              <w:rPr>
                <w:rFonts w:hint="default"/>
                <w:i/>
                <w:color w:val="auto"/>
                <w:kern w:val="0"/>
                <w:sz w:val="24"/>
                <w:highlight w:val="none"/>
              </w:rPr>
              <w:t>i</w:t>
            </w:r>
            <w:r>
              <w:rPr>
                <w:rFonts w:hint="default"/>
                <w:color w:val="auto"/>
                <w:kern w:val="0"/>
                <w:sz w:val="24"/>
                <w:highlight w:val="none"/>
              </w:rPr>
              <w:t>倍频带的叠加声压级，dB；</w:t>
            </w:r>
          </w:p>
          <w:p w14:paraId="7D6E5B6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kern w:val="0"/>
                <w:sz w:val="24"/>
                <w:highlight w:val="none"/>
              </w:rPr>
            </w:pPr>
            <w:r>
              <w:rPr>
                <w:rFonts w:hint="default"/>
                <w:i/>
                <w:color w:val="auto"/>
                <w:kern w:val="0"/>
                <w:sz w:val="24"/>
                <w:highlight w:val="none"/>
              </w:rPr>
              <w:t>TL</w:t>
            </w:r>
            <w:r>
              <w:rPr>
                <w:rFonts w:hint="default"/>
                <w:i/>
                <w:color w:val="auto"/>
                <w:kern w:val="0"/>
                <w:sz w:val="24"/>
                <w:highlight w:val="none"/>
                <w:vertAlign w:val="subscript"/>
              </w:rPr>
              <w:t>i</w:t>
            </w:r>
            <w:r>
              <w:rPr>
                <w:rFonts w:hint="default"/>
                <w:color w:val="auto"/>
                <w:kern w:val="0"/>
                <w:sz w:val="24"/>
                <w:highlight w:val="none"/>
              </w:rPr>
              <w:t>——围护结构</w:t>
            </w:r>
            <w:r>
              <w:rPr>
                <w:rFonts w:hint="default"/>
                <w:i/>
                <w:color w:val="auto"/>
                <w:kern w:val="0"/>
                <w:sz w:val="24"/>
                <w:highlight w:val="none"/>
              </w:rPr>
              <w:t>i</w:t>
            </w:r>
            <w:r>
              <w:rPr>
                <w:rFonts w:hint="default"/>
                <w:color w:val="auto"/>
                <w:kern w:val="0"/>
                <w:sz w:val="24"/>
                <w:highlight w:val="none"/>
              </w:rPr>
              <w:t>倍频带的隔声量，dB。</w:t>
            </w:r>
          </w:p>
          <w:p w14:paraId="6AE8911F">
            <w:pPr>
              <w:keepNext w:val="0"/>
              <w:keepLines w:val="0"/>
              <w:suppressLineNumbers w:val="0"/>
              <w:tabs>
                <w:tab w:val="left" w:pos="0"/>
              </w:tabs>
              <w:spacing w:before="0" w:beforeAutospacing="0" w:after="0" w:afterAutospacing="0" w:line="360" w:lineRule="auto"/>
              <w:ind w:left="0" w:right="-30" w:firstLine="480"/>
              <w:rPr>
                <w:rFonts w:hint="default"/>
                <w:color w:val="auto"/>
                <w:sz w:val="24"/>
                <w:highlight w:val="none"/>
              </w:rPr>
            </w:pPr>
            <w:r>
              <w:rPr>
                <w:rFonts w:hint="default"/>
                <w:color w:val="auto"/>
                <w:sz w:val="24"/>
                <w:highlight w:val="none"/>
              </w:rPr>
              <w:t>然后按下式将室外声源的声压级和透</w:t>
            </w:r>
            <w:r>
              <w:rPr>
                <w:rFonts w:hint="eastAsia"/>
                <w:color w:val="auto"/>
                <w:sz w:val="24"/>
                <w:highlight w:val="none"/>
                <w:lang w:eastAsia="zh-CN"/>
              </w:rPr>
              <w:t>声</w:t>
            </w:r>
            <w:r>
              <w:rPr>
                <w:rFonts w:hint="default"/>
                <w:color w:val="auto"/>
                <w:sz w:val="24"/>
                <w:highlight w:val="none"/>
              </w:rPr>
              <w:t>面积换算成等效的室外声源，计算出中心位置位于透声面积（S）处的等效声源的倍频带声功率级。</w:t>
            </w:r>
          </w:p>
          <w:p w14:paraId="54E44038">
            <w:pPr>
              <w:pStyle w:val="26"/>
              <w:keepNext w:val="0"/>
              <w:keepLines w:val="0"/>
              <w:suppressLineNumbers w:val="0"/>
              <w:bidi w:val="0"/>
              <w:spacing w:before="0" w:beforeAutospacing="0" w:after="0" w:afterAutospacing="0"/>
              <w:ind w:left="0" w:right="0"/>
              <w:rPr>
                <w:rFonts w:hint="default"/>
                <w:color w:val="auto"/>
                <w:sz w:val="24"/>
                <w:highlight w:val="none"/>
              </w:rPr>
            </w:pPr>
            <w:r>
              <w:rPr>
                <w:rFonts w:hint="default"/>
                <w:color w:val="auto"/>
                <w:position w:val="-14"/>
                <w:sz w:val="24"/>
                <w:highlight w:val="none"/>
              </w:rPr>
              <w:object>
                <v:shape id="_x0000_i1029" o:spt="75" type="#_x0000_t75" style="height:20.05pt;width:103.95pt;" o:ole="t" filled="f" o:preferrelative="t" stroked="f" coordsize="21600,21600">
                  <v:path/>
                  <v:fill on="f" focussize="0,0"/>
                  <v:stroke on="f"/>
                  <v:imagedata r:id="rId23" o:title=""/>
                  <o:lock v:ext="edit" aspectratio="t"/>
                  <w10:wrap type="none"/>
                  <w10:anchorlock/>
                </v:shape>
                <o:OLEObject Type="Embed" ProgID="Equation.DSMT4" ShapeID="_x0000_i1029" DrawAspect="Content" ObjectID="_1468075729" r:id="rId22">
                  <o:LockedField>false</o:LockedField>
                </o:OLEObject>
              </w:object>
            </w:r>
          </w:p>
          <w:p w14:paraId="25DDC137">
            <w:pPr>
              <w:keepNext w:val="0"/>
              <w:keepLines w:val="0"/>
              <w:suppressLineNumbers w:val="0"/>
              <w:tabs>
                <w:tab w:val="left" w:pos="0"/>
              </w:tabs>
              <w:spacing w:before="0" w:beforeAutospacing="0" w:after="0" w:afterAutospacing="0" w:line="360" w:lineRule="auto"/>
              <w:ind w:left="0" w:right="-30" w:firstLine="482"/>
              <w:rPr>
                <w:rFonts w:hint="default"/>
                <w:color w:val="auto"/>
                <w:sz w:val="24"/>
                <w:highlight w:val="none"/>
              </w:rPr>
            </w:pPr>
            <w:r>
              <w:rPr>
                <w:rFonts w:hint="default"/>
                <w:color w:val="auto"/>
                <w:sz w:val="24"/>
                <w:highlight w:val="none"/>
              </w:rPr>
              <w:t>然后按室外声源预测方法计算预测点处的A声级。</w:t>
            </w:r>
          </w:p>
          <w:p w14:paraId="216BAFE3">
            <w:pPr>
              <w:keepNext w:val="0"/>
              <w:keepLines w:val="0"/>
              <w:suppressLineNumbers w:val="0"/>
              <w:tabs>
                <w:tab w:val="left" w:pos="0"/>
              </w:tabs>
              <w:spacing w:before="0" w:beforeAutospacing="0" w:after="0" w:afterAutospacing="0" w:line="360" w:lineRule="auto"/>
              <w:ind w:left="0" w:right="-30" w:firstLine="482"/>
              <w:rPr>
                <w:rFonts w:hint="default"/>
                <w:color w:val="auto"/>
                <w:sz w:val="24"/>
                <w:highlight w:val="none"/>
              </w:rPr>
            </w:pPr>
            <w:r>
              <w:rPr>
                <w:rFonts w:hint="default"/>
                <w:color w:val="auto"/>
                <w:sz w:val="24"/>
                <w:highlight w:val="none"/>
              </w:rPr>
              <w:t>本项目评价时，采用类比法，按厂房等效噪声值（类比值）做点源处理。</w:t>
            </w:r>
          </w:p>
          <w:p w14:paraId="4C3A8223">
            <w:pPr>
              <w:keepNext w:val="0"/>
              <w:keepLines w:val="0"/>
              <w:suppressLineNumbers w:val="0"/>
              <w:spacing w:before="0" w:beforeAutospacing="0" w:after="0" w:afterAutospacing="0" w:line="360" w:lineRule="auto"/>
              <w:ind w:left="0" w:right="0" w:firstLine="482"/>
              <w:rPr>
                <w:rFonts w:hint="default"/>
                <w:bCs/>
                <w:color w:val="auto"/>
                <w:sz w:val="24"/>
                <w:highlight w:val="none"/>
              </w:rPr>
            </w:pPr>
            <w:r>
              <w:rPr>
                <w:rFonts w:hint="default"/>
                <w:bCs/>
                <w:color w:val="auto"/>
                <w:sz w:val="24"/>
                <w:highlight w:val="none"/>
              </w:rPr>
              <w:t>（3）设第</w:t>
            </w:r>
            <w:r>
              <w:rPr>
                <w:rFonts w:hint="default"/>
                <w:bCs/>
                <w:i/>
                <w:color w:val="auto"/>
                <w:sz w:val="24"/>
                <w:highlight w:val="none"/>
              </w:rPr>
              <w:t>i</w:t>
            </w:r>
            <w:r>
              <w:rPr>
                <w:rFonts w:hint="default"/>
                <w:bCs/>
                <w:color w:val="auto"/>
                <w:sz w:val="24"/>
                <w:highlight w:val="none"/>
              </w:rPr>
              <w:t>个室外声源在预测点产生的A声级为</w:t>
            </w:r>
            <w:r>
              <w:rPr>
                <w:rFonts w:hint="default"/>
                <w:bCs/>
                <w:i/>
                <w:color w:val="auto"/>
                <w:sz w:val="24"/>
                <w:highlight w:val="none"/>
              </w:rPr>
              <w:t>L</w:t>
            </w:r>
            <w:r>
              <w:rPr>
                <w:rFonts w:hint="default"/>
                <w:bCs/>
                <w:i/>
                <w:color w:val="auto"/>
                <w:sz w:val="24"/>
                <w:highlight w:val="none"/>
                <w:vertAlign w:val="subscript"/>
              </w:rPr>
              <w:t>Ai</w:t>
            </w:r>
            <w:r>
              <w:rPr>
                <w:rFonts w:hint="default"/>
                <w:bCs/>
                <w:color w:val="auto"/>
                <w:sz w:val="24"/>
                <w:highlight w:val="none"/>
              </w:rPr>
              <w:t>，在</w:t>
            </w:r>
            <w:r>
              <w:rPr>
                <w:rFonts w:hint="default"/>
                <w:bCs/>
                <w:i/>
                <w:color w:val="auto"/>
                <w:sz w:val="24"/>
                <w:highlight w:val="none"/>
              </w:rPr>
              <w:t>T</w:t>
            </w:r>
            <w:r>
              <w:rPr>
                <w:rFonts w:hint="default"/>
                <w:bCs/>
                <w:color w:val="auto"/>
                <w:sz w:val="24"/>
                <w:highlight w:val="none"/>
              </w:rPr>
              <w:t>时间内该声源工作时间为</w:t>
            </w:r>
            <w:r>
              <w:rPr>
                <w:rFonts w:hint="default"/>
                <w:bCs/>
                <w:i/>
                <w:color w:val="auto"/>
                <w:sz w:val="24"/>
                <w:highlight w:val="none"/>
              </w:rPr>
              <w:t>t</w:t>
            </w:r>
            <w:r>
              <w:rPr>
                <w:rFonts w:hint="default"/>
                <w:bCs/>
                <w:i/>
                <w:color w:val="auto"/>
                <w:sz w:val="24"/>
                <w:highlight w:val="none"/>
                <w:vertAlign w:val="subscript"/>
              </w:rPr>
              <w:t>i</w:t>
            </w:r>
            <w:r>
              <w:rPr>
                <w:rFonts w:hint="default"/>
                <w:bCs/>
                <w:color w:val="auto"/>
                <w:sz w:val="24"/>
                <w:highlight w:val="none"/>
              </w:rPr>
              <w:t>；第</w:t>
            </w:r>
            <w:r>
              <w:rPr>
                <w:rFonts w:hint="default"/>
                <w:bCs/>
                <w:i/>
                <w:color w:val="auto"/>
                <w:sz w:val="24"/>
                <w:highlight w:val="none"/>
              </w:rPr>
              <w:t>j</w:t>
            </w:r>
            <w:r>
              <w:rPr>
                <w:rFonts w:hint="default"/>
                <w:bCs/>
                <w:color w:val="auto"/>
                <w:sz w:val="24"/>
                <w:highlight w:val="none"/>
              </w:rPr>
              <w:t>个等效室外声源在预测点产生的A声级为</w:t>
            </w:r>
            <w:r>
              <w:rPr>
                <w:rFonts w:hint="default"/>
                <w:bCs/>
                <w:i/>
                <w:color w:val="auto"/>
                <w:sz w:val="24"/>
                <w:highlight w:val="none"/>
              </w:rPr>
              <w:t>L</w:t>
            </w:r>
            <w:r>
              <w:rPr>
                <w:rFonts w:hint="default"/>
                <w:bCs/>
                <w:i/>
                <w:color w:val="auto"/>
                <w:sz w:val="24"/>
                <w:highlight w:val="none"/>
                <w:vertAlign w:val="subscript"/>
              </w:rPr>
              <w:t>Aj</w:t>
            </w:r>
            <w:r>
              <w:rPr>
                <w:rFonts w:hint="default"/>
                <w:bCs/>
                <w:color w:val="auto"/>
                <w:sz w:val="24"/>
                <w:highlight w:val="none"/>
              </w:rPr>
              <w:t>，在</w:t>
            </w:r>
            <w:r>
              <w:rPr>
                <w:rFonts w:hint="default"/>
                <w:bCs/>
                <w:i/>
                <w:color w:val="auto"/>
                <w:sz w:val="24"/>
                <w:highlight w:val="none"/>
              </w:rPr>
              <w:t>T</w:t>
            </w:r>
            <w:r>
              <w:rPr>
                <w:rFonts w:hint="default"/>
                <w:bCs/>
                <w:color w:val="auto"/>
                <w:sz w:val="24"/>
                <w:highlight w:val="none"/>
              </w:rPr>
              <w:t>时间内该声源工作时间为</w:t>
            </w:r>
            <w:r>
              <w:rPr>
                <w:rFonts w:hint="default"/>
                <w:bCs/>
                <w:i/>
                <w:color w:val="auto"/>
                <w:sz w:val="24"/>
                <w:highlight w:val="none"/>
              </w:rPr>
              <w:t>t</w:t>
            </w:r>
            <w:r>
              <w:rPr>
                <w:rFonts w:hint="default"/>
                <w:bCs/>
                <w:i/>
                <w:color w:val="auto"/>
                <w:sz w:val="24"/>
                <w:highlight w:val="none"/>
                <w:vertAlign w:val="subscript"/>
              </w:rPr>
              <w:t>j</w:t>
            </w:r>
            <w:r>
              <w:rPr>
                <w:rFonts w:hint="default"/>
                <w:bCs/>
                <w:color w:val="auto"/>
                <w:sz w:val="24"/>
                <w:highlight w:val="none"/>
              </w:rPr>
              <w:t>，则拟建工程声源对预测点产生的贡献值（</w:t>
            </w:r>
            <w:r>
              <w:rPr>
                <w:rFonts w:hint="default"/>
                <w:bCs/>
                <w:i/>
                <w:color w:val="auto"/>
                <w:sz w:val="24"/>
                <w:highlight w:val="none"/>
              </w:rPr>
              <w:t>L</w:t>
            </w:r>
            <w:r>
              <w:rPr>
                <w:rFonts w:hint="default"/>
                <w:bCs/>
                <w:i/>
                <w:color w:val="auto"/>
                <w:sz w:val="24"/>
                <w:highlight w:val="none"/>
                <w:vertAlign w:val="subscript"/>
              </w:rPr>
              <w:t>eqg</w:t>
            </w:r>
            <w:r>
              <w:rPr>
                <w:rFonts w:hint="default"/>
                <w:bCs/>
                <w:color w:val="auto"/>
                <w:sz w:val="24"/>
                <w:highlight w:val="none"/>
              </w:rPr>
              <w:t>）为：</w:t>
            </w:r>
          </w:p>
          <w:p w14:paraId="2CE19FC8">
            <w:pPr>
              <w:pStyle w:val="26"/>
              <w:keepNext w:val="0"/>
              <w:keepLines w:val="0"/>
              <w:suppressLineNumbers w:val="0"/>
              <w:bidi w:val="0"/>
              <w:spacing w:before="0" w:beforeAutospacing="0" w:after="0" w:afterAutospacing="0"/>
              <w:ind w:left="0" w:right="0"/>
              <w:rPr>
                <w:rFonts w:hint="default"/>
                <w:color w:val="auto"/>
                <w:sz w:val="24"/>
                <w:highlight w:val="none"/>
              </w:rPr>
            </w:pPr>
            <w:r>
              <w:rPr>
                <w:rFonts w:hint="default"/>
                <w:color w:val="auto"/>
                <w:position w:val="-32"/>
                <w:sz w:val="24"/>
                <w:highlight w:val="none"/>
              </w:rPr>
              <w:object>
                <v:shape id="_x0000_i1030" o:spt="75" type="#_x0000_t75" style="height:38pt;width:197pt;" o:ole="t" filled="f" o:preferrelative="t" stroked="f" coordsize="21600,21600">
                  <v:path/>
                  <v:fill on="f" focussize="0,0"/>
                  <v:stroke on="f"/>
                  <v:imagedata r:id="rId25" o:title=""/>
                  <o:lock v:ext="edit" aspectratio="t"/>
                  <w10:wrap type="none"/>
                  <w10:anchorlock/>
                </v:shape>
                <o:OLEObject Type="Embed" ProgID="Equation.DSMT4" ShapeID="_x0000_i1030" DrawAspect="Content" ObjectID="_1468075730" r:id="rId24">
                  <o:LockedField>false</o:LockedField>
                </o:OLEObject>
              </w:object>
            </w:r>
          </w:p>
          <w:p w14:paraId="08A4A4D3">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式中：</w:t>
            </w:r>
          </w:p>
          <w:p w14:paraId="0CE4D39E">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i/>
                <w:color w:val="auto"/>
                <w:sz w:val="24"/>
                <w:highlight w:val="none"/>
              </w:rPr>
              <w:t>L</w:t>
            </w:r>
            <w:r>
              <w:rPr>
                <w:rFonts w:hint="default"/>
                <w:bCs/>
                <w:i/>
                <w:color w:val="auto"/>
                <w:sz w:val="24"/>
                <w:highlight w:val="none"/>
                <w:vertAlign w:val="subscript"/>
              </w:rPr>
              <w:t>eqg</w:t>
            </w:r>
            <w:r>
              <w:rPr>
                <w:rFonts w:hint="default"/>
                <w:bCs/>
                <w:color w:val="auto"/>
                <w:sz w:val="24"/>
                <w:highlight w:val="none"/>
              </w:rPr>
              <w:t>——建设项目声源在预测点的等效声级贡献值，dB(A)；</w:t>
            </w:r>
          </w:p>
          <w:p w14:paraId="1BCF0E8B">
            <w:pPr>
              <w:keepNext w:val="0"/>
              <w:keepLines w:val="0"/>
              <w:suppressLineNumbers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bCs/>
                <w:color w:val="auto"/>
                <w:sz w:val="24"/>
                <w:highlight w:val="none"/>
              </w:rPr>
              <w:t>T—用于计算等效声级的时间，s；</w:t>
            </w:r>
          </w:p>
          <w:p w14:paraId="6A45475A">
            <w:pPr>
              <w:keepNext w:val="0"/>
              <w:keepLines w:val="0"/>
              <w:suppressLineNumbers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bCs/>
                <w:color w:val="auto"/>
                <w:sz w:val="24"/>
                <w:highlight w:val="none"/>
              </w:rPr>
              <w:t>N—室外声源个数；</w:t>
            </w:r>
          </w:p>
          <w:p w14:paraId="69756B0C">
            <w:pPr>
              <w:keepNext w:val="0"/>
              <w:keepLines w:val="0"/>
              <w:suppressLineNumbers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bCs/>
                <w:color w:val="auto"/>
                <w:sz w:val="24"/>
                <w:highlight w:val="none"/>
              </w:rPr>
              <w:t>ti—在T时间内i声源工作时间，s；</w:t>
            </w:r>
          </w:p>
          <w:p w14:paraId="1E705548">
            <w:pPr>
              <w:keepNext w:val="0"/>
              <w:keepLines w:val="0"/>
              <w:suppressLineNumbers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bCs/>
                <w:color w:val="auto"/>
                <w:sz w:val="24"/>
                <w:highlight w:val="none"/>
              </w:rPr>
              <w:t>M—等效室外声源个数；</w:t>
            </w:r>
          </w:p>
          <w:p w14:paraId="16F49FA8">
            <w:pPr>
              <w:keepNext w:val="0"/>
              <w:keepLines w:val="0"/>
              <w:suppressLineNumbers w:val="0"/>
              <w:spacing w:before="0" w:beforeAutospacing="0" w:after="0" w:afterAutospacing="0" w:line="360" w:lineRule="auto"/>
              <w:ind w:left="0" w:right="0" w:firstLine="480" w:firstLineChars="200"/>
              <w:rPr>
                <w:rFonts w:hint="eastAsia"/>
                <w:bCs/>
                <w:color w:val="auto"/>
                <w:sz w:val="24"/>
                <w:highlight w:val="none"/>
              </w:rPr>
            </w:pPr>
            <w:r>
              <w:rPr>
                <w:rFonts w:hint="eastAsia"/>
                <w:bCs/>
                <w:color w:val="auto"/>
                <w:sz w:val="24"/>
                <w:highlight w:val="none"/>
              </w:rPr>
              <w:t>tj—在T时间内j声源工作时间，s。</w:t>
            </w:r>
          </w:p>
          <w:p w14:paraId="4894B19F">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将设备噪声源在厂区平面图上进行定位，利用上述的预测数字模型，将有关参数代入公式计算，预测拟建工程噪声源对各向厂界的影响。</w:t>
            </w:r>
          </w:p>
          <w:p w14:paraId="4F59841D">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4-</w:t>
            </w:r>
            <w:r>
              <w:rPr>
                <w:rFonts w:hint="eastAsia"/>
                <w:color w:val="auto"/>
                <w:highlight w:val="none"/>
                <w:lang w:val="en-US" w:eastAsia="zh-CN"/>
              </w:rPr>
              <w:t xml:space="preserve">7 </w:t>
            </w:r>
            <w:r>
              <w:rPr>
                <w:rFonts w:hint="default"/>
                <w:color w:val="auto"/>
                <w:highlight w:val="none"/>
              </w:rPr>
              <w:t xml:space="preserve"> 项目厂界噪声预测结果一览表（单位：dB(A)）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0"/>
              <w:gridCol w:w="1671"/>
              <w:gridCol w:w="1716"/>
              <w:gridCol w:w="1878"/>
              <w:gridCol w:w="1868"/>
            </w:tblGrid>
            <w:tr w14:paraId="7712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vMerge w:val="restart"/>
                  <w:noWrap w:val="0"/>
                  <w:vAlign w:val="center"/>
                </w:tcPr>
                <w:p w14:paraId="3CC10227">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厂界名称</w:t>
                  </w:r>
                </w:p>
              </w:tc>
              <w:tc>
                <w:tcPr>
                  <w:tcW w:w="1022" w:type="pct"/>
                  <w:noWrap w:val="0"/>
                  <w:vAlign w:val="center"/>
                </w:tcPr>
                <w:p w14:paraId="507A6E40">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东厂界</w:t>
                  </w:r>
                </w:p>
              </w:tc>
              <w:tc>
                <w:tcPr>
                  <w:tcW w:w="1049" w:type="pct"/>
                  <w:noWrap w:val="0"/>
                  <w:vAlign w:val="center"/>
                </w:tcPr>
                <w:p w14:paraId="0C73C30F">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南厂界</w:t>
                  </w:r>
                </w:p>
              </w:tc>
              <w:tc>
                <w:tcPr>
                  <w:tcW w:w="1149" w:type="pct"/>
                  <w:noWrap w:val="0"/>
                  <w:vAlign w:val="center"/>
                </w:tcPr>
                <w:p w14:paraId="6D793C8D">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西厂界</w:t>
                  </w:r>
                </w:p>
              </w:tc>
              <w:tc>
                <w:tcPr>
                  <w:tcW w:w="1140" w:type="pct"/>
                  <w:noWrap w:val="0"/>
                  <w:vAlign w:val="center"/>
                </w:tcPr>
                <w:p w14:paraId="54C08C54">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北厂界</w:t>
                  </w:r>
                </w:p>
              </w:tc>
            </w:tr>
            <w:tr w14:paraId="0557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vMerge w:val="continue"/>
                  <w:noWrap w:val="0"/>
                  <w:vAlign w:val="center"/>
                </w:tcPr>
                <w:p w14:paraId="3C76F233">
                  <w:pPr>
                    <w:pStyle w:val="27"/>
                    <w:keepNext w:val="0"/>
                    <w:keepLines w:val="0"/>
                    <w:suppressLineNumbers w:val="0"/>
                    <w:bidi w:val="0"/>
                    <w:spacing w:before="0" w:beforeAutospacing="0" w:after="0" w:afterAutospacing="0"/>
                    <w:ind w:left="0" w:right="0"/>
                    <w:rPr>
                      <w:b/>
                      <w:bCs/>
                      <w:color w:val="auto"/>
                      <w:highlight w:val="none"/>
                    </w:rPr>
                  </w:pPr>
                </w:p>
              </w:tc>
              <w:tc>
                <w:tcPr>
                  <w:tcW w:w="1022" w:type="pct"/>
                  <w:noWrap w:val="0"/>
                  <w:vAlign w:val="center"/>
                </w:tcPr>
                <w:p w14:paraId="68A5A4D4">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昼间</w:t>
                  </w:r>
                </w:p>
              </w:tc>
              <w:tc>
                <w:tcPr>
                  <w:tcW w:w="1049" w:type="pct"/>
                  <w:noWrap w:val="0"/>
                  <w:vAlign w:val="center"/>
                </w:tcPr>
                <w:p w14:paraId="720D79F3">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昼间</w:t>
                  </w:r>
                </w:p>
              </w:tc>
              <w:tc>
                <w:tcPr>
                  <w:tcW w:w="1149" w:type="pct"/>
                  <w:noWrap w:val="0"/>
                  <w:vAlign w:val="center"/>
                </w:tcPr>
                <w:p w14:paraId="7736183B">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昼间</w:t>
                  </w:r>
                </w:p>
              </w:tc>
              <w:tc>
                <w:tcPr>
                  <w:tcW w:w="1140" w:type="pct"/>
                  <w:noWrap w:val="0"/>
                  <w:vAlign w:val="center"/>
                </w:tcPr>
                <w:p w14:paraId="5F7FE2ED">
                  <w:pPr>
                    <w:pStyle w:val="27"/>
                    <w:keepNext w:val="0"/>
                    <w:keepLines w:val="0"/>
                    <w:suppressLineNumbers w:val="0"/>
                    <w:bidi w:val="0"/>
                    <w:spacing w:before="0" w:beforeAutospacing="0" w:after="0" w:afterAutospacing="0"/>
                    <w:ind w:left="0" w:right="0"/>
                    <w:rPr>
                      <w:rFonts w:hint="eastAsia"/>
                      <w:b/>
                      <w:bCs/>
                      <w:color w:val="auto"/>
                      <w:highlight w:val="none"/>
                    </w:rPr>
                  </w:pPr>
                  <w:r>
                    <w:rPr>
                      <w:rFonts w:hint="eastAsia"/>
                      <w:b/>
                      <w:bCs/>
                      <w:color w:val="auto"/>
                      <w:highlight w:val="none"/>
                    </w:rPr>
                    <w:t>昼间</w:t>
                  </w:r>
                </w:p>
              </w:tc>
            </w:tr>
            <w:tr w14:paraId="3CCB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3998C499">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贡献值</w:t>
                  </w:r>
                </w:p>
              </w:tc>
              <w:tc>
                <w:tcPr>
                  <w:tcW w:w="1022" w:type="pct"/>
                  <w:noWrap w:val="0"/>
                  <w:vAlign w:val="center"/>
                </w:tcPr>
                <w:p w14:paraId="48C5991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34.1</w:t>
                  </w:r>
                </w:p>
              </w:tc>
              <w:tc>
                <w:tcPr>
                  <w:tcW w:w="1049" w:type="pct"/>
                  <w:noWrap w:val="0"/>
                  <w:vAlign w:val="center"/>
                </w:tcPr>
                <w:p w14:paraId="6082F4BA">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54.8</w:t>
                  </w:r>
                </w:p>
              </w:tc>
              <w:tc>
                <w:tcPr>
                  <w:tcW w:w="1149" w:type="pct"/>
                  <w:noWrap w:val="0"/>
                  <w:vAlign w:val="center"/>
                </w:tcPr>
                <w:p w14:paraId="24B121B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41.9</w:t>
                  </w:r>
                </w:p>
              </w:tc>
              <w:tc>
                <w:tcPr>
                  <w:tcW w:w="1140" w:type="pct"/>
                  <w:noWrap w:val="0"/>
                  <w:vAlign w:val="center"/>
                </w:tcPr>
                <w:p w14:paraId="2220578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57.0</w:t>
                  </w:r>
                </w:p>
              </w:tc>
            </w:tr>
            <w:tr w14:paraId="2B0A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637" w:type="pct"/>
                  <w:noWrap w:val="0"/>
                  <w:vAlign w:val="center"/>
                </w:tcPr>
                <w:p w14:paraId="61C3964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标准值</w:t>
                  </w:r>
                </w:p>
              </w:tc>
              <w:tc>
                <w:tcPr>
                  <w:tcW w:w="4362" w:type="pct"/>
                  <w:gridSpan w:val="4"/>
                  <w:noWrap w:val="0"/>
                  <w:vAlign w:val="center"/>
                </w:tcPr>
                <w:p w14:paraId="051B8E7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GB12348-2008中3类标准，即昼：65、夜间55</w:t>
                  </w:r>
                </w:p>
              </w:tc>
            </w:tr>
          </w:tbl>
          <w:p w14:paraId="6DDC6F7F">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由上表预测结果可知，由于本项目为新建项目，</w:t>
            </w:r>
            <w:r>
              <w:rPr>
                <w:rFonts w:hint="eastAsia"/>
                <w:color w:val="auto"/>
                <w:highlight w:val="none"/>
                <w:lang w:val="en-US" w:eastAsia="zh-CN"/>
              </w:rPr>
              <w:t>室内声源不存在高噪声设备，室外声源位于楼顶，</w:t>
            </w:r>
            <w:r>
              <w:rPr>
                <w:rFonts w:hint="eastAsia"/>
                <w:color w:val="auto"/>
                <w:highlight w:val="none"/>
              </w:rPr>
              <w:t>噪声经过</w:t>
            </w:r>
            <w:r>
              <w:rPr>
                <w:rFonts w:hint="eastAsia"/>
                <w:color w:val="auto"/>
                <w:highlight w:val="none"/>
                <w:lang w:val="en-US" w:eastAsia="zh-CN"/>
              </w:rPr>
              <w:t>隔振</w:t>
            </w:r>
            <w:r>
              <w:rPr>
                <w:rFonts w:hint="eastAsia"/>
                <w:color w:val="auto"/>
                <w:highlight w:val="none"/>
              </w:rPr>
              <w:t>、消声、隔声等措施，在采取措施提出的噪声防治办法后，项目设备对厂界噪声贡献值均满足《工业企业厂界环境噪声排放标准》</w:t>
            </w:r>
            <w:r>
              <w:rPr>
                <w:rFonts w:hint="default"/>
                <w:color w:val="auto"/>
                <w:highlight w:val="none"/>
              </w:rPr>
              <w:t>（GB12348-2008）</w:t>
            </w:r>
            <w:r>
              <w:rPr>
                <w:rFonts w:hint="eastAsia"/>
                <w:color w:val="auto"/>
                <w:highlight w:val="none"/>
              </w:rPr>
              <w:t>中</w:t>
            </w:r>
            <w:r>
              <w:rPr>
                <w:rFonts w:hint="default"/>
                <w:color w:val="auto"/>
                <w:highlight w:val="none"/>
              </w:rPr>
              <w:t>3</w:t>
            </w:r>
            <w:r>
              <w:rPr>
                <w:rFonts w:hint="eastAsia"/>
                <w:color w:val="auto"/>
                <w:highlight w:val="none"/>
              </w:rPr>
              <w:t>类标准，项目运营期对周边声环境影响较小。</w:t>
            </w:r>
            <w:r>
              <w:rPr>
                <w:rFonts w:hint="eastAsia"/>
                <w:color w:val="auto"/>
                <w:highlight w:val="none"/>
                <w:lang w:val="en-US" w:eastAsia="zh-CN"/>
              </w:rPr>
              <w:t>同时室外声源产生噪声时通过关闭门窗能够有效减少对室内工作人员的影响。</w:t>
            </w:r>
          </w:p>
          <w:p w14:paraId="79D6469A">
            <w:pPr>
              <w:keepNext w:val="0"/>
              <w:keepLines w:val="0"/>
              <w:suppressLineNumbers w:val="0"/>
              <w:bidi w:val="0"/>
              <w:spacing w:before="0" w:beforeAutospacing="0" w:after="0" w:afterAutospacing="0"/>
              <w:ind w:left="0" w:right="0"/>
              <w:rPr>
                <w:rFonts w:hint="default"/>
                <w:color w:val="auto"/>
                <w:highlight w:val="none"/>
                <w:lang w:val="zh-CN"/>
              </w:rPr>
            </w:pPr>
            <w:r>
              <w:rPr>
                <w:rFonts w:hint="default"/>
                <w:color w:val="auto"/>
                <w:highlight w:val="none"/>
                <w:lang w:val="zh-CN"/>
              </w:rPr>
              <w:t>综上所述，建设项目噪声排放对</w:t>
            </w:r>
            <w:r>
              <w:rPr>
                <w:rFonts w:hint="eastAsia"/>
                <w:color w:val="auto"/>
                <w:highlight w:val="none"/>
                <w:lang w:val="zh-CN"/>
              </w:rPr>
              <w:t>周围</w:t>
            </w:r>
            <w:r>
              <w:rPr>
                <w:rFonts w:hint="eastAsia"/>
                <w:color w:val="auto"/>
                <w:highlight w:val="none"/>
                <w:lang w:val="en-US" w:eastAsia="zh-CN"/>
              </w:rPr>
              <w:t>外</w:t>
            </w:r>
            <w:r>
              <w:rPr>
                <w:rFonts w:hint="default"/>
                <w:color w:val="auto"/>
                <w:highlight w:val="none"/>
                <w:lang w:val="zh-CN"/>
              </w:rPr>
              <w:t>环境影响较小，噪声防治措施可行。企业必须重视设备噪声、减震工程的设计及施工质量，确保达标，不得影响周边环境。</w:t>
            </w:r>
          </w:p>
          <w:p w14:paraId="03345A6C">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w:t>
            </w:r>
            <w:r>
              <w:rPr>
                <w:rFonts w:hint="eastAsia"/>
                <w:b/>
                <w:bCs/>
                <w:color w:val="auto"/>
                <w:highlight w:val="none"/>
              </w:rPr>
              <w:t>4</w:t>
            </w:r>
            <w:r>
              <w:rPr>
                <w:rFonts w:hint="default"/>
                <w:b/>
                <w:bCs/>
                <w:color w:val="auto"/>
                <w:highlight w:val="none"/>
              </w:rPr>
              <w:t>）噪声监测计划</w:t>
            </w:r>
          </w:p>
          <w:p w14:paraId="09B1D784">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 xml:space="preserve">根据《排污许可证申请与核发技术规范 </w:t>
            </w:r>
            <w:r>
              <w:rPr>
                <w:rFonts w:hint="eastAsia"/>
                <w:color w:val="auto"/>
                <w:highlight w:val="none"/>
              </w:rPr>
              <w:t>工业噪声</w:t>
            </w:r>
            <w:r>
              <w:rPr>
                <w:rFonts w:hint="default"/>
                <w:color w:val="auto"/>
                <w:highlight w:val="none"/>
              </w:rPr>
              <w:t>》（HJ</w:t>
            </w:r>
            <w:r>
              <w:rPr>
                <w:rFonts w:hint="eastAsia"/>
                <w:color w:val="auto"/>
                <w:highlight w:val="none"/>
              </w:rPr>
              <w:t>1301</w:t>
            </w:r>
            <w:r>
              <w:rPr>
                <w:rFonts w:hint="default"/>
                <w:color w:val="auto"/>
                <w:highlight w:val="none"/>
              </w:rPr>
              <w:t>-20</w:t>
            </w:r>
            <w:r>
              <w:rPr>
                <w:rFonts w:hint="eastAsia"/>
                <w:color w:val="auto"/>
                <w:highlight w:val="none"/>
              </w:rPr>
              <w:t>23</w:t>
            </w:r>
            <w:r>
              <w:rPr>
                <w:rFonts w:hint="default"/>
                <w:color w:val="auto"/>
                <w:highlight w:val="none"/>
              </w:rPr>
              <w:t>），厂界噪声最低监测频次为季度，厂界噪声监测频次为每季度开展一次，并在噪声监测点附近醒目处设置环境保护图形标志牌。</w:t>
            </w:r>
          </w:p>
          <w:p w14:paraId="0D96751E">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4-</w:t>
            </w:r>
            <w:r>
              <w:rPr>
                <w:rFonts w:hint="eastAsia"/>
                <w:color w:val="auto"/>
                <w:highlight w:val="none"/>
                <w:lang w:val="en-US" w:eastAsia="zh-CN"/>
              </w:rPr>
              <w:t xml:space="preserve">8 </w:t>
            </w:r>
            <w:r>
              <w:rPr>
                <w:rFonts w:hint="default"/>
                <w:color w:val="auto"/>
                <w:highlight w:val="none"/>
              </w:rPr>
              <w:t xml:space="preserve"> 噪声环境监测计划</w:t>
            </w:r>
          </w:p>
          <w:tbl>
            <w:tblPr>
              <w:tblStyle w:val="18"/>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343"/>
              <w:gridCol w:w="1671"/>
              <w:gridCol w:w="1239"/>
              <w:gridCol w:w="1938"/>
            </w:tblGrid>
            <w:tr w14:paraId="5D53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noWrap w:val="0"/>
                  <w:vAlign w:val="center"/>
                </w:tcPr>
                <w:p w14:paraId="06C4E7E1">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监测类别</w:t>
                  </w:r>
                </w:p>
              </w:tc>
              <w:tc>
                <w:tcPr>
                  <w:tcW w:w="2343" w:type="dxa"/>
                  <w:noWrap w:val="0"/>
                  <w:vAlign w:val="center"/>
                </w:tcPr>
                <w:p w14:paraId="33FB8E4B">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监测位置（或监测布点）</w:t>
                  </w:r>
                </w:p>
              </w:tc>
              <w:tc>
                <w:tcPr>
                  <w:tcW w:w="1671" w:type="dxa"/>
                  <w:noWrap w:val="0"/>
                  <w:vAlign w:val="center"/>
                </w:tcPr>
                <w:p w14:paraId="6C62DB37">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监测项目</w:t>
                  </w:r>
                </w:p>
              </w:tc>
              <w:tc>
                <w:tcPr>
                  <w:tcW w:w="1239" w:type="dxa"/>
                  <w:noWrap w:val="0"/>
                  <w:vAlign w:val="center"/>
                </w:tcPr>
                <w:p w14:paraId="4CA54792">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监测频率</w:t>
                  </w:r>
                </w:p>
              </w:tc>
              <w:tc>
                <w:tcPr>
                  <w:tcW w:w="1938" w:type="dxa"/>
                  <w:noWrap w:val="0"/>
                  <w:vAlign w:val="center"/>
                </w:tcPr>
                <w:p w14:paraId="0F17484D">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执行排放标准</w:t>
                  </w:r>
                </w:p>
              </w:tc>
            </w:tr>
            <w:tr w14:paraId="1907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noWrap w:val="0"/>
                  <w:vAlign w:val="center"/>
                </w:tcPr>
                <w:p w14:paraId="6DCF18C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噪声</w:t>
                  </w:r>
                </w:p>
              </w:tc>
              <w:tc>
                <w:tcPr>
                  <w:tcW w:w="2343" w:type="dxa"/>
                  <w:noWrap w:val="0"/>
                  <w:vAlign w:val="center"/>
                </w:tcPr>
                <w:p w14:paraId="53FB865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厂界1m处</w:t>
                  </w:r>
                </w:p>
              </w:tc>
              <w:tc>
                <w:tcPr>
                  <w:tcW w:w="1671" w:type="dxa"/>
                  <w:noWrap w:val="0"/>
                  <w:vAlign w:val="center"/>
                </w:tcPr>
                <w:p w14:paraId="3FAC6DAC">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昼夜等效连续A声级</w:t>
                  </w:r>
                </w:p>
              </w:tc>
              <w:tc>
                <w:tcPr>
                  <w:tcW w:w="1239" w:type="dxa"/>
                  <w:noWrap w:val="0"/>
                  <w:vAlign w:val="center"/>
                </w:tcPr>
                <w:p w14:paraId="7A0715D9">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1次/季度</w:t>
                  </w:r>
                </w:p>
              </w:tc>
              <w:tc>
                <w:tcPr>
                  <w:tcW w:w="1938" w:type="dxa"/>
                  <w:noWrap w:val="0"/>
                  <w:vAlign w:val="center"/>
                </w:tcPr>
                <w:p w14:paraId="041DD9D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eastAsia="zh-CN"/>
                    </w:rPr>
                    <w:t>（</w:t>
                  </w:r>
                  <w:r>
                    <w:rPr>
                      <w:color w:val="auto"/>
                      <w:highlight w:val="none"/>
                    </w:rPr>
                    <w:t>GB12348-2008</w:t>
                  </w:r>
                  <w:r>
                    <w:rPr>
                      <w:rFonts w:hint="eastAsia"/>
                      <w:color w:val="auto"/>
                      <w:highlight w:val="none"/>
                      <w:lang w:eastAsia="zh-CN"/>
                    </w:rPr>
                    <w:t>）</w:t>
                  </w:r>
                  <w:r>
                    <w:rPr>
                      <w:color w:val="auto"/>
                      <w:highlight w:val="none"/>
                    </w:rPr>
                    <w:t>中3类标准</w:t>
                  </w:r>
                </w:p>
              </w:tc>
            </w:tr>
          </w:tbl>
          <w:p w14:paraId="76369239">
            <w:pPr>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4、固体废物</w:t>
            </w:r>
          </w:p>
          <w:p w14:paraId="4A86CEF8">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项目运营期产生的固体废物包括：实验室废物、生物安全柜废紫外灯管、废活性炭、废过滤膜、污水处理设施污泥以及员工产生的生活垃圾。</w:t>
            </w:r>
          </w:p>
          <w:p w14:paraId="239D124D">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（1）</w:t>
            </w:r>
            <w:r>
              <w:rPr>
                <w:rFonts w:hint="default"/>
                <w:b/>
                <w:bCs/>
                <w:color w:val="auto"/>
                <w:highlight w:val="none"/>
              </w:rPr>
              <w:t>一般固废</w:t>
            </w:r>
            <w:r>
              <w:rPr>
                <w:rFonts w:hint="eastAsia"/>
                <w:b/>
                <w:bCs/>
                <w:color w:val="auto"/>
                <w:highlight w:val="none"/>
              </w:rPr>
              <w:t>产生及处置情况</w:t>
            </w:r>
          </w:p>
          <w:p w14:paraId="1B61F7D2">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①废过滤膜</w:t>
            </w:r>
          </w:p>
          <w:p w14:paraId="38FC0EB0">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rPr>
              <w:t>纯水制备设备反渗透膜定期更换，一般2年更换一次，产生的废过滤膜为0.0</w:t>
            </w:r>
            <w:r>
              <w:rPr>
                <w:rFonts w:hint="eastAsia"/>
                <w:color w:val="auto"/>
                <w:highlight w:val="none"/>
                <w:lang w:val="en-US" w:eastAsia="zh-CN"/>
              </w:rPr>
              <w:t>5</w:t>
            </w:r>
            <w:r>
              <w:rPr>
                <w:rFonts w:hint="eastAsia"/>
                <w:color w:val="auto"/>
                <w:highlight w:val="none"/>
              </w:rPr>
              <w:t>t/次，收集后交由厂家回收。</w:t>
            </w:r>
          </w:p>
          <w:p w14:paraId="35E325CE">
            <w:pPr>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②</w:t>
            </w:r>
            <w:r>
              <w:rPr>
                <w:rFonts w:hint="eastAsia"/>
                <w:color w:val="auto"/>
                <w:highlight w:val="none"/>
              </w:rPr>
              <w:t>一般土样：本项目在实验过程中会产生少量土壤样品，根据企业提供的资料，年预计监测土壤</w:t>
            </w:r>
            <w:r>
              <w:rPr>
                <w:rFonts w:hint="eastAsia"/>
                <w:color w:val="auto"/>
                <w:highlight w:val="none"/>
                <w:lang w:val="en-US" w:eastAsia="zh-CN"/>
              </w:rPr>
              <w:t>320</w:t>
            </w:r>
            <w:r>
              <w:rPr>
                <w:rFonts w:hint="eastAsia"/>
                <w:color w:val="auto"/>
                <w:highlight w:val="none"/>
              </w:rPr>
              <w:t>个样，单个样需土壤1kg，实验后剩余土壤约0.</w:t>
            </w:r>
            <w:r>
              <w:rPr>
                <w:rFonts w:hint="eastAsia"/>
                <w:color w:val="auto"/>
                <w:highlight w:val="none"/>
                <w:lang w:val="en-US" w:eastAsia="zh-CN"/>
              </w:rPr>
              <w:t>8</w:t>
            </w:r>
            <w:r>
              <w:rPr>
                <w:rFonts w:hint="eastAsia"/>
                <w:color w:val="auto"/>
                <w:highlight w:val="none"/>
              </w:rPr>
              <w:t>kg，则实验室剩余土壤样品约为年产生量约为25</w:t>
            </w:r>
            <w:r>
              <w:rPr>
                <w:rFonts w:hint="eastAsia"/>
                <w:color w:val="auto"/>
                <w:highlight w:val="none"/>
                <w:lang w:val="en-US" w:eastAsia="zh-CN"/>
              </w:rPr>
              <w:t>6</w:t>
            </w:r>
            <w:r>
              <w:rPr>
                <w:rFonts w:hint="eastAsia"/>
                <w:color w:val="auto"/>
                <w:highlight w:val="none"/>
              </w:rPr>
              <w:t>kg。实验室剩余土壤样品需进行检测鉴定，根据检测鉴定结果，一般土样用于周边绿化，特殊土样于危废间暂存后</w:t>
            </w:r>
            <w:r>
              <w:rPr>
                <w:rFonts w:hint="eastAsia"/>
                <w:color w:val="auto"/>
                <w:highlight w:val="none"/>
                <w:lang w:eastAsia="zh-CN"/>
              </w:rPr>
              <w:t>交由</w:t>
            </w:r>
            <w:r>
              <w:rPr>
                <w:rFonts w:hint="eastAsia"/>
                <w:color w:val="auto"/>
                <w:highlight w:val="none"/>
              </w:rPr>
              <w:t>资质单位处置。</w:t>
            </w:r>
            <w:r>
              <w:rPr>
                <w:rFonts w:hint="eastAsia"/>
                <w:color w:val="auto"/>
                <w:highlight w:val="none"/>
                <w:lang w:val="en-US" w:eastAsia="zh-CN"/>
              </w:rPr>
              <w:t>根据企业检验经验，一般土样大约占比90%，则</w:t>
            </w:r>
            <w:r>
              <w:rPr>
                <w:rFonts w:hint="eastAsia"/>
                <w:color w:val="auto"/>
                <w:highlight w:val="none"/>
              </w:rPr>
              <w:t>检测土壤过后产生的</w:t>
            </w:r>
            <w:r>
              <w:rPr>
                <w:rFonts w:hint="eastAsia"/>
                <w:color w:val="auto"/>
                <w:highlight w:val="none"/>
                <w:lang w:val="en-US" w:eastAsia="zh-CN"/>
              </w:rPr>
              <w:t>一般</w:t>
            </w:r>
            <w:r>
              <w:rPr>
                <w:rFonts w:hint="eastAsia"/>
                <w:color w:val="auto"/>
                <w:highlight w:val="none"/>
              </w:rPr>
              <w:t>废土样产生量为</w:t>
            </w:r>
            <w:r>
              <w:rPr>
                <w:rFonts w:hint="eastAsia"/>
                <w:color w:val="auto"/>
                <w:highlight w:val="none"/>
                <w:lang w:val="en-US" w:eastAsia="zh-CN"/>
              </w:rPr>
              <w:t>0.23</w:t>
            </w:r>
            <w:r>
              <w:rPr>
                <w:rFonts w:hint="eastAsia"/>
                <w:color w:val="auto"/>
                <w:highlight w:val="none"/>
              </w:rPr>
              <w:t>t/a。</w:t>
            </w:r>
          </w:p>
          <w:p w14:paraId="4D0EF3DD">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③</w:t>
            </w:r>
            <w:r>
              <w:rPr>
                <w:rFonts w:hint="default"/>
                <w:color w:val="auto"/>
                <w:highlight w:val="none"/>
              </w:rPr>
              <w:t>不沾染危化品的废包装：玻璃瓶、量筒等器材的包装袋，根据企业提供的资料，产生量为0.</w:t>
            </w:r>
            <w:r>
              <w:rPr>
                <w:rFonts w:hint="eastAsia"/>
                <w:color w:val="auto"/>
                <w:highlight w:val="none"/>
                <w:lang w:val="en-US" w:eastAsia="zh-CN"/>
              </w:rPr>
              <w:t>1</w:t>
            </w:r>
            <w:r>
              <w:rPr>
                <w:rFonts w:hint="default"/>
                <w:color w:val="auto"/>
                <w:highlight w:val="none"/>
              </w:rPr>
              <w:t>t/a。</w:t>
            </w:r>
          </w:p>
          <w:p w14:paraId="64F7DDB0">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④</w:t>
            </w:r>
            <w:r>
              <w:rPr>
                <w:rFonts w:hint="default"/>
                <w:color w:val="auto"/>
                <w:highlight w:val="none"/>
              </w:rPr>
              <w:t>生活垃圾</w:t>
            </w:r>
            <w:r>
              <w:rPr>
                <w:rFonts w:hint="eastAsia"/>
                <w:color w:val="auto"/>
                <w:highlight w:val="none"/>
              </w:rPr>
              <w:t>：本项目共有员工</w:t>
            </w:r>
            <w:r>
              <w:rPr>
                <w:rFonts w:hint="eastAsia"/>
                <w:color w:val="auto"/>
                <w:highlight w:val="none"/>
                <w:lang w:val="en-US" w:eastAsia="zh-CN"/>
              </w:rPr>
              <w:t>4</w:t>
            </w:r>
            <w:r>
              <w:rPr>
                <w:rFonts w:hint="eastAsia"/>
                <w:color w:val="auto"/>
                <w:highlight w:val="none"/>
              </w:rPr>
              <w:t>0名，生活垃圾产量以0.5kg/人</w:t>
            </w:r>
            <w:r>
              <w:rPr>
                <w:rFonts w:hint="default"/>
                <w:color w:val="auto"/>
                <w:highlight w:val="none"/>
              </w:rPr>
              <w:t>•</w:t>
            </w:r>
            <w:r>
              <w:rPr>
                <w:rFonts w:hint="eastAsia"/>
                <w:color w:val="auto"/>
                <w:highlight w:val="none"/>
              </w:rPr>
              <w:t>天计，每日产生的垃圾量约</w:t>
            </w:r>
            <w:r>
              <w:rPr>
                <w:rFonts w:hint="eastAsia"/>
                <w:color w:val="auto"/>
                <w:highlight w:val="none"/>
                <w:lang w:val="en-US" w:eastAsia="zh-CN"/>
              </w:rPr>
              <w:t>20</w:t>
            </w:r>
            <w:r>
              <w:rPr>
                <w:rFonts w:hint="eastAsia"/>
                <w:color w:val="auto"/>
                <w:highlight w:val="none"/>
              </w:rPr>
              <w:t>kg/d，</w:t>
            </w:r>
            <w:r>
              <w:rPr>
                <w:rFonts w:hint="eastAsia"/>
                <w:color w:val="auto"/>
                <w:highlight w:val="none"/>
                <w:lang w:val="en-US" w:eastAsia="zh-CN"/>
              </w:rPr>
              <w:t>6</w:t>
            </w:r>
            <w:r>
              <w:rPr>
                <w:rFonts w:hint="eastAsia"/>
                <w:color w:val="auto"/>
                <w:highlight w:val="none"/>
              </w:rPr>
              <w:t>t/a，职工生活垃圾由垃圾桶收集后，定期由环卫部门集中清运并处理。</w:t>
            </w:r>
          </w:p>
          <w:p w14:paraId="2F68AE34">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表</w:t>
            </w:r>
            <w:r>
              <w:rPr>
                <w:rFonts w:hint="eastAsia"/>
                <w:color w:val="auto"/>
                <w:highlight w:val="none"/>
              </w:rPr>
              <w:t>4-</w:t>
            </w:r>
            <w:r>
              <w:rPr>
                <w:rFonts w:hint="eastAsia"/>
                <w:color w:val="auto"/>
                <w:highlight w:val="none"/>
                <w:lang w:val="en-US" w:eastAsia="zh-CN"/>
              </w:rPr>
              <w:t xml:space="preserve">9 </w:t>
            </w:r>
            <w:r>
              <w:rPr>
                <w:rFonts w:hint="eastAsia"/>
                <w:color w:val="auto"/>
                <w:highlight w:val="none"/>
              </w:rPr>
              <w:t xml:space="preserve"> </w:t>
            </w:r>
            <w:r>
              <w:rPr>
                <w:rFonts w:hint="default"/>
                <w:color w:val="auto"/>
                <w:highlight w:val="none"/>
              </w:rPr>
              <w:t>一般固体废物产生一览表</w:t>
            </w:r>
            <w:r>
              <w:rPr>
                <w:rFonts w:hint="eastAsia"/>
                <w:color w:val="auto"/>
                <w:highlight w:val="none"/>
                <w:lang w:eastAsia="zh-CN"/>
              </w:rPr>
              <w:t>（</w:t>
            </w:r>
            <w:r>
              <w:rPr>
                <w:rFonts w:hint="default"/>
                <w:color w:val="auto"/>
                <w:highlight w:val="none"/>
              </w:rPr>
              <w:t>单位：t/a</w:t>
            </w:r>
            <w:r>
              <w:rPr>
                <w:rFonts w:hint="eastAsia"/>
                <w:color w:val="auto"/>
                <w:highlight w:val="none"/>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347"/>
              <w:gridCol w:w="1089"/>
              <w:gridCol w:w="1597"/>
              <w:gridCol w:w="1390"/>
              <w:gridCol w:w="1523"/>
            </w:tblGrid>
            <w:tr w14:paraId="530B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pct"/>
                  <w:noWrap w:val="0"/>
                  <w:vAlign w:val="center"/>
                </w:tcPr>
                <w:p w14:paraId="16A2FF4C">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名称</w:t>
                  </w:r>
                </w:p>
              </w:tc>
              <w:tc>
                <w:tcPr>
                  <w:tcW w:w="823" w:type="pct"/>
                  <w:noWrap w:val="0"/>
                  <w:vAlign w:val="center"/>
                </w:tcPr>
                <w:p w14:paraId="33C34A91">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产生工序</w:t>
                  </w:r>
                </w:p>
              </w:tc>
              <w:tc>
                <w:tcPr>
                  <w:tcW w:w="666" w:type="pct"/>
                  <w:noWrap w:val="0"/>
                  <w:vAlign w:val="center"/>
                </w:tcPr>
                <w:p w14:paraId="06AB641A">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类别</w:t>
                  </w:r>
                </w:p>
              </w:tc>
              <w:tc>
                <w:tcPr>
                  <w:tcW w:w="976" w:type="pct"/>
                  <w:noWrap w:val="0"/>
                  <w:vAlign w:val="center"/>
                </w:tcPr>
                <w:p w14:paraId="1F9DCB03">
                  <w:pPr>
                    <w:pStyle w:val="27"/>
                    <w:keepNext w:val="0"/>
                    <w:keepLines w:val="0"/>
                    <w:suppressLineNumbers w:val="0"/>
                    <w:bidi w:val="0"/>
                    <w:spacing w:before="0" w:beforeAutospacing="0" w:after="0" w:afterAutospacing="0"/>
                    <w:ind w:left="0" w:right="0"/>
                    <w:rPr>
                      <w:b/>
                      <w:bCs/>
                      <w:color w:val="auto"/>
                      <w:highlight w:val="none"/>
                    </w:rPr>
                  </w:pPr>
                  <w:r>
                    <w:rPr>
                      <w:rFonts w:hint="eastAsia"/>
                      <w:b/>
                      <w:bCs/>
                      <w:color w:val="auto"/>
                      <w:highlight w:val="none"/>
                    </w:rPr>
                    <w:t>代码</w:t>
                  </w:r>
                </w:p>
              </w:tc>
              <w:tc>
                <w:tcPr>
                  <w:tcW w:w="850" w:type="pct"/>
                  <w:noWrap w:val="0"/>
                  <w:vAlign w:val="center"/>
                </w:tcPr>
                <w:p w14:paraId="0A738587">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产生量（t/a）</w:t>
                  </w:r>
                </w:p>
              </w:tc>
              <w:tc>
                <w:tcPr>
                  <w:tcW w:w="931" w:type="pct"/>
                  <w:noWrap w:val="0"/>
                  <w:vAlign w:val="center"/>
                </w:tcPr>
                <w:p w14:paraId="37E28D58">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处置方式</w:t>
                  </w:r>
                </w:p>
              </w:tc>
            </w:tr>
            <w:tr w14:paraId="0F2D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1" w:type="pct"/>
                  <w:noWrap w:val="0"/>
                  <w:vAlign w:val="center"/>
                </w:tcPr>
                <w:p w14:paraId="70979C92">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废过滤膜</w:t>
                  </w:r>
                </w:p>
              </w:tc>
              <w:tc>
                <w:tcPr>
                  <w:tcW w:w="823" w:type="pct"/>
                  <w:noWrap w:val="0"/>
                  <w:vAlign w:val="center"/>
                </w:tcPr>
                <w:p w14:paraId="40B221FF">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纯水制备</w:t>
                  </w:r>
                </w:p>
              </w:tc>
              <w:tc>
                <w:tcPr>
                  <w:tcW w:w="666" w:type="pct"/>
                  <w:noWrap w:val="0"/>
                  <w:vAlign w:val="center"/>
                </w:tcPr>
                <w:p w14:paraId="023B1BC5">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一般固废</w:t>
                  </w:r>
                </w:p>
              </w:tc>
              <w:tc>
                <w:tcPr>
                  <w:tcW w:w="976" w:type="pct"/>
                  <w:noWrap w:val="0"/>
                  <w:vAlign w:val="center"/>
                </w:tcPr>
                <w:p w14:paraId="1CFBB577">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900-999-99</w:t>
                  </w:r>
                </w:p>
              </w:tc>
              <w:tc>
                <w:tcPr>
                  <w:tcW w:w="850" w:type="pct"/>
                  <w:noWrap w:val="0"/>
                  <w:vAlign w:val="center"/>
                </w:tcPr>
                <w:p w14:paraId="7BB8F7A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0.05</w:t>
                  </w:r>
                </w:p>
              </w:tc>
              <w:tc>
                <w:tcPr>
                  <w:tcW w:w="931" w:type="pct"/>
                  <w:noWrap w:val="0"/>
                  <w:vAlign w:val="center"/>
                </w:tcPr>
                <w:p w14:paraId="2A07B00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收集后交由厂家回收</w:t>
                  </w:r>
                </w:p>
              </w:tc>
            </w:tr>
            <w:tr w14:paraId="1647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1" w:type="pct"/>
                  <w:noWrap w:val="0"/>
                  <w:vAlign w:val="center"/>
                </w:tcPr>
                <w:p w14:paraId="0CDC32C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一般土样</w:t>
                  </w:r>
                </w:p>
              </w:tc>
              <w:tc>
                <w:tcPr>
                  <w:tcW w:w="823" w:type="pct"/>
                  <w:noWrap w:val="0"/>
                  <w:vAlign w:val="center"/>
                </w:tcPr>
                <w:p w14:paraId="73FFF75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土壤分析</w:t>
                  </w:r>
                </w:p>
              </w:tc>
              <w:tc>
                <w:tcPr>
                  <w:tcW w:w="666" w:type="pct"/>
                  <w:noWrap w:val="0"/>
                  <w:vAlign w:val="center"/>
                </w:tcPr>
                <w:p w14:paraId="767F44C1">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一般固废</w:t>
                  </w:r>
                </w:p>
              </w:tc>
              <w:tc>
                <w:tcPr>
                  <w:tcW w:w="976" w:type="pct"/>
                  <w:noWrap w:val="0"/>
                  <w:vAlign w:val="center"/>
                </w:tcPr>
                <w:p w14:paraId="01D18FF8">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900-999-99</w:t>
                  </w:r>
                </w:p>
              </w:tc>
              <w:tc>
                <w:tcPr>
                  <w:tcW w:w="850" w:type="pct"/>
                  <w:noWrap w:val="0"/>
                  <w:vAlign w:val="center"/>
                </w:tcPr>
                <w:p w14:paraId="30757454">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0.23</w:t>
                  </w:r>
                </w:p>
              </w:tc>
              <w:tc>
                <w:tcPr>
                  <w:tcW w:w="931" w:type="pct"/>
                  <w:noWrap w:val="0"/>
                  <w:vAlign w:val="center"/>
                </w:tcPr>
                <w:p w14:paraId="08724BA9">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绿化</w:t>
                  </w:r>
                </w:p>
              </w:tc>
            </w:tr>
            <w:tr w14:paraId="120C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1" w:type="pct"/>
                  <w:noWrap w:val="0"/>
                  <w:vAlign w:val="center"/>
                </w:tcPr>
                <w:p w14:paraId="232E6A04">
                  <w:pPr>
                    <w:pStyle w:val="27"/>
                    <w:keepNext w:val="0"/>
                    <w:keepLines w:val="0"/>
                    <w:suppressLineNumbers w:val="0"/>
                    <w:bidi w:val="0"/>
                    <w:spacing w:before="0" w:beforeAutospacing="0" w:after="0" w:afterAutospacing="0"/>
                    <w:ind w:left="0" w:right="0"/>
                    <w:rPr>
                      <w:rFonts w:hint="eastAsia"/>
                      <w:color w:val="auto"/>
                      <w:highlight w:val="none"/>
                    </w:rPr>
                  </w:pPr>
                  <w:r>
                    <w:rPr>
                      <w:rFonts w:hint="default"/>
                      <w:color w:val="auto"/>
                      <w:highlight w:val="none"/>
                    </w:rPr>
                    <w:t>不沾染危化品的废包装</w:t>
                  </w:r>
                </w:p>
              </w:tc>
              <w:tc>
                <w:tcPr>
                  <w:tcW w:w="823" w:type="pct"/>
                  <w:noWrap w:val="0"/>
                  <w:vAlign w:val="center"/>
                </w:tcPr>
                <w:p w14:paraId="0513406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器材使用</w:t>
                  </w:r>
                </w:p>
              </w:tc>
              <w:tc>
                <w:tcPr>
                  <w:tcW w:w="666" w:type="pct"/>
                  <w:noWrap w:val="0"/>
                  <w:vAlign w:val="center"/>
                </w:tcPr>
                <w:p w14:paraId="6C707E4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一般固废</w:t>
                  </w:r>
                </w:p>
              </w:tc>
              <w:tc>
                <w:tcPr>
                  <w:tcW w:w="976" w:type="pct"/>
                  <w:noWrap w:val="0"/>
                  <w:vAlign w:val="center"/>
                </w:tcPr>
                <w:p w14:paraId="38BF190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900-999-</w:t>
                  </w:r>
                  <w:r>
                    <w:rPr>
                      <w:rFonts w:hint="eastAsia"/>
                      <w:color w:val="auto"/>
                      <w:highlight w:val="none"/>
                      <w:lang w:val="en-US" w:eastAsia="zh-CN"/>
                    </w:rPr>
                    <w:t>07</w:t>
                  </w:r>
                </w:p>
              </w:tc>
              <w:tc>
                <w:tcPr>
                  <w:tcW w:w="850" w:type="pct"/>
                  <w:noWrap w:val="0"/>
                  <w:vAlign w:val="center"/>
                </w:tcPr>
                <w:p w14:paraId="45C4BDF8">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0.1</w:t>
                  </w:r>
                </w:p>
              </w:tc>
              <w:tc>
                <w:tcPr>
                  <w:tcW w:w="931" w:type="pct"/>
                  <w:noWrap w:val="0"/>
                  <w:vAlign w:val="center"/>
                </w:tcPr>
                <w:p w14:paraId="63040DAF">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收集后</w:t>
                  </w:r>
                  <w:r>
                    <w:rPr>
                      <w:rFonts w:hint="eastAsia"/>
                      <w:color w:val="auto"/>
                      <w:highlight w:val="none"/>
                      <w:lang w:val="en-US" w:eastAsia="zh-CN"/>
                    </w:rPr>
                    <w:t>外售</w:t>
                  </w:r>
                </w:p>
              </w:tc>
            </w:tr>
            <w:tr w14:paraId="7C27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pct"/>
                  <w:noWrap w:val="0"/>
                  <w:vAlign w:val="center"/>
                </w:tcPr>
                <w:p w14:paraId="3E89C74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生活垃圾</w:t>
                  </w:r>
                </w:p>
              </w:tc>
              <w:tc>
                <w:tcPr>
                  <w:tcW w:w="823" w:type="pct"/>
                  <w:noWrap w:val="0"/>
                  <w:vAlign w:val="center"/>
                </w:tcPr>
                <w:p w14:paraId="6326770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员工生活</w:t>
                  </w:r>
                </w:p>
              </w:tc>
              <w:tc>
                <w:tcPr>
                  <w:tcW w:w="666" w:type="pct"/>
                  <w:noWrap w:val="0"/>
                  <w:vAlign w:val="center"/>
                </w:tcPr>
                <w:p w14:paraId="15D38857">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一般固废</w:t>
                  </w:r>
                </w:p>
              </w:tc>
              <w:tc>
                <w:tcPr>
                  <w:tcW w:w="976" w:type="pct"/>
                  <w:noWrap w:val="0"/>
                  <w:vAlign w:val="center"/>
                </w:tcPr>
                <w:p w14:paraId="72FC28C5">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900-999-99</w:t>
                  </w:r>
                </w:p>
              </w:tc>
              <w:tc>
                <w:tcPr>
                  <w:tcW w:w="850" w:type="pct"/>
                  <w:noWrap w:val="0"/>
                  <w:vAlign w:val="center"/>
                </w:tcPr>
                <w:p w14:paraId="577422E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6</w:t>
                  </w:r>
                </w:p>
              </w:tc>
              <w:tc>
                <w:tcPr>
                  <w:tcW w:w="931" w:type="pct"/>
                  <w:noWrap w:val="0"/>
                  <w:vAlign w:val="center"/>
                </w:tcPr>
                <w:p w14:paraId="171B9E9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环卫部门清运</w:t>
                  </w:r>
                </w:p>
              </w:tc>
            </w:tr>
          </w:tbl>
          <w:p w14:paraId="1E6809F5">
            <w:pPr>
              <w:keepNext w:val="0"/>
              <w:keepLines w:val="0"/>
              <w:suppressLineNumbers w:val="0"/>
              <w:bidi w:val="0"/>
              <w:spacing w:before="0" w:beforeAutospacing="0" w:after="0" w:afterAutospacing="0"/>
              <w:ind w:left="0" w:right="0"/>
              <w:rPr>
                <w:rFonts w:hint="eastAsia"/>
                <w:b/>
                <w:bCs/>
                <w:color w:val="auto"/>
                <w:highlight w:val="none"/>
                <w:lang w:val="en-US" w:eastAsia="zh-CN"/>
              </w:rPr>
            </w:pPr>
            <w:r>
              <w:rPr>
                <w:rFonts w:hint="eastAsia"/>
                <w:b/>
                <w:bCs/>
                <w:color w:val="auto"/>
                <w:highlight w:val="none"/>
                <w:lang w:val="en-US" w:eastAsia="zh-CN"/>
              </w:rPr>
              <w:t>（2）一般固废管理要求</w:t>
            </w:r>
          </w:p>
          <w:p w14:paraId="14C1C009">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1）一般固废收集过程</w:t>
            </w:r>
          </w:p>
          <w:p w14:paraId="48BAE11E">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一般工业固废</w:t>
            </w:r>
            <w:r>
              <w:rPr>
                <w:rFonts w:hint="default"/>
                <w:color w:val="auto"/>
                <w:highlight w:val="none"/>
                <w:lang w:val="en-US" w:eastAsia="zh-CN"/>
              </w:rPr>
              <w:t>在收集时，</w:t>
            </w:r>
            <w:r>
              <w:rPr>
                <w:rFonts w:hint="eastAsia"/>
                <w:color w:val="auto"/>
                <w:highlight w:val="none"/>
                <w:lang w:val="en-US" w:eastAsia="zh-CN"/>
              </w:rPr>
              <w:t>按照不同种类分区存放。</w:t>
            </w:r>
          </w:p>
          <w:p w14:paraId="186647F1">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2）一般固废</w:t>
            </w:r>
            <w:r>
              <w:rPr>
                <w:rFonts w:hint="default"/>
                <w:color w:val="auto"/>
                <w:highlight w:val="none"/>
                <w:lang w:val="en-US" w:eastAsia="zh-CN"/>
              </w:rPr>
              <w:t>贮存场所环境影响分析</w:t>
            </w:r>
          </w:p>
          <w:p w14:paraId="41A614EF">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拟建项目设一座占地面积为</w:t>
            </w:r>
            <w:r>
              <w:rPr>
                <w:rFonts w:hint="eastAsia"/>
                <w:color w:val="auto"/>
                <w:highlight w:val="none"/>
                <w:lang w:val="en-US" w:eastAsia="zh-CN"/>
              </w:rPr>
              <w:t>5</w:t>
            </w:r>
            <w:r>
              <w:rPr>
                <w:rFonts w:hint="default"/>
                <w:color w:val="auto"/>
                <w:highlight w:val="none"/>
              </w:rPr>
              <w:t>m</w:t>
            </w:r>
            <w:r>
              <w:rPr>
                <w:rFonts w:hint="default"/>
                <w:color w:val="auto"/>
                <w:highlight w:val="none"/>
                <w:vertAlign w:val="superscript"/>
              </w:rPr>
              <w:t>2</w:t>
            </w:r>
            <w:r>
              <w:rPr>
                <w:rFonts w:hint="default"/>
                <w:color w:val="auto"/>
                <w:highlight w:val="none"/>
                <w:lang w:val="en-US" w:eastAsia="zh-CN"/>
              </w:rPr>
              <w:t>的固废暂存间，位于</w:t>
            </w:r>
            <w:r>
              <w:rPr>
                <w:rFonts w:hint="eastAsia"/>
                <w:color w:val="auto"/>
                <w:highlight w:val="none"/>
                <w:lang w:val="en-US" w:eastAsia="zh-CN"/>
              </w:rPr>
              <w:t>办公楼三层西南，</w:t>
            </w:r>
            <w:r>
              <w:rPr>
                <w:rFonts w:hint="default"/>
                <w:color w:val="auto"/>
                <w:highlight w:val="none"/>
                <w:lang w:val="en-US" w:eastAsia="zh-CN"/>
              </w:rPr>
              <w:t>储存能力为</w:t>
            </w:r>
            <w:r>
              <w:rPr>
                <w:rFonts w:hint="eastAsia"/>
                <w:color w:val="auto"/>
                <w:highlight w:val="none"/>
                <w:lang w:val="en-US" w:eastAsia="zh-CN"/>
              </w:rPr>
              <w:t>1</w:t>
            </w:r>
            <w:r>
              <w:rPr>
                <w:rFonts w:hint="default"/>
                <w:color w:val="auto"/>
                <w:highlight w:val="none"/>
                <w:lang w:val="en-US" w:eastAsia="zh-CN"/>
              </w:rPr>
              <w:t>t</w:t>
            </w:r>
            <w:r>
              <w:rPr>
                <w:rFonts w:hint="eastAsia"/>
                <w:color w:val="auto"/>
                <w:highlight w:val="none"/>
                <w:lang w:val="en-US" w:eastAsia="zh-CN"/>
              </w:rPr>
              <w:t>。存放环境要求防雨防潮，禁止露天堆放，</w:t>
            </w:r>
            <w:r>
              <w:rPr>
                <w:rFonts w:hint="default"/>
                <w:color w:val="auto"/>
                <w:highlight w:val="none"/>
                <w:lang w:val="en-US" w:eastAsia="zh-CN"/>
              </w:rPr>
              <w:t>严格按照《一般工业固体废物贮存和填埋污染控制标准》（GB18599-2020）</w:t>
            </w:r>
            <w:r>
              <w:rPr>
                <w:rFonts w:hint="eastAsia"/>
                <w:color w:val="auto"/>
                <w:highlight w:val="none"/>
                <w:lang w:val="en-US" w:eastAsia="zh-CN"/>
              </w:rPr>
              <w:t>及《一般工业固体废物管理台账制定指南（试行）》</w:t>
            </w:r>
            <w:r>
              <w:rPr>
                <w:rFonts w:hint="default"/>
                <w:color w:val="auto"/>
                <w:highlight w:val="none"/>
                <w:lang w:val="en-US" w:eastAsia="zh-CN"/>
              </w:rPr>
              <w:t>中的相关规定要求进行贮存。</w:t>
            </w:r>
          </w:p>
          <w:p w14:paraId="0DCE5B13">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拟建项目建成运行后，一般工业固废可得到妥善处理处置或综合利用，不外排。</w:t>
            </w:r>
          </w:p>
          <w:p w14:paraId="7A812DA3">
            <w:pPr>
              <w:keepNext w:val="0"/>
              <w:keepLines w:val="0"/>
              <w:suppressLineNumbers w:val="0"/>
              <w:bidi w:val="0"/>
              <w:spacing w:before="0" w:beforeAutospacing="0" w:after="0" w:afterAutospacing="0"/>
              <w:ind w:left="0" w:right="0"/>
              <w:rPr>
                <w:rFonts w:hint="default"/>
                <w:b/>
                <w:bCs/>
                <w:color w:val="auto"/>
                <w:highlight w:val="none"/>
              </w:rPr>
            </w:pPr>
            <w:r>
              <w:rPr>
                <w:rFonts w:hint="eastAsia"/>
                <w:b/>
                <w:bCs/>
                <w:color w:val="auto"/>
                <w:highlight w:val="none"/>
              </w:rPr>
              <w:t>（3）危险废物产生及处置情况</w:t>
            </w:r>
          </w:p>
          <w:p w14:paraId="627BC839">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①</w:t>
            </w:r>
            <w:r>
              <w:rPr>
                <w:rFonts w:hint="eastAsia"/>
                <w:color w:val="auto"/>
                <w:highlight w:val="none"/>
                <w:lang w:val="en-US" w:eastAsia="zh-CN"/>
              </w:rPr>
              <w:t>实验室废物</w:t>
            </w:r>
          </w:p>
          <w:p w14:paraId="259521E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本项目实验过程中和结束后产生实验废液、废渣</w:t>
            </w:r>
            <w:r>
              <w:rPr>
                <w:rFonts w:hint="eastAsia"/>
                <w:color w:val="auto"/>
                <w:highlight w:val="none"/>
                <w:lang w:val="en-US" w:eastAsia="zh-CN"/>
              </w:rPr>
              <w:t>及废实验器皿等</w:t>
            </w:r>
            <w:r>
              <w:rPr>
                <w:rFonts w:hint="eastAsia"/>
                <w:color w:val="auto"/>
                <w:highlight w:val="none"/>
              </w:rPr>
              <w:t>，根据企业提供的资料，其中酸性废液产生量约0.</w:t>
            </w:r>
            <w:r>
              <w:rPr>
                <w:rFonts w:hint="eastAsia"/>
                <w:color w:val="auto"/>
                <w:highlight w:val="none"/>
                <w:lang w:val="en-US" w:eastAsia="zh-CN"/>
              </w:rPr>
              <w:t>1</w:t>
            </w:r>
            <w:r>
              <w:rPr>
                <w:rFonts w:hint="eastAsia"/>
                <w:color w:val="auto"/>
                <w:highlight w:val="none"/>
              </w:rPr>
              <w:t>t/a、碱性废液产生量约0.0</w:t>
            </w:r>
            <w:r>
              <w:rPr>
                <w:rFonts w:hint="eastAsia"/>
                <w:color w:val="auto"/>
                <w:highlight w:val="none"/>
                <w:lang w:val="en-US" w:eastAsia="zh-CN"/>
              </w:rPr>
              <w:t>2</w:t>
            </w:r>
            <w:r>
              <w:rPr>
                <w:rFonts w:hint="eastAsia"/>
                <w:color w:val="auto"/>
                <w:highlight w:val="none"/>
              </w:rPr>
              <w:t>t/a、重金属废液产生量约0.02t/a；药品玻璃瓶产生量约0.</w:t>
            </w:r>
            <w:r>
              <w:rPr>
                <w:rFonts w:hint="eastAsia"/>
                <w:color w:val="auto"/>
                <w:highlight w:val="none"/>
                <w:lang w:val="en-US" w:eastAsia="zh-CN"/>
              </w:rPr>
              <w:t>1</w:t>
            </w:r>
            <w:r>
              <w:rPr>
                <w:rFonts w:hint="eastAsia"/>
                <w:color w:val="auto"/>
                <w:highlight w:val="none"/>
              </w:rPr>
              <w:t>t/a、实验废渣产生量约0.01t/a；根据项目废水工程分析可知，</w:t>
            </w:r>
            <w:r>
              <w:rPr>
                <w:rFonts w:hint="eastAsia"/>
                <w:color w:val="auto"/>
                <w:highlight w:val="none"/>
                <w:lang w:val="en-US" w:eastAsia="zh-CN"/>
              </w:rPr>
              <w:t>润洗废水、</w:t>
            </w:r>
            <w:r>
              <w:rPr>
                <w:rFonts w:hint="eastAsia"/>
                <w:color w:val="auto"/>
                <w:highlight w:val="none"/>
              </w:rPr>
              <w:t>清洗</w:t>
            </w:r>
            <w:r>
              <w:rPr>
                <w:rFonts w:hint="eastAsia"/>
                <w:color w:val="auto"/>
                <w:highlight w:val="none"/>
                <w:lang w:val="en-US" w:eastAsia="zh-CN"/>
              </w:rPr>
              <w:t>涉重</w:t>
            </w:r>
            <w:r>
              <w:rPr>
                <w:rFonts w:hint="eastAsia"/>
                <w:color w:val="auto"/>
                <w:highlight w:val="none"/>
              </w:rPr>
              <w:t>废水</w:t>
            </w:r>
            <w:r>
              <w:rPr>
                <w:rFonts w:hint="eastAsia"/>
                <w:color w:val="auto"/>
                <w:highlight w:val="none"/>
                <w:lang w:val="en-US" w:eastAsia="zh-CN"/>
              </w:rPr>
              <w:t>等</w:t>
            </w:r>
            <w:r>
              <w:rPr>
                <w:rFonts w:hint="eastAsia"/>
                <w:color w:val="auto"/>
                <w:highlight w:val="none"/>
              </w:rPr>
              <w:t>产生量约0.00</w:t>
            </w:r>
            <w:r>
              <w:rPr>
                <w:rFonts w:hint="eastAsia"/>
                <w:color w:val="auto"/>
                <w:highlight w:val="none"/>
                <w:lang w:val="en-US" w:eastAsia="zh-CN"/>
              </w:rPr>
              <w:t>6</w:t>
            </w:r>
            <w:r>
              <w:rPr>
                <w:rFonts w:hint="eastAsia"/>
                <w:color w:val="auto"/>
                <w:highlight w:val="none"/>
              </w:rPr>
              <w:t>t/d（</w:t>
            </w:r>
            <w:r>
              <w:rPr>
                <w:rFonts w:hint="eastAsia"/>
                <w:color w:val="auto"/>
                <w:highlight w:val="none"/>
                <w:lang w:val="en-US" w:eastAsia="zh-CN"/>
              </w:rPr>
              <w:t>1.745</w:t>
            </w:r>
            <w:r>
              <w:rPr>
                <w:rFonts w:hint="eastAsia"/>
                <w:color w:val="auto"/>
                <w:highlight w:val="none"/>
              </w:rPr>
              <w:t>t/a）；沾染试剂的废实验器皿产生量约为0.02t/a</w:t>
            </w:r>
            <w:r>
              <w:rPr>
                <w:rFonts w:hint="default"/>
                <w:color w:val="auto"/>
                <w:highlight w:val="none"/>
              </w:rPr>
              <w:t>。废手套产生量约为0.02t/a，综上实验室废物产生量约</w:t>
            </w:r>
            <w:r>
              <w:rPr>
                <w:rFonts w:hint="eastAsia"/>
                <w:color w:val="auto"/>
                <w:highlight w:val="none"/>
                <w:lang w:val="en-US" w:eastAsia="zh-CN"/>
              </w:rPr>
              <w:t>2.035</w:t>
            </w:r>
            <w:r>
              <w:rPr>
                <w:rFonts w:hint="default"/>
                <w:color w:val="auto"/>
                <w:highlight w:val="none"/>
              </w:rPr>
              <w:t>t/a，以上废物均属于危险废物，在公司危废暂存库暂存后委托有资质单位处置。</w:t>
            </w:r>
          </w:p>
          <w:p w14:paraId="28E71E6A">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②废活性炭</w:t>
            </w:r>
          </w:p>
          <w:p w14:paraId="7173E60D">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eastAsia"/>
                <w:color w:val="auto"/>
                <w:highlight w:val="none"/>
              </w:rPr>
              <w:t>本项目在进行气相色谱仪检测、离子色谱仪检测过程中产生的非甲烷总烃设置活性炭进行吸附处理，尾气通过排气筒进行排放，本项目在进行气相色谱仪检</w:t>
            </w:r>
            <w:r>
              <w:rPr>
                <w:rFonts w:hint="default" w:ascii="Times New Roman" w:hAnsi="Times New Roman" w:cs="Times New Roman"/>
                <w:color w:val="auto"/>
                <w:highlight w:val="none"/>
              </w:rPr>
              <w:t>测、离子色谱仪检测过程中共吸收非甲烷总烃量为</w:t>
            </w:r>
            <w:r>
              <w:rPr>
                <w:rFonts w:hint="default" w:ascii="Times New Roman" w:hAnsi="Times New Roman" w:cs="Times New Roman"/>
                <w:color w:val="auto"/>
                <w:highlight w:val="none"/>
                <w:lang w:val="en-US" w:eastAsia="zh-CN"/>
              </w:rPr>
              <w:t>36.65</w:t>
            </w:r>
            <w:r>
              <w:rPr>
                <w:rFonts w:hint="default" w:ascii="Times New Roman" w:hAnsi="Times New Roman" w:cs="Times New Roman"/>
                <w:color w:val="auto"/>
                <w:highlight w:val="none"/>
              </w:rPr>
              <w:t>kg/a，</w:t>
            </w:r>
            <w:r>
              <w:rPr>
                <w:rFonts w:hint="default" w:ascii="Times New Roman" w:hAnsi="Times New Roman" w:cs="Times New Roman"/>
                <w:color w:val="auto"/>
                <w:highlight w:val="none"/>
                <w:lang w:val="en-US" w:eastAsia="zh-CN"/>
              </w:rPr>
              <w:t>活性炭：废气按照1:0.3，活性炭使用量为122.2kg，则废活性炭产生量为158.85kg，</w:t>
            </w:r>
            <w:r>
              <w:rPr>
                <w:rFonts w:hint="default" w:ascii="Times New Roman" w:hAnsi="Times New Roman" w:cs="Times New Roman"/>
                <w:color w:val="auto"/>
                <w:highlight w:val="none"/>
              </w:rPr>
              <w:t>本项目设置的二级活性炭装置定期更换，更换周期约</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个月一次，项目产生的废活性炭量约为</w:t>
            </w:r>
            <w:r>
              <w:rPr>
                <w:rFonts w:hint="default" w:ascii="Times New Roman" w:hAnsi="Times New Roman" w:cs="Times New Roman"/>
                <w:color w:val="auto"/>
                <w:highlight w:val="none"/>
                <w:lang w:val="en-US" w:eastAsia="zh-CN"/>
              </w:rPr>
              <w:t>160kg</w:t>
            </w:r>
            <w:r>
              <w:rPr>
                <w:rFonts w:hint="default" w:ascii="Times New Roman" w:hAnsi="Times New Roman" w:cs="Times New Roman"/>
                <w:color w:val="auto"/>
                <w:highlight w:val="none"/>
              </w:rPr>
              <w:t>/a，废活性炭属于《国家危险废物名录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2021年版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default" w:ascii="Times New Roman" w:hAnsi="Times New Roman" w:cs="Times New Roman"/>
                <w:color w:val="auto"/>
                <w:highlight w:val="none"/>
              </w:rPr>
              <w:t>HW49其他废物</w:t>
            </w:r>
            <w:r>
              <w:rPr>
                <w:rFonts w:hint="eastAsia" w:cs="Times New Roman"/>
                <w:color w:val="auto"/>
                <w:highlight w:val="none"/>
                <w:lang w:eastAsia="zh-CN"/>
              </w:rPr>
              <w:t>”</w:t>
            </w:r>
            <w:r>
              <w:rPr>
                <w:rFonts w:hint="default" w:ascii="Times New Roman" w:hAnsi="Times New Roman" w:cs="Times New Roman"/>
                <w:color w:val="auto"/>
                <w:highlight w:val="none"/>
              </w:rPr>
              <w:t>中的900-039-49烟气、VOCs治理过程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不包括餐饮行业油烟治理过程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产生的废活性炭，化学原料和化学制品脱色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不包括有机合成食品添加剂脱色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、除杂、净化过程产生的废活性炭</w:t>
            </w:r>
            <w:r>
              <w:rPr>
                <w:rFonts w:hint="eastAsia" w:cs="Times New Roman"/>
                <w:color w:val="auto"/>
                <w:highlight w:val="none"/>
                <w:lang w:eastAsia="zh-CN"/>
              </w:rPr>
              <w:t>”</w:t>
            </w:r>
            <w:r>
              <w:rPr>
                <w:rFonts w:hint="default" w:ascii="Times New Roman" w:hAnsi="Times New Roman" w:cs="Times New Roman"/>
                <w:color w:val="auto"/>
                <w:highlight w:val="none"/>
              </w:rPr>
              <w:t>的危废，应收集后暂存于危废暂存间，定期交由有资质单位处理。</w:t>
            </w:r>
          </w:p>
          <w:p w14:paraId="4D7762D5">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③废紫外线灯管</w:t>
            </w:r>
          </w:p>
          <w:p w14:paraId="1A326172">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项目生物安全柜内采用紫外线杀菌，使用3根紫外线灯管，单根重量约为300g，</w:t>
            </w:r>
            <w:r>
              <w:rPr>
                <w:rFonts w:hint="eastAsia"/>
                <w:color w:val="auto"/>
                <w:highlight w:val="none"/>
                <w:lang w:eastAsia="zh-CN"/>
              </w:rPr>
              <w:t>更换</w:t>
            </w:r>
            <w:r>
              <w:rPr>
                <w:rFonts w:hint="eastAsia"/>
                <w:color w:val="auto"/>
                <w:highlight w:val="none"/>
              </w:rPr>
              <w:t>周期为一年一次，因此废紫外灯管产生量约0.0009t/a。属于《国家危险废物名录</w:t>
            </w:r>
            <w:r>
              <w:rPr>
                <w:rFonts w:hint="eastAsia"/>
                <w:color w:val="auto"/>
                <w:highlight w:val="none"/>
                <w:lang w:eastAsia="zh-CN"/>
              </w:rPr>
              <w:t>（</w:t>
            </w:r>
            <w:r>
              <w:rPr>
                <w:rFonts w:hint="eastAsia"/>
                <w:color w:val="auto"/>
                <w:highlight w:val="none"/>
                <w:lang w:val="en-US" w:eastAsia="zh-CN"/>
              </w:rPr>
              <w:t>2021年版</w:t>
            </w:r>
            <w:r>
              <w:rPr>
                <w:rFonts w:hint="eastAsia"/>
                <w:color w:val="auto"/>
                <w:highlight w:val="none"/>
                <w:lang w:eastAsia="zh-CN"/>
              </w:rPr>
              <w:t>）</w:t>
            </w:r>
            <w:r>
              <w:rPr>
                <w:rFonts w:hint="eastAsia"/>
                <w:color w:val="auto"/>
                <w:highlight w:val="none"/>
              </w:rPr>
              <w:t>》中HW29</w:t>
            </w:r>
            <w:r>
              <w:rPr>
                <w:rFonts w:hint="eastAsia"/>
                <w:color w:val="auto"/>
                <w:highlight w:val="none"/>
                <w:lang w:eastAsia="zh-CN"/>
              </w:rPr>
              <w:t>—</w:t>
            </w:r>
            <w:r>
              <w:rPr>
                <w:rFonts w:hint="default"/>
                <w:color w:val="auto"/>
                <w:highlight w:val="none"/>
              </w:rPr>
              <w:t>900-039-49</w:t>
            </w:r>
            <w:r>
              <w:rPr>
                <w:rFonts w:hint="eastAsia"/>
                <w:color w:val="auto"/>
                <w:highlight w:val="none"/>
              </w:rPr>
              <w:t>危险废物，收集于危险废物暂存间临时贮存并布设警示牌，后交有资质单位进行处置。</w:t>
            </w:r>
          </w:p>
          <w:p w14:paraId="057EAFF0">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④污水处理设施污泥</w:t>
            </w:r>
          </w:p>
          <w:p w14:paraId="21CFC466">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项目污水处理设施运行过程中会产生一定量的污泥，根据企业提供的资料和类比同类型的企业，污水处理设施污泥产生量约为0.02t/a，属于《国家危险废物名录</w:t>
            </w:r>
            <w:r>
              <w:rPr>
                <w:rFonts w:hint="eastAsia"/>
                <w:color w:val="auto"/>
                <w:highlight w:val="none"/>
                <w:lang w:eastAsia="zh-CN"/>
              </w:rPr>
              <w:t>（</w:t>
            </w:r>
            <w:r>
              <w:rPr>
                <w:rFonts w:hint="eastAsia"/>
                <w:color w:val="auto"/>
                <w:highlight w:val="none"/>
                <w:lang w:val="en-US" w:eastAsia="zh-CN"/>
              </w:rPr>
              <w:t>2021年版</w:t>
            </w:r>
            <w:r>
              <w:rPr>
                <w:rFonts w:hint="eastAsia"/>
                <w:color w:val="auto"/>
                <w:highlight w:val="none"/>
                <w:lang w:eastAsia="zh-CN"/>
              </w:rPr>
              <w:t>）</w:t>
            </w:r>
            <w:r>
              <w:rPr>
                <w:rFonts w:hint="eastAsia"/>
                <w:color w:val="auto"/>
                <w:highlight w:val="none"/>
              </w:rPr>
              <w:t>》中HW49</w:t>
            </w:r>
            <w:r>
              <w:rPr>
                <w:rFonts w:hint="eastAsia"/>
                <w:color w:val="auto"/>
                <w:highlight w:val="none"/>
                <w:lang w:eastAsia="zh-CN"/>
              </w:rPr>
              <w:t>—</w:t>
            </w:r>
            <w:r>
              <w:rPr>
                <w:rFonts w:hint="eastAsia"/>
                <w:color w:val="auto"/>
                <w:highlight w:val="none"/>
              </w:rPr>
              <w:t>900-047-49危险废物，收集于危险废物暂存间临时贮存并布设警示牌，后交有资质单位进行处置。</w:t>
            </w:r>
          </w:p>
          <w:p w14:paraId="0A88548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⑤实验室剩余土壤样品</w:t>
            </w:r>
          </w:p>
          <w:p w14:paraId="1CE57A17">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实验土样中约10%为危险废物，则</w:t>
            </w:r>
            <w:r>
              <w:rPr>
                <w:rFonts w:hint="eastAsia"/>
                <w:color w:val="auto"/>
                <w:highlight w:val="none"/>
              </w:rPr>
              <w:t>检测土壤过后产生的</w:t>
            </w:r>
            <w:r>
              <w:rPr>
                <w:rFonts w:hint="eastAsia"/>
                <w:color w:val="auto"/>
                <w:highlight w:val="none"/>
                <w:lang w:val="en-US" w:eastAsia="zh-CN"/>
              </w:rPr>
              <w:t>一般</w:t>
            </w:r>
            <w:r>
              <w:rPr>
                <w:rFonts w:hint="eastAsia"/>
                <w:color w:val="auto"/>
                <w:highlight w:val="none"/>
              </w:rPr>
              <w:t>废土样产生量为</w:t>
            </w:r>
            <w:r>
              <w:rPr>
                <w:rFonts w:hint="eastAsia"/>
                <w:color w:val="auto"/>
                <w:highlight w:val="none"/>
                <w:lang w:val="en-US" w:eastAsia="zh-CN"/>
              </w:rPr>
              <w:t>0.026</w:t>
            </w:r>
            <w:r>
              <w:rPr>
                <w:rFonts w:hint="eastAsia"/>
                <w:color w:val="auto"/>
                <w:highlight w:val="none"/>
              </w:rPr>
              <w:t>t/a。</w:t>
            </w:r>
          </w:p>
          <w:p w14:paraId="5C4D2289">
            <w:pPr>
              <w:pStyle w:val="26"/>
              <w:keepNext w:val="0"/>
              <w:keepLines w:val="0"/>
              <w:suppressLineNumbers w:val="0"/>
              <w:bidi w:val="0"/>
              <w:spacing w:before="0" w:beforeAutospacing="0" w:after="0" w:afterAutospacing="0"/>
              <w:ind w:left="0" w:right="0"/>
              <w:rPr>
                <w:rFonts w:hint="eastAsia"/>
                <w:color w:val="auto"/>
                <w:highlight w:val="none"/>
                <w:lang w:eastAsia="zh-CN"/>
              </w:rPr>
            </w:pPr>
            <w:r>
              <w:rPr>
                <w:rFonts w:hint="default"/>
                <w:color w:val="auto"/>
                <w:highlight w:val="none"/>
              </w:rPr>
              <w:t>表</w:t>
            </w:r>
            <w:r>
              <w:rPr>
                <w:rFonts w:hint="eastAsia"/>
                <w:color w:val="auto"/>
                <w:highlight w:val="none"/>
              </w:rPr>
              <w:t>4-1</w:t>
            </w:r>
            <w:r>
              <w:rPr>
                <w:rFonts w:hint="eastAsia"/>
                <w:color w:val="auto"/>
                <w:highlight w:val="none"/>
                <w:lang w:val="en-US" w:eastAsia="zh-CN"/>
              </w:rPr>
              <w:t xml:space="preserve">0  </w:t>
            </w:r>
            <w:r>
              <w:rPr>
                <w:rFonts w:hint="default"/>
                <w:color w:val="auto"/>
                <w:highlight w:val="none"/>
              </w:rPr>
              <w:t>危险废物产生一览表</w:t>
            </w:r>
            <w:r>
              <w:rPr>
                <w:rFonts w:hint="eastAsia"/>
                <w:color w:val="auto"/>
                <w:highlight w:val="none"/>
                <w:lang w:eastAsia="zh-CN"/>
              </w:rPr>
              <w:t>（</w:t>
            </w:r>
            <w:r>
              <w:rPr>
                <w:rFonts w:hint="default"/>
                <w:color w:val="auto"/>
                <w:highlight w:val="none"/>
              </w:rPr>
              <w:t>单位：t/a</w:t>
            </w:r>
            <w:r>
              <w:rPr>
                <w:rFonts w:hint="eastAsia"/>
                <w:color w:val="auto"/>
                <w:highlight w:val="none"/>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72"/>
              <w:gridCol w:w="1275"/>
              <w:gridCol w:w="683"/>
              <w:gridCol w:w="1057"/>
              <w:gridCol w:w="523"/>
              <w:gridCol w:w="853"/>
              <w:gridCol w:w="725"/>
              <w:gridCol w:w="843"/>
              <w:gridCol w:w="854"/>
            </w:tblGrid>
            <w:tr w14:paraId="1D78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751E3A41">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序号</w:t>
                  </w:r>
                </w:p>
              </w:tc>
              <w:tc>
                <w:tcPr>
                  <w:tcW w:w="533" w:type="pct"/>
                  <w:noWrap w:val="0"/>
                  <w:vAlign w:val="center"/>
                </w:tcPr>
                <w:p w14:paraId="045F34C6">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危险废物名称</w:t>
                  </w:r>
                </w:p>
              </w:tc>
              <w:tc>
                <w:tcPr>
                  <w:tcW w:w="779" w:type="pct"/>
                  <w:noWrap w:val="0"/>
                  <w:vAlign w:val="center"/>
                </w:tcPr>
                <w:p w14:paraId="3A3BF916">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危险废物类别</w:t>
                  </w:r>
                  <w:r>
                    <w:rPr>
                      <w:rFonts w:hint="eastAsia"/>
                      <w:b/>
                      <w:bCs/>
                      <w:color w:val="auto"/>
                      <w:highlight w:val="none"/>
                    </w:rPr>
                    <w:t>及</w:t>
                  </w:r>
                  <w:r>
                    <w:rPr>
                      <w:b/>
                      <w:bCs/>
                      <w:color w:val="auto"/>
                      <w:highlight w:val="none"/>
                    </w:rPr>
                    <w:t>代码</w:t>
                  </w:r>
                </w:p>
              </w:tc>
              <w:tc>
                <w:tcPr>
                  <w:tcW w:w="417" w:type="pct"/>
                  <w:noWrap w:val="0"/>
                  <w:vAlign w:val="center"/>
                </w:tcPr>
                <w:p w14:paraId="0AE916AD">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产生量t/a</w:t>
                  </w:r>
                </w:p>
              </w:tc>
              <w:tc>
                <w:tcPr>
                  <w:tcW w:w="646" w:type="pct"/>
                  <w:noWrap w:val="0"/>
                  <w:vAlign w:val="center"/>
                </w:tcPr>
                <w:p w14:paraId="7C0358A8">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产生工序及装置</w:t>
                  </w:r>
                </w:p>
              </w:tc>
              <w:tc>
                <w:tcPr>
                  <w:tcW w:w="320" w:type="pct"/>
                  <w:noWrap w:val="0"/>
                  <w:vAlign w:val="center"/>
                </w:tcPr>
                <w:p w14:paraId="51356233">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形态</w:t>
                  </w:r>
                </w:p>
              </w:tc>
              <w:tc>
                <w:tcPr>
                  <w:tcW w:w="521" w:type="pct"/>
                  <w:noWrap w:val="0"/>
                  <w:vAlign w:val="center"/>
                </w:tcPr>
                <w:p w14:paraId="28D9F0A9">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有害成分</w:t>
                  </w:r>
                </w:p>
              </w:tc>
              <w:tc>
                <w:tcPr>
                  <w:tcW w:w="443" w:type="pct"/>
                  <w:noWrap w:val="0"/>
                  <w:vAlign w:val="center"/>
                </w:tcPr>
                <w:p w14:paraId="3053970F">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产废周期</w:t>
                  </w:r>
                </w:p>
              </w:tc>
              <w:tc>
                <w:tcPr>
                  <w:tcW w:w="515" w:type="pct"/>
                  <w:noWrap w:val="0"/>
                  <w:vAlign w:val="center"/>
                </w:tcPr>
                <w:p w14:paraId="6A7794D9">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危险</w:t>
                  </w:r>
                </w:p>
                <w:p w14:paraId="05866BDA">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特性</w:t>
                  </w:r>
                </w:p>
              </w:tc>
              <w:tc>
                <w:tcPr>
                  <w:tcW w:w="521" w:type="pct"/>
                  <w:noWrap w:val="0"/>
                  <w:vAlign w:val="center"/>
                </w:tcPr>
                <w:p w14:paraId="1A162E36">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污染防治措施</w:t>
                  </w:r>
                </w:p>
              </w:tc>
            </w:tr>
            <w:tr w14:paraId="0B5E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034D07C2">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1</w:t>
                  </w:r>
                </w:p>
              </w:tc>
              <w:tc>
                <w:tcPr>
                  <w:tcW w:w="533" w:type="pct"/>
                  <w:noWrap w:val="0"/>
                  <w:vAlign w:val="center"/>
                </w:tcPr>
                <w:p w14:paraId="1346AE5C">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实验室废物</w:t>
                  </w:r>
                </w:p>
              </w:tc>
              <w:tc>
                <w:tcPr>
                  <w:tcW w:w="779" w:type="pct"/>
                  <w:noWrap w:val="0"/>
                  <w:vAlign w:val="center"/>
                </w:tcPr>
                <w:p w14:paraId="3A1140E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HW49</w:t>
                  </w:r>
                </w:p>
                <w:p w14:paraId="5073A65C">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900-047-49</w:t>
                  </w:r>
                </w:p>
              </w:tc>
              <w:tc>
                <w:tcPr>
                  <w:tcW w:w="417" w:type="pct"/>
                  <w:noWrap w:val="0"/>
                  <w:vAlign w:val="center"/>
                </w:tcPr>
                <w:p w14:paraId="36DE02B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2.035</w:t>
                  </w:r>
                </w:p>
              </w:tc>
              <w:tc>
                <w:tcPr>
                  <w:tcW w:w="646" w:type="pct"/>
                  <w:noWrap w:val="0"/>
                  <w:vAlign w:val="center"/>
                </w:tcPr>
                <w:p w14:paraId="6DF109A6">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检验过程</w:t>
                  </w:r>
                </w:p>
              </w:tc>
              <w:tc>
                <w:tcPr>
                  <w:tcW w:w="320" w:type="pct"/>
                  <w:noWrap w:val="0"/>
                  <w:vAlign w:val="center"/>
                </w:tcPr>
                <w:p w14:paraId="0566F89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color w:val="auto"/>
                      <w:highlight w:val="none"/>
                    </w:rPr>
                    <w:t>液</w:t>
                  </w:r>
                  <w:r>
                    <w:rPr>
                      <w:rFonts w:hint="eastAsia"/>
                      <w:color w:val="auto"/>
                      <w:highlight w:val="none"/>
                      <w:lang w:val="en-US" w:eastAsia="zh-CN"/>
                    </w:rPr>
                    <w:t>/固</w:t>
                  </w:r>
                </w:p>
              </w:tc>
              <w:tc>
                <w:tcPr>
                  <w:tcW w:w="521" w:type="pct"/>
                  <w:noWrap w:val="0"/>
                  <w:vAlign w:val="center"/>
                </w:tcPr>
                <w:p w14:paraId="245FAA3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酸、碱、重金属</w:t>
                  </w:r>
                </w:p>
              </w:tc>
              <w:tc>
                <w:tcPr>
                  <w:tcW w:w="443" w:type="pct"/>
                  <w:noWrap w:val="0"/>
                  <w:vAlign w:val="center"/>
                </w:tcPr>
                <w:p w14:paraId="7628BF21">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150d</w:t>
                  </w:r>
                </w:p>
              </w:tc>
              <w:tc>
                <w:tcPr>
                  <w:tcW w:w="515" w:type="pct"/>
                  <w:noWrap w:val="0"/>
                  <w:vAlign w:val="center"/>
                </w:tcPr>
                <w:p w14:paraId="018F6305">
                  <w:pPr>
                    <w:pStyle w:val="27"/>
                    <w:keepNext w:val="0"/>
                    <w:keepLines w:val="0"/>
                    <w:suppressLineNumbers w:val="0"/>
                    <w:bidi w:val="0"/>
                    <w:spacing w:before="0" w:beforeAutospacing="0" w:after="0" w:afterAutospacing="0"/>
                    <w:ind w:left="0" w:right="0"/>
                    <w:rPr>
                      <w:color w:val="auto"/>
                      <w:highlight w:val="none"/>
                    </w:rPr>
                  </w:pPr>
                  <w:r>
                    <w:rPr>
                      <w:rFonts w:ascii="Times New Roman" w:hAnsi="Times New Roman" w:eastAsia="Times New Roman" w:cs="Times New Roman"/>
                      <w:b w:val="0"/>
                      <w:bCs w:val="0"/>
                      <w:color w:val="auto"/>
                      <w:sz w:val="21"/>
                      <w:szCs w:val="21"/>
                      <w:highlight w:val="none"/>
                    </w:rPr>
                    <w:t>T/C/I/R</w:t>
                  </w:r>
                </w:p>
              </w:tc>
              <w:tc>
                <w:tcPr>
                  <w:tcW w:w="521" w:type="pct"/>
                  <w:vMerge w:val="restart"/>
                  <w:noWrap w:val="0"/>
                  <w:vAlign w:val="center"/>
                </w:tcPr>
                <w:p w14:paraId="72C4E8F3">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厂区暂存后交由有资质的单位处理处置</w:t>
                  </w:r>
                </w:p>
              </w:tc>
            </w:tr>
            <w:tr w14:paraId="41CE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1D0377A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2</w:t>
                  </w:r>
                </w:p>
              </w:tc>
              <w:tc>
                <w:tcPr>
                  <w:tcW w:w="533" w:type="pct"/>
                  <w:noWrap w:val="0"/>
                  <w:vAlign w:val="center"/>
                </w:tcPr>
                <w:p w14:paraId="64245AC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废活性炭</w:t>
                  </w:r>
                </w:p>
              </w:tc>
              <w:tc>
                <w:tcPr>
                  <w:tcW w:w="779" w:type="pct"/>
                  <w:noWrap w:val="0"/>
                  <w:vAlign w:val="center"/>
                </w:tcPr>
                <w:p w14:paraId="37F2C3C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HW49</w:t>
                  </w:r>
                </w:p>
                <w:p w14:paraId="7229C73E">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900-039-49</w:t>
                  </w:r>
                </w:p>
              </w:tc>
              <w:tc>
                <w:tcPr>
                  <w:tcW w:w="417" w:type="pct"/>
                  <w:noWrap w:val="0"/>
                  <w:vAlign w:val="center"/>
                </w:tcPr>
                <w:p w14:paraId="29B2548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0.16</w:t>
                  </w:r>
                </w:p>
              </w:tc>
              <w:tc>
                <w:tcPr>
                  <w:tcW w:w="646" w:type="pct"/>
                  <w:noWrap w:val="0"/>
                  <w:vAlign w:val="center"/>
                </w:tcPr>
                <w:p w14:paraId="2C4B7DF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废气处理</w:t>
                  </w:r>
                </w:p>
              </w:tc>
              <w:tc>
                <w:tcPr>
                  <w:tcW w:w="320" w:type="pct"/>
                  <w:noWrap w:val="0"/>
                  <w:vAlign w:val="center"/>
                </w:tcPr>
                <w:p w14:paraId="74AC7D4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固</w:t>
                  </w:r>
                </w:p>
              </w:tc>
              <w:tc>
                <w:tcPr>
                  <w:tcW w:w="521" w:type="pct"/>
                  <w:noWrap w:val="0"/>
                  <w:vAlign w:val="center"/>
                </w:tcPr>
                <w:p w14:paraId="310E53B4">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有机物</w:t>
                  </w:r>
                </w:p>
              </w:tc>
              <w:tc>
                <w:tcPr>
                  <w:tcW w:w="443" w:type="pct"/>
                  <w:noWrap w:val="0"/>
                  <w:vAlign w:val="center"/>
                </w:tcPr>
                <w:p w14:paraId="7FBBA2B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9</w:t>
                  </w:r>
                  <w:r>
                    <w:rPr>
                      <w:color w:val="auto"/>
                      <w:highlight w:val="none"/>
                    </w:rPr>
                    <w:t>0d</w:t>
                  </w:r>
                </w:p>
              </w:tc>
              <w:tc>
                <w:tcPr>
                  <w:tcW w:w="515" w:type="pct"/>
                  <w:noWrap w:val="0"/>
                  <w:vAlign w:val="center"/>
                </w:tcPr>
                <w:p w14:paraId="4FC4E001">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T</w:t>
                  </w:r>
                </w:p>
              </w:tc>
              <w:tc>
                <w:tcPr>
                  <w:tcW w:w="521" w:type="pct"/>
                  <w:vMerge w:val="continue"/>
                  <w:noWrap w:val="0"/>
                  <w:vAlign w:val="center"/>
                </w:tcPr>
                <w:p w14:paraId="2C2A6B63">
                  <w:pPr>
                    <w:pStyle w:val="27"/>
                    <w:keepNext w:val="0"/>
                    <w:keepLines w:val="0"/>
                    <w:suppressLineNumbers w:val="0"/>
                    <w:bidi w:val="0"/>
                    <w:spacing w:before="0" w:beforeAutospacing="0" w:after="0" w:afterAutospacing="0"/>
                    <w:ind w:left="0" w:right="0"/>
                    <w:rPr>
                      <w:color w:val="auto"/>
                      <w:highlight w:val="none"/>
                    </w:rPr>
                  </w:pPr>
                </w:p>
              </w:tc>
            </w:tr>
            <w:tr w14:paraId="26BB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32AF9DE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3</w:t>
                  </w:r>
                </w:p>
              </w:tc>
              <w:tc>
                <w:tcPr>
                  <w:tcW w:w="533" w:type="pct"/>
                  <w:noWrap w:val="0"/>
                  <w:vAlign w:val="center"/>
                </w:tcPr>
                <w:p w14:paraId="02E40BC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废紫外线灯管</w:t>
                  </w:r>
                </w:p>
              </w:tc>
              <w:tc>
                <w:tcPr>
                  <w:tcW w:w="779" w:type="pct"/>
                  <w:noWrap w:val="0"/>
                  <w:vAlign w:val="center"/>
                </w:tcPr>
                <w:p w14:paraId="08B35849">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HW29</w:t>
                  </w:r>
                  <w:r>
                    <w:rPr>
                      <w:rFonts w:hint="eastAsia"/>
                      <w:color w:val="auto"/>
                      <w:highlight w:val="none"/>
                      <w:lang w:eastAsia="zh-CN"/>
                    </w:rPr>
                    <w:t>—</w:t>
                  </w:r>
                  <w:r>
                    <w:rPr>
                      <w:rFonts w:hint="default"/>
                      <w:color w:val="auto"/>
                      <w:highlight w:val="none"/>
                    </w:rPr>
                    <w:t>900-039-49</w:t>
                  </w:r>
                </w:p>
              </w:tc>
              <w:tc>
                <w:tcPr>
                  <w:tcW w:w="417" w:type="pct"/>
                  <w:noWrap w:val="0"/>
                  <w:vAlign w:val="center"/>
                </w:tcPr>
                <w:p w14:paraId="23B1DB0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0.0009</w:t>
                  </w:r>
                </w:p>
              </w:tc>
              <w:tc>
                <w:tcPr>
                  <w:tcW w:w="646" w:type="pct"/>
                  <w:noWrap w:val="0"/>
                  <w:vAlign w:val="center"/>
                </w:tcPr>
                <w:p w14:paraId="46B0CBA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仪器更换</w:t>
                  </w:r>
                </w:p>
              </w:tc>
              <w:tc>
                <w:tcPr>
                  <w:tcW w:w="320" w:type="pct"/>
                  <w:noWrap w:val="0"/>
                  <w:vAlign w:val="center"/>
                </w:tcPr>
                <w:p w14:paraId="5A32938E">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固</w:t>
                  </w:r>
                </w:p>
              </w:tc>
              <w:tc>
                <w:tcPr>
                  <w:tcW w:w="521" w:type="pct"/>
                  <w:noWrap w:val="0"/>
                  <w:vAlign w:val="center"/>
                </w:tcPr>
                <w:p w14:paraId="0213C213">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汞</w:t>
                  </w:r>
                </w:p>
              </w:tc>
              <w:tc>
                <w:tcPr>
                  <w:tcW w:w="443" w:type="pct"/>
                  <w:noWrap w:val="0"/>
                  <w:vAlign w:val="center"/>
                </w:tcPr>
                <w:p w14:paraId="2986ED8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lang w:val="en-US" w:eastAsia="zh-CN"/>
                    </w:rPr>
                    <w:t>30</w:t>
                  </w:r>
                  <w:r>
                    <w:rPr>
                      <w:color w:val="auto"/>
                      <w:highlight w:val="none"/>
                    </w:rPr>
                    <w:t>0d</w:t>
                  </w:r>
                </w:p>
              </w:tc>
              <w:tc>
                <w:tcPr>
                  <w:tcW w:w="515" w:type="pct"/>
                  <w:noWrap w:val="0"/>
                  <w:vAlign w:val="center"/>
                </w:tcPr>
                <w:p w14:paraId="33DE5F3D">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T</w:t>
                  </w:r>
                </w:p>
              </w:tc>
              <w:tc>
                <w:tcPr>
                  <w:tcW w:w="521" w:type="pct"/>
                  <w:vMerge w:val="continue"/>
                  <w:noWrap w:val="0"/>
                  <w:vAlign w:val="center"/>
                </w:tcPr>
                <w:p w14:paraId="579023CE">
                  <w:pPr>
                    <w:pStyle w:val="27"/>
                    <w:keepNext w:val="0"/>
                    <w:keepLines w:val="0"/>
                    <w:suppressLineNumbers w:val="0"/>
                    <w:bidi w:val="0"/>
                    <w:spacing w:before="0" w:beforeAutospacing="0" w:after="0" w:afterAutospacing="0"/>
                    <w:ind w:left="0" w:right="0"/>
                    <w:rPr>
                      <w:color w:val="auto"/>
                      <w:highlight w:val="none"/>
                    </w:rPr>
                  </w:pPr>
                </w:p>
              </w:tc>
            </w:tr>
            <w:tr w14:paraId="1FA6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45036A6C">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4</w:t>
                  </w:r>
                </w:p>
              </w:tc>
              <w:tc>
                <w:tcPr>
                  <w:tcW w:w="533" w:type="pct"/>
                  <w:noWrap w:val="0"/>
                  <w:vAlign w:val="center"/>
                </w:tcPr>
                <w:p w14:paraId="41FD0CB1">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污泥</w:t>
                  </w:r>
                </w:p>
              </w:tc>
              <w:tc>
                <w:tcPr>
                  <w:tcW w:w="779" w:type="pct"/>
                  <w:noWrap w:val="0"/>
                  <w:vAlign w:val="center"/>
                </w:tcPr>
                <w:p w14:paraId="76D4A764">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HW49</w:t>
                  </w:r>
                </w:p>
                <w:p w14:paraId="1FD2A68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900-047-49</w:t>
                  </w:r>
                </w:p>
              </w:tc>
              <w:tc>
                <w:tcPr>
                  <w:tcW w:w="417" w:type="pct"/>
                  <w:noWrap w:val="0"/>
                  <w:vAlign w:val="center"/>
                </w:tcPr>
                <w:p w14:paraId="1E184827">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646" w:type="pct"/>
                  <w:noWrap w:val="0"/>
                  <w:vAlign w:val="center"/>
                </w:tcPr>
                <w:p w14:paraId="03F5EF9A">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废水处理</w:t>
                  </w:r>
                </w:p>
              </w:tc>
              <w:tc>
                <w:tcPr>
                  <w:tcW w:w="320" w:type="pct"/>
                  <w:noWrap w:val="0"/>
                  <w:vAlign w:val="center"/>
                </w:tcPr>
                <w:p w14:paraId="56AE3AA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固</w:t>
                  </w:r>
                </w:p>
              </w:tc>
              <w:tc>
                <w:tcPr>
                  <w:tcW w:w="521" w:type="pct"/>
                  <w:noWrap w:val="0"/>
                  <w:vAlign w:val="center"/>
                </w:tcPr>
                <w:p w14:paraId="0DFE63D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有机物</w:t>
                  </w:r>
                </w:p>
              </w:tc>
              <w:tc>
                <w:tcPr>
                  <w:tcW w:w="443" w:type="pct"/>
                  <w:noWrap w:val="0"/>
                  <w:vAlign w:val="center"/>
                </w:tcPr>
                <w:p w14:paraId="5EED308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30d</w:t>
                  </w:r>
                </w:p>
              </w:tc>
              <w:tc>
                <w:tcPr>
                  <w:tcW w:w="515" w:type="pct"/>
                  <w:noWrap w:val="0"/>
                  <w:vAlign w:val="center"/>
                </w:tcPr>
                <w:p w14:paraId="5E84B98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color w:val="auto"/>
                      <w:highlight w:val="none"/>
                    </w:rPr>
                    <w:t>T</w:t>
                  </w:r>
                  <w:r>
                    <w:rPr>
                      <w:rFonts w:hint="eastAsia"/>
                      <w:color w:val="auto"/>
                      <w:highlight w:val="none"/>
                      <w:lang w:val="en-US" w:eastAsia="zh-CN"/>
                    </w:rPr>
                    <w:t>/In</w:t>
                  </w:r>
                </w:p>
              </w:tc>
              <w:tc>
                <w:tcPr>
                  <w:tcW w:w="521" w:type="pct"/>
                  <w:vMerge w:val="continue"/>
                  <w:noWrap w:val="0"/>
                  <w:vAlign w:val="center"/>
                </w:tcPr>
                <w:p w14:paraId="5C0119D1">
                  <w:pPr>
                    <w:pStyle w:val="27"/>
                    <w:keepNext w:val="0"/>
                    <w:keepLines w:val="0"/>
                    <w:suppressLineNumbers w:val="0"/>
                    <w:bidi w:val="0"/>
                    <w:spacing w:before="0" w:beforeAutospacing="0" w:after="0" w:afterAutospacing="0"/>
                    <w:ind w:left="0" w:right="0"/>
                    <w:rPr>
                      <w:color w:val="auto"/>
                      <w:highlight w:val="none"/>
                    </w:rPr>
                  </w:pPr>
                </w:p>
              </w:tc>
            </w:tr>
            <w:tr w14:paraId="3BD2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1" w:type="pct"/>
                  <w:noWrap w:val="0"/>
                  <w:vAlign w:val="center"/>
                </w:tcPr>
                <w:p w14:paraId="32E070FE">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5</w:t>
                  </w:r>
                </w:p>
              </w:tc>
              <w:tc>
                <w:tcPr>
                  <w:tcW w:w="533" w:type="pct"/>
                  <w:noWrap w:val="0"/>
                  <w:vAlign w:val="center"/>
                </w:tcPr>
                <w:p w14:paraId="0B7B921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实验室剩余土壤样品</w:t>
                  </w:r>
                </w:p>
              </w:tc>
              <w:tc>
                <w:tcPr>
                  <w:tcW w:w="779" w:type="pct"/>
                  <w:noWrap w:val="0"/>
                  <w:vAlign w:val="center"/>
                </w:tcPr>
                <w:p w14:paraId="37090C2B">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HW49</w:t>
                  </w:r>
                </w:p>
                <w:p w14:paraId="0DF01A1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900-0</w:t>
                  </w:r>
                  <w:r>
                    <w:rPr>
                      <w:rFonts w:hint="eastAsia"/>
                      <w:color w:val="auto"/>
                      <w:highlight w:val="none"/>
                      <w:lang w:val="en-US" w:eastAsia="zh-CN"/>
                    </w:rPr>
                    <w:t>41</w:t>
                  </w:r>
                  <w:r>
                    <w:rPr>
                      <w:color w:val="auto"/>
                      <w:highlight w:val="none"/>
                    </w:rPr>
                    <w:t>-49</w:t>
                  </w:r>
                </w:p>
              </w:tc>
              <w:tc>
                <w:tcPr>
                  <w:tcW w:w="417" w:type="pct"/>
                  <w:noWrap w:val="0"/>
                  <w:vAlign w:val="center"/>
                </w:tcPr>
                <w:p w14:paraId="75ADB08D">
                  <w:pPr>
                    <w:pStyle w:val="2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0.026</w:t>
                  </w:r>
                </w:p>
              </w:tc>
              <w:tc>
                <w:tcPr>
                  <w:tcW w:w="646" w:type="pct"/>
                  <w:noWrap w:val="0"/>
                  <w:vAlign w:val="center"/>
                </w:tcPr>
                <w:p w14:paraId="422318B9">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检验过程</w:t>
                  </w:r>
                </w:p>
              </w:tc>
              <w:tc>
                <w:tcPr>
                  <w:tcW w:w="320" w:type="pct"/>
                  <w:noWrap w:val="0"/>
                  <w:vAlign w:val="center"/>
                </w:tcPr>
                <w:p w14:paraId="2F0269E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固</w:t>
                  </w:r>
                </w:p>
              </w:tc>
              <w:tc>
                <w:tcPr>
                  <w:tcW w:w="521" w:type="pct"/>
                  <w:noWrap w:val="0"/>
                  <w:vAlign w:val="center"/>
                </w:tcPr>
                <w:p w14:paraId="51FCD59D">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酸</w:t>
                  </w:r>
                </w:p>
              </w:tc>
              <w:tc>
                <w:tcPr>
                  <w:tcW w:w="443" w:type="pct"/>
                  <w:noWrap w:val="0"/>
                  <w:vAlign w:val="center"/>
                </w:tcPr>
                <w:p w14:paraId="0BF9098D">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10d</w:t>
                  </w:r>
                </w:p>
              </w:tc>
              <w:tc>
                <w:tcPr>
                  <w:tcW w:w="515" w:type="pct"/>
                  <w:noWrap w:val="0"/>
                  <w:vAlign w:val="center"/>
                </w:tcPr>
                <w:p w14:paraId="6B584222">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T</w:t>
                  </w:r>
                  <w:r>
                    <w:rPr>
                      <w:rFonts w:hint="eastAsia"/>
                      <w:color w:val="auto"/>
                      <w:highlight w:val="none"/>
                      <w:lang w:val="en-US" w:eastAsia="zh-CN"/>
                    </w:rPr>
                    <w:t>/In</w:t>
                  </w:r>
                </w:p>
              </w:tc>
              <w:tc>
                <w:tcPr>
                  <w:tcW w:w="521" w:type="pct"/>
                  <w:vMerge w:val="continue"/>
                  <w:noWrap w:val="0"/>
                  <w:vAlign w:val="center"/>
                </w:tcPr>
                <w:p w14:paraId="06938568">
                  <w:pPr>
                    <w:pStyle w:val="27"/>
                    <w:keepNext w:val="0"/>
                    <w:keepLines w:val="0"/>
                    <w:suppressLineNumbers w:val="0"/>
                    <w:bidi w:val="0"/>
                    <w:spacing w:before="0" w:beforeAutospacing="0" w:after="0" w:afterAutospacing="0"/>
                    <w:ind w:left="0" w:right="0"/>
                    <w:rPr>
                      <w:color w:val="auto"/>
                      <w:highlight w:val="none"/>
                    </w:rPr>
                  </w:pPr>
                </w:p>
              </w:tc>
            </w:tr>
          </w:tbl>
          <w:p w14:paraId="0991FD40">
            <w:pPr>
              <w:keepNext w:val="0"/>
              <w:keepLines w:val="0"/>
              <w:numPr>
                <w:ilvl w:val="0"/>
                <w:numId w:val="0"/>
              </w:numPr>
              <w:suppressLineNumbers w:val="0"/>
              <w:bidi w:val="0"/>
              <w:spacing w:before="0" w:beforeAutospacing="0" w:after="0" w:afterAutospacing="0"/>
              <w:ind w:left="0" w:leftChars="0" w:right="0" w:rightChars="0" w:firstLine="482" w:firstLineChars="200"/>
              <w:rPr>
                <w:rFonts w:hint="default"/>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b/>
                <w:bCs/>
                <w:color w:val="auto"/>
                <w:highlight w:val="none"/>
              </w:rPr>
              <w:t>危险废物贮存场所（设施）环境影响分析</w:t>
            </w:r>
          </w:p>
          <w:p w14:paraId="0DF25865">
            <w:pPr>
              <w:keepNext w:val="0"/>
              <w:keepLines w:val="0"/>
              <w:numPr>
                <w:ilvl w:val="0"/>
                <w:numId w:val="0"/>
              </w:numPr>
              <w:suppressLineNumbers w:val="0"/>
              <w:bidi w:val="0"/>
              <w:spacing w:before="0" w:beforeAutospacing="0" w:after="0" w:afterAutospacing="0"/>
              <w:ind w:left="0" w:leftChars="0" w:right="0" w:rightChars="0" w:firstLine="480" w:firstLineChars="200"/>
              <w:rPr>
                <w:rFonts w:hint="eastAsia"/>
                <w:color w:val="auto"/>
                <w:highlight w:val="none"/>
              </w:rPr>
            </w:pPr>
            <w:r>
              <w:rPr>
                <w:rFonts w:hint="eastAsia"/>
                <w:color w:val="auto"/>
                <w:highlight w:val="none"/>
              </w:rPr>
              <w:t>①选址可行性</w:t>
            </w:r>
          </w:p>
          <w:p w14:paraId="4326BBB7">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本项目危废暂存间位于</w:t>
            </w:r>
            <w:r>
              <w:rPr>
                <w:rFonts w:hint="eastAsia"/>
                <w:color w:val="auto"/>
                <w:highlight w:val="none"/>
                <w:lang w:val="en-US" w:eastAsia="zh-CN"/>
              </w:rPr>
              <w:t>办公楼一层西北侧，</w:t>
            </w:r>
            <w:r>
              <w:rPr>
                <w:rFonts w:hint="eastAsia"/>
                <w:color w:val="auto"/>
                <w:highlight w:val="none"/>
              </w:rPr>
              <w:t>占地面积</w:t>
            </w:r>
            <w:r>
              <w:rPr>
                <w:rFonts w:hint="eastAsia"/>
                <w:color w:val="auto"/>
                <w:highlight w:val="none"/>
                <w:lang w:val="en-US" w:eastAsia="zh-CN"/>
              </w:rPr>
              <w:t>5</w:t>
            </w:r>
            <w:r>
              <w:rPr>
                <w:rFonts w:hint="default"/>
                <w:color w:val="auto"/>
                <w:highlight w:val="none"/>
              </w:rPr>
              <w:t>m</w:t>
            </w:r>
            <w:r>
              <w:rPr>
                <w:rFonts w:hint="default"/>
                <w:color w:val="auto"/>
                <w:highlight w:val="none"/>
                <w:vertAlign w:val="superscript"/>
              </w:rPr>
              <w:t>2</w:t>
            </w:r>
            <w:r>
              <w:rPr>
                <w:rFonts w:hint="eastAsia"/>
                <w:color w:val="auto"/>
                <w:highlight w:val="none"/>
              </w:rPr>
              <w:t>，</w:t>
            </w:r>
            <w:r>
              <w:rPr>
                <w:rFonts w:hint="default"/>
                <w:color w:val="auto"/>
                <w:highlight w:val="none"/>
              </w:rPr>
              <w:t>根据《危险废物贮存污染控制标准》（GB18597-20</w:t>
            </w:r>
            <w:r>
              <w:rPr>
                <w:rFonts w:hint="eastAsia"/>
                <w:color w:val="auto"/>
                <w:highlight w:val="none"/>
              </w:rPr>
              <w:t>23</w:t>
            </w:r>
            <w:r>
              <w:rPr>
                <w:rFonts w:hint="default"/>
                <w:color w:val="auto"/>
                <w:highlight w:val="none"/>
              </w:rPr>
              <w:t>）</w:t>
            </w:r>
            <w:r>
              <w:rPr>
                <w:rFonts w:hint="eastAsia"/>
                <w:color w:val="auto"/>
                <w:highlight w:val="none"/>
              </w:rPr>
              <w:t>相关要求</w:t>
            </w:r>
            <w:r>
              <w:rPr>
                <w:rFonts w:hint="default"/>
                <w:color w:val="auto"/>
                <w:highlight w:val="none"/>
              </w:rPr>
              <w:t>，本项目危险废物贮存场所选址相符性见下表。</w:t>
            </w:r>
          </w:p>
          <w:p w14:paraId="261B0728">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4-</w:t>
            </w:r>
            <w:r>
              <w:rPr>
                <w:rFonts w:hint="eastAsia"/>
                <w:color w:val="auto"/>
                <w:highlight w:val="none"/>
                <w:lang w:val="en-US" w:eastAsia="zh-CN"/>
              </w:rPr>
              <w:t xml:space="preserve">11 </w:t>
            </w:r>
            <w:r>
              <w:rPr>
                <w:rFonts w:hint="default"/>
                <w:color w:val="auto"/>
                <w:highlight w:val="none"/>
              </w:rPr>
              <w:t xml:space="preserve"> 危废暂存场选址符合性分析</w:t>
            </w:r>
          </w:p>
          <w:tbl>
            <w:tblPr>
              <w:tblStyle w:val="1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7"/>
              <w:gridCol w:w="2352"/>
            </w:tblGrid>
            <w:tr w14:paraId="67CE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0"/>
                  <w:vAlign w:val="center"/>
                </w:tcPr>
                <w:p w14:paraId="31ED9225">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GB18597-2023中要求</w:t>
                  </w:r>
                </w:p>
              </w:tc>
              <w:tc>
                <w:tcPr>
                  <w:tcW w:w="2352" w:type="dxa"/>
                  <w:noWrap w:val="0"/>
                  <w:vAlign w:val="center"/>
                </w:tcPr>
                <w:p w14:paraId="75805E95">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相符性分析</w:t>
                  </w:r>
                </w:p>
              </w:tc>
            </w:tr>
            <w:tr w14:paraId="2657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57" w:type="dxa"/>
                  <w:noWrap w:val="0"/>
                  <w:vAlign w:val="center"/>
                </w:tcPr>
                <w:p w14:paraId="287B9F42">
                  <w:pPr>
                    <w:pStyle w:val="27"/>
                    <w:keepNext w:val="0"/>
                    <w:keepLines w:val="0"/>
                    <w:suppressLineNumbers w:val="0"/>
                    <w:bidi w:val="0"/>
                    <w:spacing w:before="0" w:beforeAutospacing="0" w:after="0" w:afterAutospacing="0"/>
                    <w:ind w:left="0" w:right="0"/>
                    <w:jc w:val="left"/>
                    <w:rPr>
                      <w:color w:val="auto"/>
                      <w:highlight w:val="none"/>
                    </w:rPr>
                  </w:pPr>
                  <w:r>
                    <w:rPr>
                      <w:color w:val="auto"/>
                      <w:highlight w:val="none"/>
                    </w:rPr>
                    <w:t>1贮存设施选址应满足生态环境保护法律法规、规划和</w:t>
                  </w:r>
                  <w:r>
                    <w:rPr>
                      <w:rFonts w:hint="eastAsia"/>
                      <w:color w:val="auto"/>
                      <w:highlight w:val="none"/>
                      <w:lang w:eastAsia="zh-CN"/>
                    </w:rPr>
                    <w:t>“</w:t>
                  </w:r>
                  <w:r>
                    <w:rPr>
                      <w:color w:val="auto"/>
                      <w:highlight w:val="none"/>
                    </w:rPr>
                    <w:t>三线一单</w:t>
                  </w:r>
                  <w:r>
                    <w:rPr>
                      <w:rFonts w:hint="eastAsia"/>
                      <w:color w:val="auto"/>
                      <w:highlight w:val="none"/>
                      <w:lang w:eastAsia="zh-CN"/>
                    </w:rPr>
                    <w:t>”</w:t>
                  </w:r>
                  <w:r>
                    <w:rPr>
                      <w:color w:val="auto"/>
                      <w:highlight w:val="none"/>
                    </w:rPr>
                    <w:t>生态环境分区管控的要求，建设项目应依法进行环境影响评价。</w:t>
                  </w:r>
                </w:p>
                <w:p w14:paraId="4E47DF83">
                  <w:pPr>
                    <w:pStyle w:val="27"/>
                    <w:keepNext w:val="0"/>
                    <w:keepLines w:val="0"/>
                    <w:suppressLineNumbers w:val="0"/>
                    <w:bidi w:val="0"/>
                    <w:spacing w:before="0" w:beforeAutospacing="0" w:after="0" w:afterAutospacing="0"/>
                    <w:ind w:left="0" w:right="0"/>
                    <w:jc w:val="left"/>
                    <w:rPr>
                      <w:color w:val="auto"/>
                      <w:highlight w:val="none"/>
                    </w:rPr>
                  </w:pPr>
                  <w:r>
                    <w:rPr>
                      <w:color w:val="auto"/>
                      <w:highlight w:val="none"/>
                    </w:rPr>
                    <w:t>2集中贮存设施不应选在生态保护红线区域、永久基本农田和其他需要特别保护的区域内，不应建在溶洞区或易遭受洪水、滑坡、泥石流、潮汐等严重自然灾害影响的地区。</w:t>
                  </w:r>
                </w:p>
                <w:p w14:paraId="1350DBD0">
                  <w:pPr>
                    <w:pStyle w:val="27"/>
                    <w:keepNext w:val="0"/>
                    <w:keepLines w:val="0"/>
                    <w:suppressLineNumbers w:val="0"/>
                    <w:bidi w:val="0"/>
                    <w:spacing w:before="0" w:beforeAutospacing="0" w:after="0" w:afterAutospacing="0"/>
                    <w:ind w:left="0" w:right="0"/>
                    <w:jc w:val="left"/>
                    <w:rPr>
                      <w:color w:val="auto"/>
                      <w:highlight w:val="none"/>
                    </w:rPr>
                  </w:pPr>
                  <w:r>
                    <w:rPr>
                      <w:color w:val="auto"/>
                      <w:highlight w:val="none"/>
                    </w:rPr>
                    <w:t>3贮存设施不应选在江河、湖泊、运河、渠道、水库及其最高水位线以下的滩地和岸坡，以及法律法规规定禁止贮存危险废物的其他地点。</w:t>
                  </w:r>
                </w:p>
                <w:p w14:paraId="2F4108D9">
                  <w:pPr>
                    <w:pStyle w:val="27"/>
                    <w:keepNext w:val="0"/>
                    <w:keepLines w:val="0"/>
                    <w:suppressLineNumbers w:val="0"/>
                    <w:bidi w:val="0"/>
                    <w:spacing w:before="0" w:beforeAutospacing="0" w:after="0" w:afterAutospacing="0"/>
                    <w:ind w:left="0" w:right="0"/>
                    <w:jc w:val="left"/>
                    <w:rPr>
                      <w:color w:val="auto"/>
                      <w:highlight w:val="none"/>
                    </w:rPr>
                  </w:pPr>
                  <w:r>
                    <w:rPr>
                      <w:color w:val="auto"/>
                      <w:highlight w:val="none"/>
                    </w:rPr>
                    <w:t>4贮存设施场址的位置以及其与周围环境敏感目标的距离应依据环境影响评价文件确定。</w:t>
                  </w:r>
                </w:p>
              </w:tc>
              <w:tc>
                <w:tcPr>
                  <w:tcW w:w="2352" w:type="dxa"/>
                  <w:noWrap w:val="0"/>
                  <w:vAlign w:val="center"/>
                </w:tcPr>
                <w:p w14:paraId="1BAF83B1">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本项目</w:t>
                  </w:r>
                  <w:r>
                    <w:rPr>
                      <w:rFonts w:hint="eastAsia"/>
                      <w:color w:val="auto"/>
                      <w:highlight w:val="none"/>
                    </w:rPr>
                    <w:t>危废暂存间不属于集中型暂存场所，目前履行环评手续，不在生态红线区域内，</w:t>
                  </w:r>
                  <w:r>
                    <w:rPr>
                      <w:color w:val="auto"/>
                      <w:highlight w:val="none"/>
                    </w:rPr>
                    <w:t>选址能够达到《危险废物贮存污染控制标准》（GB18597-20</w:t>
                  </w:r>
                  <w:r>
                    <w:rPr>
                      <w:rFonts w:hint="eastAsia"/>
                      <w:color w:val="auto"/>
                      <w:highlight w:val="none"/>
                    </w:rPr>
                    <w:t>23</w:t>
                  </w:r>
                  <w:r>
                    <w:rPr>
                      <w:color w:val="auto"/>
                      <w:highlight w:val="none"/>
                    </w:rPr>
                    <w:t>）相关要求。</w:t>
                  </w:r>
                </w:p>
              </w:tc>
            </w:tr>
          </w:tbl>
          <w:p w14:paraId="52FF604C">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②存储能力可行性分析</w:t>
            </w:r>
          </w:p>
          <w:p w14:paraId="5479FD53">
            <w:pPr>
              <w:keepNext w:val="0"/>
              <w:keepLines w:val="0"/>
              <w:suppressLineNumbers w:val="0"/>
              <w:spacing w:before="0" w:beforeAutospacing="0" w:after="0" w:afterAutospacing="0" w:line="240" w:lineRule="auto"/>
              <w:ind w:left="0" w:right="0"/>
              <w:jc w:val="center"/>
              <w:rPr>
                <w:rFonts w:hint="default"/>
                <w:b/>
                <w:color w:val="auto"/>
                <w:sz w:val="21"/>
                <w:szCs w:val="21"/>
                <w:highlight w:val="none"/>
              </w:rPr>
            </w:pPr>
            <w:r>
              <w:rPr>
                <w:rFonts w:hint="default"/>
                <w:b/>
                <w:color w:val="auto"/>
                <w:sz w:val="21"/>
                <w:szCs w:val="21"/>
                <w:highlight w:val="none"/>
              </w:rPr>
              <w:t>表</w:t>
            </w:r>
            <w:r>
              <w:rPr>
                <w:rFonts w:hint="eastAsia"/>
                <w:b/>
                <w:color w:val="auto"/>
                <w:sz w:val="21"/>
                <w:szCs w:val="21"/>
                <w:highlight w:val="none"/>
              </w:rPr>
              <w:t>4-1</w:t>
            </w:r>
            <w:r>
              <w:rPr>
                <w:rFonts w:hint="eastAsia"/>
                <w:b/>
                <w:color w:val="auto"/>
                <w:sz w:val="21"/>
                <w:szCs w:val="21"/>
                <w:highlight w:val="none"/>
                <w:lang w:val="en-US" w:eastAsia="zh-CN"/>
              </w:rPr>
              <w:t xml:space="preserve">2 </w:t>
            </w:r>
            <w:r>
              <w:rPr>
                <w:rFonts w:hint="eastAsia"/>
                <w:b/>
                <w:color w:val="auto"/>
                <w:sz w:val="21"/>
                <w:szCs w:val="21"/>
                <w:highlight w:val="none"/>
              </w:rPr>
              <w:t xml:space="preserve"> </w:t>
            </w:r>
            <w:r>
              <w:rPr>
                <w:rFonts w:hint="default"/>
                <w:b/>
                <w:color w:val="auto"/>
                <w:sz w:val="21"/>
                <w:szCs w:val="21"/>
                <w:highlight w:val="none"/>
              </w:rPr>
              <w:t>建设项目危险废物贮存场所基本情况表</w:t>
            </w:r>
          </w:p>
          <w:tbl>
            <w:tblPr>
              <w:tblStyle w:val="18"/>
              <w:tblW w:w="8074" w:type="dxa"/>
              <w:jc w:val="center"/>
              <w:tblLayout w:type="fixed"/>
              <w:tblCellMar>
                <w:top w:w="0" w:type="dxa"/>
                <w:left w:w="108" w:type="dxa"/>
                <w:bottom w:w="0" w:type="dxa"/>
                <w:right w:w="108" w:type="dxa"/>
              </w:tblCellMar>
            </w:tblPr>
            <w:tblGrid>
              <w:gridCol w:w="459"/>
              <w:gridCol w:w="654"/>
              <w:gridCol w:w="1002"/>
              <w:gridCol w:w="1162"/>
              <w:gridCol w:w="1297"/>
              <w:gridCol w:w="596"/>
              <w:gridCol w:w="683"/>
              <w:gridCol w:w="804"/>
              <w:gridCol w:w="713"/>
              <w:gridCol w:w="704"/>
            </w:tblGrid>
            <w:tr w14:paraId="1278098C">
              <w:tblPrEx>
                <w:tblCellMar>
                  <w:top w:w="0" w:type="dxa"/>
                  <w:left w:w="108" w:type="dxa"/>
                  <w:bottom w:w="0" w:type="dxa"/>
                  <w:right w:w="108" w:type="dxa"/>
                </w:tblCellMar>
              </w:tblPrEx>
              <w:trPr>
                <w:trHeight w:val="397" w:hRule="atLeast"/>
                <w:jc w:val="center"/>
              </w:trPr>
              <w:tc>
                <w:tcPr>
                  <w:tcW w:w="284" w:type="pct"/>
                  <w:tcBorders>
                    <w:top w:val="single" w:color="auto" w:sz="8" w:space="0"/>
                    <w:left w:val="single" w:color="auto" w:sz="8" w:space="0"/>
                    <w:bottom w:val="single" w:color="auto" w:sz="4" w:space="0"/>
                    <w:right w:val="single" w:color="auto" w:sz="4" w:space="0"/>
                  </w:tcBorders>
                  <w:noWrap w:val="0"/>
                  <w:vAlign w:val="center"/>
                </w:tcPr>
                <w:p w14:paraId="3A48CE4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序号</w:t>
                  </w:r>
                </w:p>
              </w:tc>
              <w:tc>
                <w:tcPr>
                  <w:tcW w:w="405" w:type="pct"/>
                  <w:tcBorders>
                    <w:top w:val="single" w:color="auto" w:sz="8" w:space="0"/>
                    <w:left w:val="single" w:color="auto" w:sz="4" w:space="0"/>
                    <w:bottom w:val="single" w:color="auto" w:sz="4" w:space="0"/>
                    <w:right w:val="single" w:color="auto" w:sz="4" w:space="0"/>
                  </w:tcBorders>
                  <w:noWrap w:val="0"/>
                  <w:vAlign w:val="center"/>
                </w:tcPr>
                <w:p w14:paraId="75681BB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b/>
                      <w:color w:val="auto"/>
                      <w:sz w:val="21"/>
                      <w:szCs w:val="21"/>
                      <w:highlight w:val="none"/>
                    </w:rPr>
                  </w:pPr>
                  <w:r>
                    <w:rPr>
                      <w:rFonts w:hint="default" w:hAnsi="宋体"/>
                      <w:b/>
                      <w:color w:val="auto"/>
                      <w:sz w:val="21"/>
                      <w:szCs w:val="21"/>
                      <w:highlight w:val="none"/>
                    </w:rPr>
                    <w:t>贮存</w:t>
                  </w:r>
                </w:p>
                <w:p w14:paraId="2FD1EF0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场所</w:t>
                  </w:r>
                </w:p>
                <w:p w14:paraId="6C3B509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名称</w:t>
                  </w:r>
                </w:p>
              </w:tc>
              <w:tc>
                <w:tcPr>
                  <w:tcW w:w="620" w:type="pct"/>
                  <w:tcBorders>
                    <w:top w:val="single" w:color="auto" w:sz="8" w:space="0"/>
                    <w:left w:val="single" w:color="auto" w:sz="4" w:space="0"/>
                    <w:bottom w:val="single" w:color="auto" w:sz="4" w:space="0"/>
                    <w:right w:val="single" w:color="auto" w:sz="4" w:space="0"/>
                  </w:tcBorders>
                  <w:noWrap w:val="0"/>
                  <w:vAlign w:val="center"/>
                </w:tcPr>
                <w:p w14:paraId="3AE372A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危险废物名称</w:t>
                  </w:r>
                </w:p>
              </w:tc>
              <w:tc>
                <w:tcPr>
                  <w:tcW w:w="719" w:type="pct"/>
                  <w:tcBorders>
                    <w:top w:val="single" w:color="auto" w:sz="8" w:space="0"/>
                    <w:left w:val="single" w:color="auto" w:sz="4" w:space="0"/>
                    <w:bottom w:val="single" w:color="auto" w:sz="4" w:space="0"/>
                    <w:right w:val="single" w:color="auto" w:sz="4" w:space="0"/>
                  </w:tcBorders>
                  <w:noWrap w:val="0"/>
                  <w:vAlign w:val="center"/>
                </w:tcPr>
                <w:p w14:paraId="2003A63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危险废物类别</w:t>
                  </w:r>
                </w:p>
              </w:tc>
              <w:tc>
                <w:tcPr>
                  <w:tcW w:w="803" w:type="pct"/>
                  <w:tcBorders>
                    <w:top w:val="single" w:color="auto" w:sz="8" w:space="0"/>
                    <w:left w:val="single" w:color="auto" w:sz="4" w:space="0"/>
                    <w:bottom w:val="single" w:color="auto" w:sz="4" w:space="0"/>
                    <w:right w:val="single" w:color="auto" w:sz="4" w:space="0"/>
                  </w:tcBorders>
                  <w:noWrap w:val="0"/>
                  <w:vAlign w:val="center"/>
                </w:tcPr>
                <w:p w14:paraId="3BCD71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危险废物代码</w:t>
                  </w:r>
                </w:p>
              </w:tc>
              <w:tc>
                <w:tcPr>
                  <w:tcW w:w="369" w:type="pct"/>
                  <w:tcBorders>
                    <w:top w:val="single" w:color="auto" w:sz="8" w:space="0"/>
                    <w:left w:val="single" w:color="auto" w:sz="4" w:space="0"/>
                    <w:bottom w:val="single" w:color="auto" w:sz="4" w:space="0"/>
                    <w:right w:val="single" w:color="auto" w:sz="4" w:space="0"/>
                  </w:tcBorders>
                  <w:noWrap w:val="0"/>
                  <w:vAlign w:val="center"/>
                </w:tcPr>
                <w:p w14:paraId="4A424C9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位置</w:t>
                  </w:r>
                </w:p>
              </w:tc>
              <w:tc>
                <w:tcPr>
                  <w:tcW w:w="422" w:type="pct"/>
                  <w:tcBorders>
                    <w:top w:val="single" w:color="auto" w:sz="8" w:space="0"/>
                    <w:left w:val="single" w:color="auto" w:sz="4" w:space="0"/>
                    <w:bottom w:val="single" w:color="auto" w:sz="4" w:space="0"/>
                    <w:right w:val="single" w:color="auto" w:sz="4" w:space="0"/>
                  </w:tcBorders>
                  <w:noWrap w:val="0"/>
                  <w:vAlign w:val="center"/>
                </w:tcPr>
                <w:p w14:paraId="71C8333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占地</w:t>
                  </w:r>
                </w:p>
                <w:p w14:paraId="22ADE94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面积</w:t>
                  </w:r>
                </w:p>
              </w:tc>
              <w:tc>
                <w:tcPr>
                  <w:tcW w:w="497" w:type="pct"/>
                  <w:tcBorders>
                    <w:top w:val="single" w:color="auto" w:sz="8" w:space="0"/>
                    <w:left w:val="single" w:color="auto" w:sz="4" w:space="0"/>
                    <w:bottom w:val="single" w:color="auto" w:sz="4" w:space="0"/>
                    <w:right w:val="single" w:color="auto" w:sz="4" w:space="0"/>
                  </w:tcBorders>
                  <w:noWrap w:val="0"/>
                  <w:vAlign w:val="center"/>
                </w:tcPr>
                <w:p w14:paraId="7FC6A6F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贮存</w:t>
                  </w:r>
                </w:p>
                <w:p w14:paraId="3D56E95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方式</w:t>
                  </w:r>
                </w:p>
              </w:tc>
              <w:tc>
                <w:tcPr>
                  <w:tcW w:w="441" w:type="pct"/>
                  <w:tcBorders>
                    <w:top w:val="single" w:color="auto" w:sz="8" w:space="0"/>
                    <w:left w:val="single" w:color="auto" w:sz="4" w:space="0"/>
                    <w:bottom w:val="single" w:color="auto" w:sz="4" w:space="0"/>
                    <w:right w:val="single" w:color="auto" w:sz="4" w:space="0"/>
                  </w:tcBorders>
                  <w:noWrap w:val="0"/>
                  <w:vAlign w:val="center"/>
                </w:tcPr>
                <w:p w14:paraId="67C296C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贮存</w:t>
                  </w:r>
                </w:p>
                <w:p w14:paraId="5612EC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能力</w:t>
                  </w:r>
                </w:p>
              </w:tc>
              <w:tc>
                <w:tcPr>
                  <w:tcW w:w="435" w:type="pct"/>
                  <w:tcBorders>
                    <w:top w:val="single" w:color="auto" w:sz="8" w:space="0"/>
                    <w:left w:val="single" w:color="auto" w:sz="4" w:space="0"/>
                    <w:bottom w:val="single" w:color="auto" w:sz="4" w:space="0"/>
                    <w:right w:val="single" w:color="auto" w:sz="8" w:space="0"/>
                  </w:tcBorders>
                  <w:noWrap w:val="0"/>
                  <w:vAlign w:val="center"/>
                </w:tcPr>
                <w:p w14:paraId="121D97C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贮存</w:t>
                  </w:r>
                </w:p>
                <w:p w14:paraId="5DE8E29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b/>
                      <w:color w:val="auto"/>
                      <w:sz w:val="21"/>
                      <w:szCs w:val="21"/>
                      <w:highlight w:val="none"/>
                    </w:rPr>
                  </w:pPr>
                  <w:r>
                    <w:rPr>
                      <w:rFonts w:hint="default" w:hAnsi="宋体"/>
                      <w:b/>
                      <w:color w:val="auto"/>
                      <w:sz w:val="21"/>
                      <w:szCs w:val="21"/>
                      <w:highlight w:val="none"/>
                    </w:rPr>
                    <w:t>周期</w:t>
                  </w:r>
                </w:p>
              </w:tc>
            </w:tr>
            <w:tr w14:paraId="7B3C5A98">
              <w:tblPrEx>
                <w:tblCellMar>
                  <w:top w:w="0" w:type="dxa"/>
                  <w:left w:w="108" w:type="dxa"/>
                  <w:bottom w:w="0" w:type="dxa"/>
                  <w:right w:w="108" w:type="dxa"/>
                </w:tblCellMar>
              </w:tblPrEx>
              <w:trPr>
                <w:trHeight w:val="397" w:hRule="atLeast"/>
                <w:jc w:val="center"/>
              </w:trPr>
              <w:tc>
                <w:tcPr>
                  <w:tcW w:w="284" w:type="pct"/>
                  <w:tcBorders>
                    <w:top w:val="single" w:color="auto" w:sz="8" w:space="0"/>
                    <w:left w:val="single" w:color="auto" w:sz="8" w:space="0"/>
                    <w:bottom w:val="single" w:color="auto" w:sz="4" w:space="0"/>
                    <w:right w:val="single" w:color="auto" w:sz="4" w:space="0"/>
                  </w:tcBorders>
                  <w:noWrap w:val="0"/>
                  <w:vAlign w:val="center"/>
                </w:tcPr>
                <w:p w14:paraId="36A8F53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eastAsia" w:hAnsi="宋体"/>
                      <w:color w:val="auto"/>
                      <w:sz w:val="21"/>
                      <w:szCs w:val="21"/>
                      <w:highlight w:val="none"/>
                    </w:rPr>
                    <w:t>1</w:t>
                  </w:r>
                </w:p>
              </w:tc>
              <w:tc>
                <w:tcPr>
                  <w:tcW w:w="405" w:type="pct"/>
                  <w:vMerge w:val="restart"/>
                  <w:tcBorders>
                    <w:top w:val="single" w:color="auto" w:sz="8" w:space="0"/>
                    <w:left w:val="single" w:color="auto" w:sz="4" w:space="0"/>
                    <w:right w:val="single" w:color="auto" w:sz="4" w:space="0"/>
                  </w:tcBorders>
                  <w:noWrap w:val="0"/>
                  <w:vAlign w:val="center"/>
                </w:tcPr>
                <w:p w14:paraId="02017F9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default" w:hAnsi="宋体"/>
                      <w:color w:val="auto"/>
                      <w:sz w:val="21"/>
                      <w:szCs w:val="21"/>
                      <w:highlight w:val="none"/>
                    </w:rPr>
                    <w:t>危废暂存库</w:t>
                  </w:r>
                </w:p>
              </w:tc>
              <w:tc>
                <w:tcPr>
                  <w:tcW w:w="620" w:type="pct"/>
                  <w:tcBorders>
                    <w:top w:val="single" w:color="auto" w:sz="8" w:space="0"/>
                    <w:left w:val="single" w:color="auto" w:sz="4" w:space="0"/>
                    <w:bottom w:val="single" w:color="auto" w:sz="4" w:space="0"/>
                    <w:right w:val="single" w:color="auto" w:sz="4" w:space="0"/>
                  </w:tcBorders>
                  <w:noWrap w:val="0"/>
                  <w:vAlign w:val="center"/>
                </w:tcPr>
                <w:p w14:paraId="7CBBE324">
                  <w:pPr>
                    <w:pStyle w:val="27"/>
                    <w:keepNext w:val="0"/>
                    <w:keepLines w:val="0"/>
                    <w:suppressLineNumbers w:val="0"/>
                    <w:bidi w:val="0"/>
                    <w:spacing w:before="0" w:beforeAutospacing="0" w:after="0" w:afterAutospacing="0"/>
                    <w:ind w:left="0" w:leftChars="0" w:right="0" w:rightChars="0" w:firstLine="0" w:firstLineChars="0"/>
                    <w:rPr>
                      <w:color w:val="auto"/>
                      <w:sz w:val="21"/>
                      <w:szCs w:val="21"/>
                      <w:highlight w:val="none"/>
                    </w:rPr>
                  </w:pPr>
                  <w:r>
                    <w:rPr>
                      <w:rFonts w:hint="eastAsia"/>
                      <w:color w:val="auto"/>
                      <w:highlight w:val="none"/>
                      <w:lang w:val="en-US" w:eastAsia="zh-CN"/>
                    </w:rPr>
                    <w:t>实验室废物</w:t>
                  </w:r>
                </w:p>
              </w:tc>
              <w:tc>
                <w:tcPr>
                  <w:tcW w:w="719" w:type="pct"/>
                  <w:tcBorders>
                    <w:top w:val="single" w:color="auto" w:sz="8" w:space="0"/>
                    <w:left w:val="single" w:color="auto" w:sz="4" w:space="0"/>
                    <w:bottom w:val="single" w:color="auto" w:sz="4" w:space="0"/>
                    <w:right w:val="single" w:color="auto" w:sz="4" w:space="0"/>
                  </w:tcBorders>
                  <w:noWrap w:val="0"/>
                  <w:vAlign w:val="center"/>
                </w:tcPr>
                <w:p w14:paraId="28C0A97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HW49</w:t>
                  </w:r>
                  <w:r>
                    <w:rPr>
                      <w:rFonts w:hint="eastAsia"/>
                      <w:color w:val="auto"/>
                      <w:sz w:val="21"/>
                      <w:szCs w:val="21"/>
                      <w:highlight w:val="none"/>
                    </w:rPr>
                    <w:t>其他废物</w:t>
                  </w:r>
                </w:p>
              </w:tc>
              <w:tc>
                <w:tcPr>
                  <w:tcW w:w="803" w:type="pct"/>
                  <w:tcBorders>
                    <w:top w:val="single" w:color="auto" w:sz="8" w:space="0"/>
                    <w:left w:val="single" w:color="auto" w:sz="4" w:space="0"/>
                    <w:bottom w:val="single" w:color="auto" w:sz="4" w:space="0"/>
                    <w:right w:val="single" w:color="auto" w:sz="4" w:space="0"/>
                  </w:tcBorders>
                  <w:noWrap w:val="0"/>
                  <w:vAlign w:val="center"/>
                </w:tcPr>
                <w:p w14:paraId="3C7C316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900-047-049</w:t>
                  </w:r>
                </w:p>
              </w:tc>
              <w:tc>
                <w:tcPr>
                  <w:tcW w:w="369" w:type="pct"/>
                  <w:vMerge w:val="restart"/>
                  <w:tcBorders>
                    <w:top w:val="single" w:color="auto" w:sz="8" w:space="0"/>
                    <w:left w:val="single" w:color="auto" w:sz="4" w:space="0"/>
                    <w:right w:val="single" w:color="auto" w:sz="4" w:space="0"/>
                  </w:tcBorders>
                  <w:noWrap w:val="0"/>
                  <w:vAlign w:val="center"/>
                </w:tcPr>
                <w:p w14:paraId="046C561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eastAsia="宋体"/>
                      <w:color w:val="auto"/>
                      <w:sz w:val="21"/>
                      <w:szCs w:val="21"/>
                      <w:highlight w:val="none"/>
                      <w:lang w:val="en-US" w:eastAsia="zh-CN"/>
                    </w:rPr>
                  </w:pPr>
                  <w:r>
                    <w:rPr>
                      <w:rFonts w:hint="eastAsia" w:hAnsi="宋体"/>
                      <w:color w:val="auto"/>
                      <w:sz w:val="21"/>
                      <w:szCs w:val="21"/>
                      <w:highlight w:val="none"/>
                      <w:lang w:val="en-US" w:eastAsia="zh-CN"/>
                    </w:rPr>
                    <w:t>一楼西北角</w:t>
                  </w:r>
                </w:p>
              </w:tc>
              <w:tc>
                <w:tcPr>
                  <w:tcW w:w="422" w:type="pct"/>
                  <w:vMerge w:val="restart"/>
                  <w:tcBorders>
                    <w:top w:val="single" w:color="auto" w:sz="8" w:space="0"/>
                    <w:left w:val="single" w:color="auto" w:sz="4" w:space="0"/>
                    <w:right w:val="single" w:color="auto" w:sz="4" w:space="0"/>
                  </w:tcBorders>
                  <w:noWrap w:val="0"/>
                  <w:vAlign w:val="center"/>
                </w:tcPr>
                <w:p w14:paraId="02D4995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eastAsia"/>
                      <w:color w:val="auto"/>
                      <w:sz w:val="21"/>
                      <w:szCs w:val="21"/>
                      <w:highlight w:val="none"/>
                    </w:rPr>
                    <w:t>5</w:t>
                  </w:r>
                  <w:r>
                    <w:rPr>
                      <w:rFonts w:hint="default"/>
                      <w:color w:val="auto"/>
                      <w:sz w:val="21"/>
                      <w:szCs w:val="21"/>
                      <w:highlight w:val="none"/>
                    </w:rPr>
                    <w:t>m</w:t>
                  </w:r>
                  <w:r>
                    <w:rPr>
                      <w:rFonts w:hint="default"/>
                      <w:color w:val="auto"/>
                      <w:sz w:val="21"/>
                      <w:szCs w:val="21"/>
                      <w:highlight w:val="none"/>
                      <w:vertAlign w:val="superscript"/>
                    </w:rPr>
                    <w:t>2</w:t>
                  </w:r>
                </w:p>
              </w:tc>
              <w:tc>
                <w:tcPr>
                  <w:tcW w:w="497" w:type="pct"/>
                  <w:vMerge w:val="restart"/>
                  <w:tcBorders>
                    <w:top w:val="single" w:color="auto" w:sz="8" w:space="0"/>
                    <w:left w:val="single" w:color="auto" w:sz="4" w:space="0"/>
                    <w:right w:val="single" w:color="auto" w:sz="4" w:space="0"/>
                  </w:tcBorders>
                  <w:noWrap w:val="0"/>
                  <w:vAlign w:val="center"/>
                </w:tcPr>
                <w:p w14:paraId="705FB8E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eastAsia"/>
                      <w:color w:val="auto"/>
                      <w:sz w:val="21"/>
                      <w:szCs w:val="21"/>
                      <w:highlight w:val="none"/>
                    </w:rPr>
                    <w:t>防风、防雨、防晒、防渗</w:t>
                  </w:r>
                </w:p>
              </w:tc>
              <w:tc>
                <w:tcPr>
                  <w:tcW w:w="441" w:type="pct"/>
                  <w:vMerge w:val="restart"/>
                  <w:tcBorders>
                    <w:top w:val="single" w:color="auto" w:sz="8" w:space="0"/>
                    <w:left w:val="single" w:color="auto" w:sz="4" w:space="0"/>
                    <w:right w:val="single" w:color="auto" w:sz="4" w:space="0"/>
                  </w:tcBorders>
                  <w:noWrap w:val="0"/>
                  <w:vAlign w:val="center"/>
                </w:tcPr>
                <w:p w14:paraId="1FAC098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t</w:t>
                  </w:r>
                </w:p>
              </w:tc>
              <w:tc>
                <w:tcPr>
                  <w:tcW w:w="435" w:type="pct"/>
                  <w:tcBorders>
                    <w:top w:val="single" w:color="auto" w:sz="8" w:space="0"/>
                    <w:left w:val="single" w:color="auto" w:sz="4" w:space="0"/>
                    <w:bottom w:val="single" w:color="auto" w:sz="4" w:space="0"/>
                    <w:right w:val="single" w:color="auto" w:sz="8" w:space="0"/>
                  </w:tcBorders>
                  <w:noWrap w:val="0"/>
                  <w:vAlign w:val="center"/>
                </w:tcPr>
                <w:p w14:paraId="3030CF8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hAnsi="宋体"/>
                      <w:color w:val="auto"/>
                      <w:sz w:val="21"/>
                      <w:szCs w:val="21"/>
                      <w:highlight w:val="none"/>
                    </w:rPr>
                  </w:pPr>
                  <w:r>
                    <w:rPr>
                      <w:rFonts w:hint="eastAsia"/>
                      <w:color w:val="auto"/>
                      <w:sz w:val="21"/>
                      <w:szCs w:val="21"/>
                      <w:highlight w:val="none"/>
                    </w:rPr>
                    <w:t>半年</w:t>
                  </w:r>
                </w:p>
              </w:tc>
            </w:tr>
            <w:tr w14:paraId="7F730486">
              <w:tblPrEx>
                <w:tblCellMar>
                  <w:top w:w="0" w:type="dxa"/>
                  <w:left w:w="108" w:type="dxa"/>
                  <w:bottom w:w="0" w:type="dxa"/>
                  <w:right w:w="108" w:type="dxa"/>
                </w:tblCellMar>
              </w:tblPrEx>
              <w:trPr>
                <w:trHeight w:val="397" w:hRule="atLeast"/>
                <w:jc w:val="center"/>
              </w:trPr>
              <w:tc>
                <w:tcPr>
                  <w:tcW w:w="284" w:type="pct"/>
                  <w:tcBorders>
                    <w:top w:val="single" w:color="auto" w:sz="4" w:space="0"/>
                    <w:left w:val="single" w:color="auto" w:sz="8" w:space="0"/>
                    <w:bottom w:val="single" w:color="auto" w:sz="4" w:space="0"/>
                    <w:right w:val="single" w:color="auto" w:sz="4" w:space="0"/>
                  </w:tcBorders>
                  <w:noWrap w:val="0"/>
                  <w:vAlign w:val="center"/>
                </w:tcPr>
                <w:p w14:paraId="04F180A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2</w:t>
                  </w:r>
                </w:p>
              </w:tc>
              <w:tc>
                <w:tcPr>
                  <w:tcW w:w="405" w:type="pct"/>
                  <w:vMerge w:val="continue"/>
                  <w:tcBorders>
                    <w:left w:val="single" w:color="auto" w:sz="4" w:space="0"/>
                    <w:right w:val="single" w:color="auto" w:sz="4" w:space="0"/>
                  </w:tcBorders>
                  <w:noWrap w:val="0"/>
                  <w:vAlign w:val="center"/>
                </w:tcPr>
                <w:p w14:paraId="6C06C43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14C4D221">
                  <w:pPr>
                    <w:pStyle w:val="27"/>
                    <w:keepNext w:val="0"/>
                    <w:keepLines w:val="0"/>
                    <w:suppressLineNumbers w:val="0"/>
                    <w:bidi w:val="0"/>
                    <w:spacing w:before="0" w:beforeAutospacing="0" w:after="0" w:afterAutospacing="0"/>
                    <w:ind w:left="0" w:leftChars="0" w:right="0" w:rightChars="0" w:firstLine="0" w:firstLineChars="0"/>
                    <w:rPr>
                      <w:color w:val="auto"/>
                      <w:sz w:val="21"/>
                      <w:szCs w:val="21"/>
                      <w:highlight w:val="none"/>
                    </w:rPr>
                  </w:pPr>
                  <w:r>
                    <w:rPr>
                      <w:color w:val="auto"/>
                      <w:highlight w:val="none"/>
                    </w:rPr>
                    <w:t>废活性炭</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1F793B8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HW49</w:t>
                  </w:r>
                  <w:r>
                    <w:rPr>
                      <w:rFonts w:hint="eastAsia"/>
                      <w:color w:val="auto"/>
                      <w:sz w:val="21"/>
                      <w:szCs w:val="21"/>
                      <w:highlight w:val="none"/>
                    </w:rPr>
                    <w:t>其他废物</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835CA5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900-041-</w:t>
                  </w:r>
                  <w:r>
                    <w:rPr>
                      <w:rFonts w:hint="eastAsia"/>
                      <w:color w:val="auto"/>
                      <w:sz w:val="21"/>
                      <w:szCs w:val="21"/>
                      <w:highlight w:val="none"/>
                    </w:rPr>
                    <w:t>0</w:t>
                  </w:r>
                  <w:r>
                    <w:rPr>
                      <w:rFonts w:hint="default"/>
                      <w:color w:val="auto"/>
                      <w:sz w:val="21"/>
                      <w:szCs w:val="21"/>
                      <w:highlight w:val="none"/>
                    </w:rPr>
                    <w:t>49</w:t>
                  </w:r>
                </w:p>
              </w:tc>
              <w:tc>
                <w:tcPr>
                  <w:tcW w:w="369" w:type="pct"/>
                  <w:vMerge w:val="continue"/>
                  <w:tcBorders>
                    <w:left w:val="single" w:color="auto" w:sz="4" w:space="0"/>
                    <w:right w:val="single" w:color="auto" w:sz="4" w:space="0"/>
                  </w:tcBorders>
                  <w:noWrap w:val="0"/>
                  <w:vAlign w:val="center"/>
                </w:tcPr>
                <w:p w14:paraId="659468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22" w:type="pct"/>
                  <w:vMerge w:val="continue"/>
                  <w:tcBorders>
                    <w:left w:val="single" w:color="auto" w:sz="4" w:space="0"/>
                    <w:right w:val="single" w:color="auto" w:sz="4" w:space="0"/>
                  </w:tcBorders>
                  <w:noWrap w:val="0"/>
                  <w:vAlign w:val="center"/>
                </w:tcPr>
                <w:p w14:paraId="1500D84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97" w:type="pct"/>
                  <w:vMerge w:val="continue"/>
                  <w:tcBorders>
                    <w:left w:val="single" w:color="auto" w:sz="4" w:space="0"/>
                    <w:right w:val="single" w:color="auto" w:sz="4" w:space="0"/>
                  </w:tcBorders>
                  <w:noWrap w:val="0"/>
                  <w:vAlign w:val="center"/>
                </w:tcPr>
                <w:p w14:paraId="6258070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41" w:type="pct"/>
                  <w:vMerge w:val="continue"/>
                  <w:tcBorders>
                    <w:left w:val="single" w:color="auto" w:sz="4" w:space="0"/>
                    <w:right w:val="single" w:color="auto" w:sz="4" w:space="0"/>
                  </w:tcBorders>
                  <w:noWrap w:val="0"/>
                  <w:vAlign w:val="center"/>
                </w:tcPr>
                <w:p w14:paraId="426CCF6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35" w:type="pct"/>
                  <w:tcBorders>
                    <w:top w:val="single" w:color="auto" w:sz="4" w:space="0"/>
                    <w:left w:val="single" w:color="auto" w:sz="4" w:space="0"/>
                    <w:bottom w:val="single" w:color="auto" w:sz="4" w:space="0"/>
                    <w:right w:val="single" w:color="auto" w:sz="8" w:space="0"/>
                  </w:tcBorders>
                  <w:noWrap w:val="0"/>
                  <w:vAlign w:val="center"/>
                </w:tcPr>
                <w:p w14:paraId="44FA82A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半年</w:t>
                  </w:r>
                </w:p>
              </w:tc>
            </w:tr>
            <w:tr w14:paraId="24E7029A">
              <w:tblPrEx>
                <w:tblCellMar>
                  <w:top w:w="0" w:type="dxa"/>
                  <w:left w:w="108" w:type="dxa"/>
                  <w:bottom w:w="0" w:type="dxa"/>
                  <w:right w:w="108" w:type="dxa"/>
                </w:tblCellMar>
              </w:tblPrEx>
              <w:trPr>
                <w:trHeight w:val="397" w:hRule="atLeast"/>
                <w:jc w:val="center"/>
              </w:trPr>
              <w:tc>
                <w:tcPr>
                  <w:tcW w:w="284" w:type="pct"/>
                  <w:tcBorders>
                    <w:top w:val="single" w:color="auto" w:sz="4" w:space="0"/>
                    <w:left w:val="single" w:color="auto" w:sz="8" w:space="0"/>
                    <w:bottom w:val="single" w:color="auto" w:sz="4" w:space="0"/>
                    <w:right w:val="single" w:color="auto" w:sz="4" w:space="0"/>
                  </w:tcBorders>
                  <w:noWrap w:val="0"/>
                  <w:vAlign w:val="center"/>
                </w:tcPr>
                <w:p w14:paraId="34A15D0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3</w:t>
                  </w:r>
                </w:p>
              </w:tc>
              <w:tc>
                <w:tcPr>
                  <w:tcW w:w="405" w:type="pct"/>
                  <w:vMerge w:val="continue"/>
                  <w:tcBorders>
                    <w:left w:val="single" w:color="auto" w:sz="4" w:space="0"/>
                    <w:right w:val="single" w:color="auto" w:sz="4" w:space="0"/>
                  </w:tcBorders>
                  <w:noWrap w:val="0"/>
                  <w:vAlign w:val="center"/>
                </w:tcPr>
                <w:p w14:paraId="4F477DE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textAlignment w:val="auto"/>
                    <w:rPr>
                      <w:rFonts w:hint="default"/>
                      <w:color w:val="auto"/>
                      <w:sz w:val="21"/>
                      <w:szCs w:val="21"/>
                      <w:highlight w:val="none"/>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6F5E6A05">
                  <w:pPr>
                    <w:pStyle w:val="27"/>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highlight w:val="none"/>
                    </w:rPr>
                  </w:pPr>
                  <w:r>
                    <w:rPr>
                      <w:rFonts w:hint="eastAsia"/>
                      <w:color w:val="auto"/>
                      <w:highlight w:val="none"/>
                    </w:rPr>
                    <w:t>废紫外线灯管</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23D5058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HW</w:t>
                  </w:r>
                  <w:r>
                    <w:rPr>
                      <w:rFonts w:hint="eastAsia"/>
                      <w:color w:val="auto"/>
                      <w:sz w:val="21"/>
                      <w:szCs w:val="21"/>
                      <w:highlight w:val="none"/>
                    </w:rPr>
                    <w:t>2</w:t>
                  </w:r>
                  <w:r>
                    <w:rPr>
                      <w:rFonts w:hint="default"/>
                      <w:color w:val="auto"/>
                      <w:sz w:val="21"/>
                      <w:szCs w:val="21"/>
                      <w:highlight w:val="none"/>
                    </w:rPr>
                    <w:t>9</w:t>
                  </w:r>
                  <w:r>
                    <w:rPr>
                      <w:rFonts w:hint="eastAsia"/>
                      <w:color w:val="auto"/>
                      <w:sz w:val="21"/>
                      <w:szCs w:val="21"/>
                      <w:highlight w:val="none"/>
                    </w:rPr>
                    <w:t>其他废物</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1F9B3B7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900-023-29</w:t>
                  </w:r>
                </w:p>
              </w:tc>
              <w:tc>
                <w:tcPr>
                  <w:tcW w:w="369" w:type="pct"/>
                  <w:vMerge w:val="continue"/>
                  <w:tcBorders>
                    <w:left w:val="single" w:color="auto" w:sz="4" w:space="0"/>
                    <w:right w:val="single" w:color="auto" w:sz="4" w:space="0"/>
                  </w:tcBorders>
                  <w:noWrap w:val="0"/>
                  <w:vAlign w:val="center"/>
                </w:tcPr>
                <w:p w14:paraId="2C174C86">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22" w:type="pct"/>
                  <w:vMerge w:val="continue"/>
                  <w:tcBorders>
                    <w:left w:val="single" w:color="auto" w:sz="4" w:space="0"/>
                    <w:right w:val="single" w:color="auto" w:sz="4" w:space="0"/>
                  </w:tcBorders>
                  <w:noWrap w:val="0"/>
                  <w:vAlign w:val="center"/>
                </w:tcPr>
                <w:p w14:paraId="549C751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97" w:type="pct"/>
                  <w:vMerge w:val="continue"/>
                  <w:tcBorders>
                    <w:left w:val="single" w:color="auto" w:sz="4" w:space="0"/>
                    <w:right w:val="single" w:color="auto" w:sz="4" w:space="0"/>
                  </w:tcBorders>
                  <w:noWrap w:val="0"/>
                  <w:vAlign w:val="center"/>
                </w:tcPr>
                <w:p w14:paraId="684A87D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41" w:type="pct"/>
                  <w:vMerge w:val="continue"/>
                  <w:tcBorders>
                    <w:left w:val="single" w:color="auto" w:sz="4" w:space="0"/>
                    <w:right w:val="single" w:color="auto" w:sz="4" w:space="0"/>
                  </w:tcBorders>
                  <w:noWrap w:val="0"/>
                  <w:vAlign w:val="center"/>
                </w:tcPr>
                <w:p w14:paraId="2D974E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35" w:type="pct"/>
                  <w:tcBorders>
                    <w:top w:val="single" w:color="auto" w:sz="4" w:space="0"/>
                    <w:left w:val="single" w:color="auto" w:sz="4" w:space="0"/>
                    <w:bottom w:val="single" w:color="auto" w:sz="4" w:space="0"/>
                    <w:right w:val="single" w:color="auto" w:sz="8" w:space="0"/>
                  </w:tcBorders>
                  <w:noWrap w:val="0"/>
                  <w:vAlign w:val="center"/>
                </w:tcPr>
                <w:p w14:paraId="3DA9B2C5">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半年</w:t>
                  </w:r>
                </w:p>
              </w:tc>
            </w:tr>
            <w:tr w14:paraId="4BF90323">
              <w:tblPrEx>
                <w:tblCellMar>
                  <w:top w:w="0" w:type="dxa"/>
                  <w:left w:w="108" w:type="dxa"/>
                  <w:bottom w:w="0" w:type="dxa"/>
                  <w:right w:w="108" w:type="dxa"/>
                </w:tblCellMar>
              </w:tblPrEx>
              <w:trPr>
                <w:trHeight w:val="397" w:hRule="atLeast"/>
                <w:jc w:val="center"/>
              </w:trPr>
              <w:tc>
                <w:tcPr>
                  <w:tcW w:w="284" w:type="pct"/>
                  <w:tcBorders>
                    <w:top w:val="single" w:color="auto" w:sz="4" w:space="0"/>
                    <w:left w:val="single" w:color="auto" w:sz="8" w:space="0"/>
                    <w:bottom w:val="single" w:color="auto" w:sz="4" w:space="0"/>
                    <w:right w:val="single" w:color="auto" w:sz="4" w:space="0"/>
                  </w:tcBorders>
                  <w:noWrap w:val="0"/>
                  <w:vAlign w:val="center"/>
                </w:tcPr>
                <w:p w14:paraId="463B05B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405" w:type="pct"/>
                  <w:vMerge w:val="continue"/>
                  <w:tcBorders>
                    <w:left w:val="single" w:color="auto" w:sz="4" w:space="0"/>
                    <w:right w:val="single" w:color="auto" w:sz="4" w:space="0"/>
                  </w:tcBorders>
                  <w:noWrap w:val="0"/>
                  <w:vAlign w:val="center"/>
                </w:tcPr>
                <w:p w14:paraId="500C2CC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textAlignment w:val="auto"/>
                    <w:rPr>
                      <w:rFonts w:hint="default"/>
                      <w:color w:val="auto"/>
                      <w:sz w:val="21"/>
                      <w:szCs w:val="21"/>
                      <w:highlight w:val="none"/>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7B250F80">
                  <w:pPr>
                    <w:pStyle w:val="27"/>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highlight w:val="none"/>
                    </w:rPr>
                  </w:pPr>
                  <w:r>
                    <w:rPr>
                      <w:rFonts w:hint="eastAsia"/>
                      <w:color w:val="auto"/>
                      <w:highlight w:val="none"/>
                      <w:lang w:val="en-US" w:eastAsia="zh-CN"/>
                    </w:rPr>
                    <w:t>污泥</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1E2C9359">
                  <w:pPr>
                    <w:pStyle w:val="27"/>
                    <w:keepNext w:val="0"/>
                    <w:keepLines w:val="0"/>
                    <w:suppressLineNumbers w:val="0"/>
                    <w:bidi w:val="0"/>
                    <w:spacing w:before="0" w:beforeAutospacing="0" w:after="0" w:afterAutospacing="0"/>
                    <w:ind w:left="0" w:right="0"/>
                    <w:rPr>
                      <w:color w:val="auto"/>
                      <w:sz w:val="21"/>
                      <w:szCs w:val="21"/>
                      <w:highlight w:val="none"/>
                    </w:rPr>
                  </w:pPr>
                  <w:r>
                    <w:rPr>
                      <w:rFonts w:hint="eastAsia"/>
                      <w:color w:val="auto"/>
                      <w:highlight w:val="none"/>
                    </w:rPr>
                    <w:t>HW49</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4746E608">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eastAsia"/>
                      <w:color w:val="auto"/>
                      <w:highlight w:val="none"/>
                    </w:rPr>
                    <w:t>900-047-49</w:t>
                  </w:r>
                </w:p>
              </w:tc>
              <w:tc>
                <w:tcPr>
                  <w:tcW w:w="369" w:type="pct"/>
                  <w:vMerge w:val="continue"/>
                  <w:tcBorders>
                    <w:left w:val="single" w:color="auto" w:sz="4" w:space="0"/>
                    <w:right w:val="single" w:color="auto" w:sz="4" w:space="0"/>
                  </w:tcBorders>
                  <w:noWrap w:val="0"/>
                  <w:vAlign w:val="center"/>
                </w:tcPr>
                <w:p w14:paraId="5F9FF18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22" w:type="pct"/>
                  <w:vMerge w:val="continue"/>
                  <w:tcBorders>
                    <w:left w:val="single" w:color="auto" w:sz="4" w:space="0"/>
                    <w:right w:val="single" w:color="auto" w:sz="4" w:space="0"/>
                  </w:tcBorders>
                  <w:noWrap w:val="0"/>
                  <w:vAlign w:val="center"/>
                </w:tcPr>
                <w:p w14:paraId="2C6A889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97" w:type="pct"/>
                  <w:vMerge w:val="continue"/>
                  <w:tcBorders>
                    <w:left w:val="single" w:color="auto" w:sz="4" w:space="0"/>
                    <w:right w:val="single" w:color="auto" w:sz="4" w:space="0"/>
                  </w:tcBorders>
                  <w:noWrap w:val="0"/>
                  <w:vAlign w:val="center"/>
                </w:tcPr>
                <w:p w14:paraId="3ED456D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41" w:type="pct"/>
                  <w:vMerge w:val="continue"/>
                  <w:tcBorders>
                    <w:left w:val="single" w:color="auto" w:sz="4" w:space="0"/>
                    <w:right w:val="single" w:color="auto" w:sz="4" w:space="0"/>
                  </w:tcBorders>
                  <w:noWrap w:val="0"/>
                  <w:vAlign w:val="center"/>
                </w:tcPr>
                <w:p w14:paraId="269B818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35" w:type="pct"/>
                  <w:tcBorders>
                    <w:top w:val="single" w:color="auto" w:sz="4" w:space="0"/>
                    <w:left w:val="single" w:color="auto" w:sz="4" w:space="0"/>
                    <w:bottom w:val="single" w:color="auto" w:sz="4" w:space="0"/>
                    <w:right w:val="single" w:color="auto" w:sz="8" w:space="0"/>
                  </w:tcBorders>
                  <w:noWrap w:val="0"/>
                  <w:vAlign w:val="center"/>
                </w:tcPr>
                <w:p w14:paraId="28D3F67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rPr>
                  </w:pPr>
                  <w:r>
                    <w:rPr>
                      <w:rFonts w:hint="eastAsia"/>
                      <w:color w:val="auto"/>
                      <w:sz w:val="21"/>
                      <w:szCs w:val="21"/>
                      <w:highlight w:val="none"/>
                    </w:rPr>
                    <w:t>半年</w:t>
                  </w:r>
                </w:p>
              </w:tc>
            </w:tr>
            <w:tr w14:paraId="0933904C">
              <w:tblPrEx>
                <w:tblCellMar>
                  <w:top w:w="0" w:type="dxa"/>
                  <w:left w:w="108" w:type="dxa"/>
                  <w:bottom w:w="0" w:type="dxa"/>
                  <w:right w:w="108" w:type="dxa"/>
                </w:tblCellMar>
              </w:tblPrEx>
              <w:trPr>
                <w:trHeight w:val="397" w:hRule="atLeast"/>
                <w:jc w:val="center"/>
              </w:trPr>
              <w:tc>
                <w:tcPr>
                  <w:tcW w:w="284" w:type="pct"/>
                  <w:tcBorders>
                    <w:top w:val="single" w:color="auto" w:sz="4" w:space="0"/>
                    <w:left w:val="single" w:color="auto" w:sz="8" w:space="0"/>
                    <w:bottom w:val="single" w:color="auto" w:sz="4" w:space="0"/>
                    <w:right w:val="single" w:color="auto" w:sz="4" w:space="0"/>
                  </w:tcBorders>
                  <w:noWrap w:val="0"/>
                  <w:vAlign w:val="center"/>
                </w:tcPr>
                <w:p w14:paraId="6F75AEC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405" w:type="pct"/>
                  <w:vMerge w:val="continue"/>
                  <w:tcBorders>
                    <w:left w:val="single" w:color="auto" w:sz="4" w:space="0"/>
                    <w:bottom w:val="single" w:color="auto" w:sz="4" w:space="0"/>
                    <w:right w:val="single" w:color="auto" w:sz="4" w:space="0"/>
                  </w:tcBorders>
                  <w:noWrap w:val="0"/>
                  <w:vAlign w:val="center"/>
                </w:tcPr>
                <w:p w14:paraId="797181CE">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textAlignment w:val="auto"/>
                    <w:rPr>
                      <w:rFonts w:hint="default"/>
                      <w:color w:val="auto"/>
                      <w:sz w:val="21"/>
                      <w:szCs w:val="21"/>
                      <w:highlight w:val="none"/>
                    </w:rPr>
                  </w:pPr>
                </w:p>
              </w:tc>
              <w:tc>
                <w:tcPr>
                  <w:tcW w:w="620" w:type="pct"/>
                  <w:tcBorders>
                    <w:top w:val="single" w:color="auto" w:sz="4" w:space="0"/>
                    <w:left w:val="single" w:color="auto" w:sz="4" w:space="0"/>
                    <w:bottom w:val="single" w:color="auto" w:sz="4" w:space="0"/>
                    <w:right w:val="single" w:color="auto" w:sz="4" w:space="0"/>
                  </w:tcBorders>
                  <w:noWrap w:val="0"/>
                  <w:vAlign w:val="center"/>
                </w:tcPr>
                <w:p w14:paraId="141F53BE">
                  <w:pPr>
                    <w:pStyle w:val="27"/>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highlight w:val="none"/>
                    </w:rPr>
                  </w:pPr>
                  <w:r>
                    <w:rPr>
                      <w:rFonts w:hint="eastAsia"/>
                      <w:color w:val="auto"/>
                      <w:highlight w:val="none"/>
                    </w:rPr>
                    <w:t>实验室剩余土壤样品</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32DF9FE3">
                  <w:pPr>
                    <w:pStyle w:val="27"/>
                    <w:keepNext w:val="0"/>
                    <w:keepLines w:val="0"/>
                    <w:suppressLineNumbers w:val="0"/>
                    <w:bidi w:val="0"/>
                    <w:spacing w:before="0" w:beforeAutospacing="0" w:after="0" w:afterAutospacing="0"/>
                    <w:ind w:left="0" w:right="0"/>
                    <w:rPr>
                      <w:color w:val="auto"/>
                      <w:sz w:val="21"/>
                      <w:szCs w:val="21"/>
                      <w:highlight w:val="none"/>
                    </w:rPr>
                  </w:pPr>
                  <w:r>
                    <w:rPr>
                      <w:color w:val="auto"/>
                      <w:highlight w:val="none"/>
                    </w:rPr>
                    <w:t>HW49</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3B2A49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r>
                    <w:rPr>
                      <w:rFonts w:hint="default"/>
                      <w:color w:val="auto"/>
                      <w:highlight w:val="none"/>
                    </w:rPr>
                    <w:t>900-0</w:t>
                  </w:r>
                  <w:r>
                    <w:rPr>
                      <w:rFonts w:hint="eastAsia"/>
                      <w:color w:val="auto"/>
                      <w:highlight w:val="none"/>
                      <w:lang w:val="en-US" w:eastAsia="zh-CN"/>
                    </w:rPr>
                    <w:t>41</w:t>
                  </w:r>
                  <w:r>
                    <w:rPr>
                      <w:rFonts w:hint="default"/>
                      <w:color w:val="auto"/>
                      <w:highlight w:val="none"/>
                    </w:rPr>
                    <w:t>-49</w:t>
                  </w:r>
                </w:p>
              </w:tc>
              <w:tc>
                <w:tcPr>
                  <w:tcW w:w="369" w:type="pct"/>
                  <w:vMerge w:val="continue"/>
                  <w:tcBorders>
                    <w:left w:val="single" w:color="auto" w:sz="4" w:space="0"/>
                    <w:bottom w:val="single" w:color="auto" w:sz="4" w:space="0"/>
                    <w:right w:val="single" w:color="auto" w:sz="4" w:space="0"/>
                  </w:tcBorders>
                  <w:noWrap w:val="0"/>
                  <w:vAlign w:val="center"/>
                </w:tcPr>
                <w:p w14:paraId="3D5636F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22" w:type="pct"/>
                  <w:vMerge w:val="continue"/>
                  <w:tcBorders>
                    <w:left w:val="single" w:color="auto" w:sz="4" w:space="0"/>
                    <w:bottom w:val="single" w:color="auto" w:sz="4" w:space="0"/>
                    <w:right w:val="single" w:color="auto" w:sz="4" w:space="0"/>
                  </w:tcBorders>
                  <w:noWrap w:val="0"/>
                  <w:vAlign w:val="center"/>
                </w:tcPr>
                <w:p w14:paraId="087F587F">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97" w:type="pct"/>
                  <w:vMerge w:val="continue"/>
                  <w:tcBorders>
                    <w:left w:val="single" w:color="auto" w:sz="4" w:space="0"/>
                    <w:bottom w:val="single" w:color="auto" w:sz="4" w:space="0"/>
                    <w:right w:val="single" w:color="auto" w:sz="4" w:space="0"/>
                  </w:tcBorders>
                  <w:noWrap w:val="0"/>
                  <w:vAlign w:val="center"/>
                </w:tcPr>
                <w:p w14:paraId="47AEBB4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41" w:type="pct"/>
                  <w:vMerge w:val="continue"/>
                  <w:tcBorders>
                    <w:left w:val="single" w:color="auto" w:sz="4" w:space="0"/>
                    <w:bottom w:val="single" w:color="auto" w:sz="4" w:space="0"/>
                    <w:right w:val="single" w:color="auto" w:sz="4" w:space="0"/>
                  </w:tcBorders>
                  <w:noWrap w:val="0"/>
                  <w:vAlign w:val="center"/>
                </w:tcPr>
                <w:p w14:paraId="2BDDCB5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default"/>
                      <w:color w:val="auto"/>
                      <w:sz w:val="21"/>
                      <w:szCs w:val="21"/>
                      <w:highlight w:val="none"/>
                    </w:rPr>
                  </w:pPr>
                </w:p>
              </w:tc>
              <w:tc>
                <w:tcPr>
                  <w:tcW w:w="435" w:type="pct"/>
                  <w:tcBorders>
                    <w:top w:val="single" w:color="auto" w:sz="4" w:space="0"/>
                    <w:left w:val="single" w:color="auto" w:sz="4" w:space="0"/>
                    <w:bottom w:val="single" w:color="auto" w:sz="4" w:space="0"/>
                    <w:right w:val="single" w:color="auto" w:sz="8" w:space="0"/>
                  </w:tcBorders>
                  <w:noWrap w:val="0"/>
                  <w:vAlign w:val="center"/>
                </w:tcPr>
                <w:p w14:paraId="50FDAF5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color w:val="auto"/>
                      <w:sz w:val="21"/>
                      <w:szCs w:val="21"/>
                      <w:highlight w:val="none"/>
                    </w:rPr>
                  </w:pPr>
                  <w:r>
                    <w:rPr>
                      <w:rFonts w:hint="eastAsia"/>
                      <w:color w:val="auto"/>
                      <w:sz w:val="21"/>
                      <w:szCs w:val="21"/>
                      <w:highlight w:val="none"/>
                    </w:rPr>
                    <w:t>半年</w:t>
                  </w:r>
                </w:p>
              </w:tc>
            </w:tr>
          </w:tbl>
          <w:p w14:paraId="02C40747">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③危废暂存场所内设置要求</w:t>
            </w:r>
          </w:p>
          <w:p w14:paraId="21AE0837">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危废暂存场所地面与裙脚采用达到标准要求防渗的材料建造，渗透系数≤10</w:t>
            </w:r>
            <w:r>
              <w:rPr>
                <w:rFonts w:hint="default"/>
                <w:color w:val="auto"/>
                <w:highlight w:val="none"/>
                <w:vertAlign w:val="superscript"/>
              </w:rPr>
              <w:t>-12</w:t>
            </w:r>
            <w:r>
              <w:rPr>
                <w:rFonts w:hint="default"/>
                <w:color w:val="auto"/>
                <w:highlight w:val="none"/>
              </w:rPr>
              <w:t>cm/s，防渗建筑材料须与危险废物相容。</w:t>
            </w:r>
          </w:p>
          <w:p w14:paraId="37B1C99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危废暂存场所内设置有安全照明设施和观察窗口，场所四周设置边沟，建造径流疏导系统，同时做到</w:t>
            </w:r>
            <w:r>
              <w:rPr>
                <w:rFonts w:hint="eastAsia"/>
                <w:color w:val="auto"/>
                <w:highlight w:val="none"/>
                <w:lang w:eastAsia="zh-CN"/>
              </w:rPr>
              <w:t>“</w:t>
            </w:r>
            <w:r>
              <w:rPr>
                <w:rFonts w:hint="default"/>
                <w:color w:val="auto"/>
                <w:highlight w:val="none"/>
              </w:rPr>
              <w:t>五防</w:t>
            </w:r>
            <w:r>
              <w:rPr>
                <w:rFonts w:hint="eastAsia"/>
                <w:color w:val="auto"/>
                <w:highlight w:val="none"/>
                <w:lang w:eastAsia="zh-CN"/>
              </w:rPr>
              <w:t>”</w:t>
            </w:r>
            <w:r>
              <w:rPr>
                <w:rFonts w:hint="default"/>
                <w:color w:val="auto"/>
                <w:highlight w:val="none"/>
              </w:rPr>
              <w:t>（防风、防雨、防晒、防盗、防渗漏）要求。本项目危险废物暂存场所均按照GB18597-20</w:t>
            </w:r>
            <w:r>
              <w:rPr>
                <w:rFonts w:hint="eastAsia"/>
                <w:color w:val="auto"/>
                <w:highlight w:val="none"/>
              </w:rPr>
              <w:t>23</w:t>
            </w:r>
            <w:r>
              <w:rPr>
                <w:rFonts w:hint="default"/>
                <w:color w:val="auto"/>
                <w:highlight w:val="none"/>
              </w:rPr>
              <w:t>《危险废物贮存污染控制标准》的规定设置，通过规范设置危废暂存场所，可以保障危险废物暂存过程对周边环境不产生影响。</w:t>
            </w:r>
          </w:p>
          <w:p w14:paraId="112B72D2">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项目产生的危废严格按照《危险废物贮存污染控制标准》（GB18597-20</w:t>
            </w:r>
            <w:r>
              <w:rPr>
                <w:rFonts w:hint="eastAsia"/>
                <w:color w:val="auto"/>
                <w:highlight w:val="none"/>
              </w:rPr>
              <w:t>23</w:t>
            </w:r>
            <w:r>
              <w:rPr>
                <w:rFonts w:hint="default"/>
                <w:color w:val="auto"/>
                <w:highlight w:val="none"/>
              </w:rPr>
              <w:t>）等文件、技术规范要求进行暂存和转移。</w:t>
            </w:r>
          </w:p>
          <w:p w14:paraId="0959DB67">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危险废物的贮存设施应满足以下要求：</w:t>
            </w:r>
          </w:p>
          <w:p w14:paraId="74E34E92">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1）贮存设施应根据危险废物的形态、物理化学性质、包装形式和污染物迁移途径，采取必要的防风、防晒、防雨、防漏、防渗、防腐以及其他环境污染防治措施，不应露天堆放危险废物。</w:t>
            </w:r>
          </w:p>
          <w:p w14:paraId="1FC7A04E">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2）贮存设施应根据危险废物的类别、数量、形态、物理化学性质和污染防治等要求设置必要的贮存分区，避免不相容的危险废物接触、混合。</w:t>
            </w:r>
          </w:p>
          <w:p w14:paraId="2744B36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3）贮存设施或贮存分区内地面、墙面裙脚、堵截泄漏的围堰、接触危险废物的隔板和墙体等应采用坚固的材料建造，表面无裂缝。</w:t>
            </w:r>
          </w:p>
          <w:p w14:paraId="0F1C1A5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sz w:val="24"/>
                <w:highlight w:val="none"/>
                <w:vertAlign w:val="superscript"/>
              </w:rPr>
              <w:t>-7</w:t>
            </w:r>
            <w:r>
              <w:rPr>
                <w:rFonts w:hint="eastAsia"/>
                <w:color w:val="auto"/>
                <w:sz w:val="24"/>
                <w:highlight w:val="none"/>
              </w:rPr>
              <w:t>cm/s），或至少2mm厚高密度聚乙烯膜等人工防渗材料（渗透系数不大于10</w:t>
            </w:r>
            <w:r>
              <w:rPr>
                <w:rFonts w:hint="eastAsia"/>
                <w:color w:val="auto"/>
                <w:sz w:val="24"/>
                <w:highlight w:val="none"/>
                <w:vertAlign w:val="superscript"/>
              </w:rPr>
              <w:t>-10</w:t>
            </w:r>
            <w:r>
              <w:rPr>
                <w:rFonts w:hint="eastAsia"/>
                <w:color w:val="auto"/>
                <w:sz w:val="24"/>
                <w:highlight w:val="none"/>
              </w:rPr>
              <w:t>cm/s），或其他防渗性能等效的材料。</w:t>
            </w:r>
          </w:p>
          <w:p w14:paraId="753A385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5）同一贮存设施宜采用相同的防渗、防腐工艺（包括防渗、防腐结构或材料），防渗、防腐材料应覆盖所有可能与废物及其渗滤液、渗漏液等接触的构筑物表面；采用不同防渗、防腐工艺应分别建设贮存分区。</w:t>
            </w:r>
          </w:p>
          <w:p w14:paraId="0CB4927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6）贮存设施应采取技术和管理措施防止无关人员进入。贮存库内不同贮存分区之间应采取隔离措施。隔离措施可根据危险废物特性采用过道、隔板或隔墙等方式。</w:t>
            </w:r>
          </w:p>
          <w:p w14:paraId="20526DF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7）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248CCBB">
            <w:pPr>
              <w:keepNext w:val="0"/>
              <w:keepLines w:val="0"/>
              <w:suppressLineNumbers w:val="0"/>
              <w:tabs>
                <w:tab w:val="left" w:pos="0"/>
              </w:tabs>
              <w:adjustRightInd w:val="0"/>
              <w:snapToGrid w:val="0"/>
              <w:spacing w:before="0" w:beforeAutospacing="0" w:after="0" w:afterAutospacing="0" w:line="360" w:lineRule="auto"/>
              <w:ind w:left="0" w:right="-28" w:firstLine="482"/>
              <w:rPr>
                <w:rFonts w:hint="default"/>
                <w:b/>
                <w:bCs/>
                <w:color w:val="auto"/>
                <w:sz w:val="24"/>
                <w:highlight w:val="none"/>
              </w:rPr>
            </w:pPr>
            <w:r>
              <w:rPr>
                <w:rFonts w:hint="default"/>
                <w:b/>
                <w:bCs/>
                <w:color w:val="auto"/>
                <w:sz w:val="24"/>
                <w:highlight w:val="none"/>
              </w:rPr>
              <w:t>（</w:t>
            </w:r>
            <w:r>
              <w:rPr>
                <w:rFonts w:hint="eastAsia"/>
                <w:b/>
                <w:bCs/>
                <w:color w:val="auto"/>
                <w:sz w:val="24"/>
                <w:highlight w:val="none"/>
                <w:lang w:val="en-US" w:eastAsia="zh-CN"/>
              </w:rPr>
              <w:t>5</w:t>
            </w:r>
            <w:r>
              <w:rPr>
                <w:rFonts w:hint="default"/>
                <w:b/>
                <w:bCs/>
                <w:color w:val="auto"/>
                <w:sz w:val="24"/>
                <w:highlight w:val="none"/>
              </w:rPr>
              <w:t>）污染防治措施</w:t>
            </w:r>
          </w:p>
          <w:p w14:paraId="18D65DF3">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①贮存场所（设施）污染防治措施</w:t>
            </w:r>
          </w:p>
          <w:p w14:paraId="3D5C557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所有纳入危险废物范畴的固体废物在企业内的存放地设置符合《危险废物贮存污染控制标准》（GB18597-20</w:t>
            </w:r>
            <w:r>
              <w:rPr>
                <w:rFonts w:hint="eastAsia"/>
                <w:color w:val="auto"/>
                <w:highlight w:val="none"/>
              </w:rPr>
              <w:t>23</w:t>
            </w:r>
            <w:r>
              <w:rPr>
                <w:rFonts w:hint="default"/>
                <w:color w:val="auto"/>
                <w:highlight w:val="none"/>
              </w:rPr>
              <w:t>）的专用标志。危险废物必须使用专用的容器贮存，除非在常温常压下不水解、不挥发的固体危险废物可在贮存设施内分别堆放。贮存容器应有明显标志，并且标明废物的特性，是否具有耐腐蚀、与所贮存的废物发生反应等特性。贮存场所严格按照</w:t>
            </w:r>
            <w:r>
              <w:rPr>
                <w:rFonts w:hint="eastAsia"/>
                <w:color w:val="auto"/>
                <w:highlight w:val="none"/>
                <w:lang w:eastAsia="zh-CN"/>
              </w:rPr>
              <w:t>“</w:t>
            </w:r>
            <w:r>
              <w:rPr>
                <w:rFonts w:hint="default"/>
                <w:color w:val="auto"/>
                <w:highlight w:val="none"/>
              </w:rPr>
              <w:t>五防</w:t>
            </w:r>
            <w:r>
              <w:rPr>
                <w:rFonts w:hint="eastAsia"/>
                <w:color w:val="auto"/>
                <w:highlight w:val="none"/>
                <w:lang w:eastAsia="zh-CN"/>
              </w:rPr>
              <w:t>”</w:t>
            </w:r>
            <w:r>
              <w:rPr>
                <w:rFonts w:hint="default"/>
                <w:color w:val="auto"/>
                <w:highlight w:val="none"/>
              </w:rPr>
              <w:t>（防风、防雨、防晒、防盗、防渗漏）要求进行设置，有集排水设施且贮存场所符合消防要求，贮存场所内采用安全照明设施，并设置观察窗口。</w:t>
            </w:r>
          </w:p>
          <w:p w14:paraId="1AC3C3CC">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②运输过程的污染防治措施</w:t>
            </w:r>
          </w:p>
          <w:p w14:paraId="622F8F0F">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本</w:t>
            </w:r>
            <w:r>
              <w:rPr>
                <w:rFonts w:hint="default"/>
                <w:color w:val="auto"/>
                <w:highlight w:val="none"/>
              </w:rPr>
              <w:t>项目所处理的危险废物</w:t>
            </w:r>
            <w:r>
              <w:rPr>
                <w:rFonts w:hint="eastAsia"/>
                <w:color w:val="auto"/>
                <w:highlight w:val="none"/>
                <w:lang w:val="en-US" w:eastAsia="zh-CN"/>
              </w:rPr>
              <w:t>须</w:t>
            </w:r>
            <w:r>
              <w:rPr>
                <w:rFonts w:hint="default"/>
                <w:color w:val="auto"/>
                <w:highlight w:val="none"/>
              </w:rPr>
              <w:t>采用专门的</w:t>
            </w:r>
            <w:r>
              <w:rPr>
                <w:rFonts w:hint="eastAsia"/>
                <w:color w:val="auto"/>
                <w:highlight w:val="none"/>
                <w:lang w:val="en-US" w:eastAsia="zh-CN"/>
              </w:rPr>
              <w:t>运输设备运至危废间</w:t>
            </w:r>
            <w:r>
              <w:rPr>
                <w:rFonts w:hint="default"/>
                <w:color w:val="auto"/>
                <w:highlight w:val="none"/>
              </w:rPr>
              <w:t>，</w:t>
            </w:r>
            <w:r>
              <w:rPr>
                <w:rFonts w:hint="eastAsia"/>
                <w:color w:val="auto"/>
                <w:highlight w:val="none"/>
                <w:lang w:val="en-US" w:eastAsia="zh-CN"/>
              </w:rPr>
              <w:t>运输过程</w:t>
            </w:r>
            <w:r>
              <w:rPr>
                <w:rFonts w:hint="default"/>
                <w:color w:val="auto"/>
                <w:highlight w:val="none"/>
              </w:rPr>
              <w:t>密闭运输，严格禁止抛洒滴漏，杜绝在运输过程中造成环境的二次污染</w:t>
            </w:r>
            <w:r>
              <w:rPr>
                <w:rFonts w:hint="eastAsia"/>
                <w:color w:val="auto"/>
                <w:highlight w:val="none"/>
                <w:lang w:eastAsia="zh-CN"/>
              </w:rPr>
              <w:t>，</w:t>
            </w:r>
            <w:r>
              <w:rPr>
                <w:rFonts w:hint="eastAsia"/>
                <w:color w:val="auto"/>
                <w:highlight w:val="none"/>
                <w:lang w:val="en-US" w:eastAsia="zh-CN"/>
              </w:rPr>
              <w:t>同时运输路线限定为危废产生点至危废间</w:t>
            </w:r>
            <w:r>
              <w:rPr>
                <w:rFonts w:hint="default"/>
                <w:color w:val="auto"/>
                <w:highlight w:val="none"/>
              </w:rPr>
              <w:t>。在危险废物的运输中执行《危险废物转移联单管理办法》中有关的规定和要求。</w:t>
            </w:r>
          </w:p>
          <w:p w14:paraId="4AB831B4">
            <w:pPr>
              <w:keepNext w:val="0"/>
              <w:keepLines w:val="0"/>
              <w:suppressLineNumbers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（6）实验室废物在收集、贮存、运输过程中的风险分析</w:t>
            </w:r>
          </w:p>
          <w:p w14:paraId="2C684D93">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实验室废物必须经科学地分类收集、贮存运送后交由具有资质的危险废物处置单位统一处理。</w:t>
            </w:r>
          </w:p>
          <w:p w14:paraId="080C762D">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鉴于其极大危害性，该项目在收集、贮存、运送过程中存在着一定的风险。为保证项目产生的实验室废物、废生物样能得到有效处置，使其风险减少到</w:t>
            </w:r>
            <w:r>
              <w:rPr>
                <w:rFonts w:hint="eastAsia"/>
                <w:b w:val="0"/>
                <w:bCs w:val="0"/>
                <w:color w:val="auto"/>
                <w:sz w:val="24"/>
                <w:highlight w:val="none"/>
                <w:lang w:eastAsia="zh-CN"/>
              </w:rPr>
              <w:t>最低程度</w:t>
            </w:r>
            <w:r>
              <w:rPr>
                <w:rFonts w:hint="default"/>
                <w:b w:val="0"/>
                <w:bCs w:val="0"/>
                <w:color w:val="auto"/>
                <w:sz w:val="24"/>
                <w:highlight w:val="none"/>
              </w:rPr>
              <w:t>，而不会对周围环境造成不良影响，应具体采取如下的措施进行防范。</w:t>
            </w:r>
          </w:p>
          <w:p w14:paraId="434247DF">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①应对项目产生的实验室废物进行科学的分类收集科学的分类是消除污染、无害化处置的保证，要采用专用容器，明确各类废弃物标识，分类包装，分类堆放，并本着及时、方便、安全、快捷的原则，进行收集，实验室废物不能与其他废物混合收集；放入包装物或者容器内的不得取出。当盛装的实验室废物达到包装物或者容器的3/4时，应当使用有效的封口方式，使包装物或者容器的封口紧实、严密。</w:t>
            </w:r>
          </w:p>
          <w:p w14:paraId="42B465F8">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②对实验室废物必须采取安全、有效、经济的隔离和处理方法。操作时，必须保障最基本的防护措施，对有</w:t>
            </w:r>
            <w:r>
              <w:rPr>
                <w:rFonts w:hint="eastAsia"/>
                <w:b w:val="0"/>
                <w:bCs w:val="0"/>
                <w:color w:val="auto"/>
                <w:sz w:val="24"/>
                <w:highlight w:val="none"/>
                <w:lang w:eastAsia="zh-CN"/>
              </w:rPr>
              <w:t>多种成分混合</w:t>
            </w:r>
            <w:r>
              <w:rPr>
                <w:rFonts w:hint="default"/>
                <w:b w:val="0"/>
                <w:bCs w:val="0"/>
                <w:color w:val="auto"/>
                <w:sz w:val="24"/>
                <w:highlight w:val="none"/>
              </w:rPr>
              <w:t>的实验室废物，应按危害等级较高者处理，所有收集实验室废物的容器都应有</w:t>
            </w:r>
            <w:r>
              <w:rPr>
                <w:rFonts w:hint="eastAsia"/>
                <w:b w:val="0"/>
                <w:bCs w:val="0"/>
                <w:color w:val="auto"/>
                <w:sz w:val="24"/>
                <w:highlight w:val="none"/>
                <w:lang w:eastAsia="zh-CN"/>
              </w:rPr>
              <w:t>“</w:t>
            </w:r>
            <w:r>
              <w:rPr>
                <w:rFonts w:hint="default"/>
                <w:b w:val="0"/>
                <w:bCs w:val="0"/>
                <w:color w:val="auto"/>
                <w:sz w:val="24"/>
                <w:highlight w:val="none"/>
              </w:rPr>
              <w:t>生物危害</w:t>
            </w:r>
            <w:r>
              <w:rPr>
                <w:rFonts w:hint="eastAsia"/>
                <w:b w:val="0"/>
                <w:bCs w:val="0"/>
                <w:color w:val="auto"/>
                <w:sz w:val="24"/>
                <w:highlight w:val="none"/>
                <w:lang w:eastAsia="zh-CN"/>
              </w:rPr>
              <w:t>”</w:t>
            </w:r>
            <w:r>
              <w:rPr>
                <w:rFonts w:hint="default"/>
                <w:b w:val="0"/>
                <w:bCs w:val="0"/>
                <w:color w:val="auto"/>
                <w:sz w:val="24"/>
                <w:highlight w:val="none"/>
              </w:rPr>
              <w:t>标志。有液体的实验室废物时，应确保容器无泄漏。另外，有害化学废物不能与一般废物、无害化学废物或实验室废物相混合。</w:t>
            </w:r>
          </w:p>
          <w:p w14:paraId="635875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b w:val="0"/>
                <w:bCs w:val="0"/>
                <w:color w:val="auto"/>
                <w:sz w:val="24"/>
                <w:highlight w:val="none"/>
              </w:rPr>
            </w:pPr>
            <w:r>
              <w:rPr>
                <w:rFonts w:hint="default"/>
                <w:b w:val="0"/>
                <w:bCs w:val="0"/>
                <w:color w:val="auto"/>
                <w:sz w:val="24"/>
                <w:highlight w:val="none"/>
              </w:rPr>
              <w:t>③有害化学废物在产生后应分别收集、运输、贮存和处理；</w:t>
            </w:r>
            <w:r>
              <w:rPr>
                <w:rFonts w:hint="eastAsia"/>
                <w:b w:val="0"/>
                <w:bCs w:val="0"/>
                <w:color w:val="auto"/>
                <w:sz w:val="24"/>
                <w:highlight w:val="none"/>
                <w:lang w:eastAsia="zh-CN"/>
              </w:rPr>
              <w:t>必须</w:t>
            </w:r>
            <w:r>
              <w:rPr>
                <w:rFonts w:hint="default"/>
                <w:b w:val="0"/>
                <w:bCs w:val="0"/>
                <w:color w:val="auto"/>
                <w:sz w:val="24"/>
                <w:highlight w:val="none"/>
              </w:rPr>
              <w:t>混合时，应注意不兼容性。为保证有害废料在产生、堆集和保存期间不发生意外、泄漏、破损等，应采取必要的控制措施，如：通风措施、相对封闭及隔离系统、安全措施、防火措施和安全通道。在化学废料的产生、处理、堆集和保存期间，根据废物种类使用废物容器、使用</w:t>
            </w:r>
            <w:r>
              <w:rPr>
                <w:rFonts w:hint="eastAsia"/>
                <w:b w:val="0"/>
                <w:bCs w:val="0"/>
                <w:color w:val="auto"/>
                <w:sz w:val="24"/>
                <w:highlight w:val="none"/>
                <w:lang w:eastAsia="zh-CN"/>
              </w:rPr>
              <w:t>“</w:t>
            </w:r>
            <w:r>
              <w:rPr>
                <w:rFonts w:hint="default"/>
                <w:b w:val="0"/>
                <w:bCs w:val="0"/>
                <w:color w:val="auto"/>
                <w:sz w:val="24"/>
                <w:highlight w:val="none"/>
              </w:rPr>
              <w:t>有害废物</w:t>
            </w:r>
            <w:r>
              <w:rPr>
                <w:rFonts w:hint="eastAsia"/>
                <w:b w:val="0"/>
                <w:bCs w:val="0"/>
                <w:color w:val="auto"/>
                <w:sz w:val="24"/>
                <w:highlight w:val="none"/>
                <w:lang w:eastAsia="zh-CN"/>
              </w:rPr>
              <w:t>”</w:t>
            </w:r>
            <w:r>
              <w:rPr>
                <w:rFonts w:hint="default"/>
                <w:b w:val="0"/>
                <w:bCs w:val="0"/>
                <w:color w:val="auto"/>
                <w:sz w:val="24"/>
                <w:highlight w:val="none"/>
              </w:rPr>
              <w:t>的标签或标记、在任何时候都确保废物容器的密闭性。采用有皱的包装材料包装易碎的玻璃和塑料制品，在包装中同时加入吸附性材料。</w:t>
            </w:r>
          </w:p>
          <w:p w14:paraId="79C979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jc w:val="left"/>
              <w:textAlignment w:val="auto"/>
              <w:rPr>
                <w:rFonts w:hint="default"/>
                <w:b w:val="0"/>
                <w:bCs w:val="0"/>
                <w:color w:val="auto"/>
                <w:sz w:val="24"/>
                <w:highlight w:val="none"/>
              </w:rPr>
            </w:pPr>
            <w:r>
              <w:rPr>
                <w:rFonts w:hint="default"/>
                <w:b/>
                <w:bCs/>
                <w:color w:val="auto"/>
                <w:sz w:val="24"/>
                <w:highlight w:val="none"/>
              </w:rPr>
              <w:t>（</w:t>
            </w:r>
            <w:r>
              <w:rPr>
                <w:rFonts w:hint="eastAsia"/>
                <w:b/>
                <w:bCs/>
                <w:color w:val="auto"/>
                <w:sz w:val="24"/>
                <w:highlight w:val="none"/>
                <w:lang w:val="en-US" w:eastAsia="zh-CN"/>
              </w:rPr>
              <w:t>7</w:t>
            </w:r>
            <w:r>
              <w:rPr>
                <w:rFonts w:hint="default"/>
                <w:b/>
                <w:bCs/>
                <w:color w:val="auto"/>
                <w:sz w:val="24"/>
                <w:highlight w:val="none"/>
              </w:rPr>
              <w:t>）实验室废物贮存和运送</w:t>
            </w:r>
          </w:p>
          <w:p w14:paraId="09AB7B6A">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该项目应当建立危险废物暂时贮存设施、设备，不得露天存放，实验室废物应得到及时、有效地处理，存有实验室废</w:t>
            </w:r>
            <w:r>
              <w:rPr>
                <w:rFonts w:hint="eastAsia"/>
                <w:b w:val="0"/>
                <w:bCs w:val="0"/>
                <w:color w:val="auto"/>
                <w:sz w:val="24"/>
                <w:highlight w:val="none"/>
                <w:lang w:eastAsia="zh-CN"/>
              </w:rPr>
              <w:t>物和</w:t>
            </w:r>
            <w:r>
              <w:rPr>
                <w:rFonts w:hint="default"/>
                <w:b w:val="0"/>
                <w:bCs w:val="0"/>
                <w:color w:val="auto"/>
                <w:sz w:val="24"/>
                <w:highlight w:val="none"/>
              </w:rPr>
              <w:t>危险废物暂时贮存设施、设备应当达到以下要求：</w:t>
            </w:r>
          </w:p>
          <w:p w14:paraId="2E709B34">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①远离人员活动区、办公区和生活垃圾存放场所，方便实验室废物运送人员及运送工具、车辆的出入；</w:t>
            </w:r>
          </w:p>
          <w:p w14:paraId="6BD73BB9">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②有严密的封闭措施，设专（兼）职人员管理，防止非工作人员接触废物；</w:t>
            </w:r>
          </w:p>
          <w:p w14:paraId="73139207">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③有防鼠、防蚊蝇、防蟑螂的安全措施；防止渗漏和雨水冲刷；易于清洁和消毒；避免阳光直射；</w:t>
            </w:r>
          </w:p>
          <w:p w14:paraId="3CFDE47F">
            <w:pPr>
              <w:keepNext w:val="0"/>
              <w:keepLines w:val="0"/>
              <w:suppressLineNumbers w:val="0"/>
              <w:snapToGrid w:val="0"/>
              <w:spacing w:before="0" w:beforeAutospacing="0" w:after="0" w:afterAutospacing="0" w:line="360" w:lineRule="auto"/>
              <w:ind w:left="0" w:right="0" w:firstLine="480" w:firstLineChars="200"/>
              <w:rPr>
                <w:rFonts w:hint="default"/>
                <w:b w:val="0"/>
                <w:bCs w:val="0"/>
                <w:color w:val="auto"/>
                <w:sz w:val="24"/>
                <w:highlight w:val="none"/>
              </w:rPr>
            </w:pPr>
            <w:r>
              <w:rPr>
                <w:rFonts w:hint="default"/>
                <w:b w:val="0"/>
                <w:bCs w:val="0"/>
                <w:color w:val="auto"/>
                <w:sz w:val="24"/>
                <w:highlight w:val="none"/>
              </w:rPr>
              <w:t>④设有明显的有害废物警示标识和</w:t>
            </w:r>
            <w:r>
              <w:rPr>
                <w:rFonts w:hint="eastAsia"/>
                <w:b w:val="0"/>
                <w:bCs w:val="0"/>
                <w:color w:val="auto"/>
                <w:sz w:val="24"/>
                <w:highlight w:val="none"/>
                <w:lang w:eastAsia="zh-CN"/>
              </w:rPr>
              <w:t>“</w:t>
            </w:r>
            <w:r>
              <w:rPr>
                <w:rFonts w:hint="default"/>
                <w:b w:val="0"/>
                <w:bCs w:val="0"/>
                <w:color w:val="auto"/>
                <w:sz w:val="24"/>
                <w:highlight w:val="none"/>
              </w:rPr>
              <w:t>禁止吸烟、饮食</w:t>
            </w:r>
            <w:r>
              <w:rPr>
                <w:rFonts w:hint="eastAsia"/>
                <w:b w:val="0"/>
                <w:bCs w:val="0"/>
                <w:color w:val="auto"/>
                <w:sz w:val="24"/>
                <w:highlight w:val="none"/>
                <w:lang w:eastAsia="zh-CN"/>
              </w:rPr>
              <w:t>”</w:t>
            </w:r>
            <w:r>
              <w:rPr>
                <w:rFonts w:hint="default"/>
                <w:b w:val="0"/>
                <w:bCs w:val="0"/>
                <w:color w:val="auto"/>
                <w:sz w:val="24"/>
                <w:highlight w:val="none"/>
              </w:rPr>
              <w:t>的警示标识。</w:t>
            </w:r>
          </w:p>
          <w:p w14:paraId="3CED9ED3">
            <w:pPr>
              <w:keepNext w:val="0"/>
              <w:keepLines w:val="0"/>
              <w:suppressLineNumbers w:val="0"/>
              <w:snapToGrid w:val="0"/>
              <w:spacing w:before="0" w:beforeAutospacing="0" w:after="0" w:afterAutospacing="0" w:line="360" w:lineRule="auto"/>
              <w:ind w:left="0" w:right="0" w:firstLine="482" w:firstLineChars="200"/>
              <w:rPr>
                <w:rFonts w:hint="default"/>
                <w:color w:val="auto"/>
                <w:sz w:val="24"/>
                <w:highlight w:val="none"/>
              </w:rPr>
            </w:pPr>
            <w:r>
              <w:rPr>
                <w:rFonts w:hint="default"/>
                <w:b/>
                <w:bCs/>
                <w:color w:val="auto"/>
                <w:sz w:val="24"/>
                <w:highlight w:val="none"/>
              </w:rPr>
              <w:t>（</w:t>
            </w:r>
            <w:r>
              <w:rPr>
                <w:rFonts w:hint="eastAsia"/>
                <w:b/>
                <w:bCs/>
                <w:color w:val="auto"/>
                <w:sz w:val="24"/>
                <w:highlight w:val="none"/>
                <w:lang w:val="en-US" w:eastAsia="zh-CN"/>
              </w:rPr>
              <w:t>8</w:t>
            </w:r>
            <w:r>
              <w:rPr>
                <w:rFonts w:hint="default"/>
                <w:b/>
                <w:bCs/>
                <w:color w:val="auto"/>
                <w:sz w:val="24"/>
                <w:highlight w:val="none"/>
              </w:rPr>
              <w:t>）环境管理要求：</w:t>
            </w:r>
          </w:p>
          <w:p w14:paraId="3C47BADF">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针对本项目正常运行阶段所产生的危险废物的日常管理提出要求：</w:t>
            </w:r>
          </w:p>
          <w:p w14:paraId="4E338001">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1）履行申报登记制度；</w:t>
            </w:r>
          </w:p>
          <w:p w14:paraId="00F64B9D">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2）建立台账管理制度，企业须做好危险废物情况的记录，记录上需注明危险废物的名称、来源、数量、特性和包装容器的类别；</w:t>
            </w:r>
          </w:p>
          <w:p w14:paraId="7BDED4BB">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3）委托处置应执行报批和转移联单等制度；</w:t>
            </w:r>
          </w:p>
          <w:p w14:paraId="59C67A15">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4）定期对暂存的危险废物包装容器及贮存设施进行检查，及早发现破损，及时采取措施清理更换；</w:t>
            </w:r>
          </w:p>
          <w:p w14:paraId="72175FA0">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5）直接从事收集、贮存、运输、利用、处置危险废物的人员，应当接受专业培训，经考核合格，方可从事该项工作。</w:t>
            </w:r>
          </w:p>
          <w:p w14:paraId="472A295A">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6）固废贮存（处置）场所规范化设置，固体废物贮存</w:t>
            </w:r>
            <w:r>
              <w:rPr>
                <w:rFonts w:hint="eastAsia"/>
                <w:color w:val="auto"/>
                <w:highlight w:val="none"/>
                <w:lang w:eastAsia="zh-CN"/>
              </w:rPr>
              <w:t>（</w:t>
            </w:r>
            <w:r>
              <w:rPr>
                <w:rFonts w:hint="default"/>
                <w:color w:val="auto"/>
                <w:highlight w:val="none"/>
              </w:rPr>
              <w:t>处置</w:t>
            </w:r>
            <w:r>
              <w:rPr>
                <w:rFonts w:hint="eastAsia"/>
                <w:color w:val="auto"/>
                <w:highlight w:val="none"/>
                <w:lang w:eastAsia="zh-CN"/>
              </w:rPr>
              <w:t>）</w:t>
            </w:r>
            <w:r>
              <w:rPr>
                <w:rFonts w:hint="default"/>
                <w:color w:val="auto"/>
                <w:highlight w:val="none"/>
              </w:rPr>
              <w:t>场所应在醒目处设置标志牌。</w:t>
            </w:r>
          </w:p>
          <w:p w14:paraId="6D426D42">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7）危废应根据其化学特性选择合适的容器和存放地点，通过密闭容器存放，不可混合贮存，容器标签必须标明废物种类、贮存时间，定期处理。</w:t>
            </w:r>
          </w:p>
          <w:p w14:paraId="5753F80C">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8）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4FC2C44F">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项目强化废物产生、收集、贮运各环节的管理，厂区内固废分类收集暂存，分类进行有效处置。危险废物收集在厂内危险废物暂存库内，避免危险废物在厂区内散失、渗漏。做好固体废物在厂区内的收集和贮存相关防护工作，收集后进行有效处置。建设单位应建立完善的规章制度，以降低固体废物散落对周围环境的影响，固废经妥善处理、处置后，可以实现零排放，对周围环境及人体不会造成影响，亦不会对环境产生二次污染，所采取的治理措施是可行的。</w:t>
            </w:r>
          </w:p>
          <w:p w14:paraId="22733E1B">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建设项目强化废物产生、收集、贮运各环节的管理，杜绝固废在厂区内的散失、渗漏。做好固体废物在厂区内的收集和储存相关防护工作，收集后进行有效处置。建立完善的规章制度，以降低固体废物散落对周围环境的影响。</w:t>
            </w:r>
          </w:p>
          <w:p w14:paraId="51173C97">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综上所述，经采取上述措施后，本项目固废均可得到有效处置，处置率100%，符合环保要求，不会对周围环境造成不良影响。</w:t>
            </w:r>
          </w:p>
          <w:p w14:paraId="15E411A9">
            <w:pPr>
              <w:keepNext w:val="0"/>
              <w:keepLines w:val="0"/>
              <w:suppressLineNumbers w:val="0"/>
              <w:bidi w:val="0"/>
              <w:spacing w:before="0" w:beforeAutospacing="0" w:after="0" w:afterAutospacing="0"/>
              <w:ind w:left="0" w:right="0"/>
              <w:rPr>
                <w:rFonts w:hint="default" w:eastAsia="宋体"/>
                <w:b/>
                <w:bCs/>
                <w:color w:val="auto"/>
                <w:highlight w:val="none"/>
                <w:lang w:val="en-US" w:eastAsia="zh-CN"/>
              </w:rPr>
            </w:pPr>
            <w:r>
              <w:rPr>
                <w:rFonts w:hint="eastAsia"/>
                <w:b/>
                <w:bCs/>
                <w:color w:val="auto"/>
                <w:highlight w:val="none"/>
                <w:lang w:val="en-US" w:eastAsia="zh-CN"/>
              </w:rPr>
              <w:t>5</w:t>
            </w:r>
            <w:r>
              <w:rPr>
                <w:rFonts w:hint="default"/>
                <w:b/>
                <w:bCs/>
                <w:color w:val="auto"/>
                <w:highlight w:val="none"/>
              </w:rPr>
              <w:t>、土壤、地下水</w:t>
            </w:r>
            <w:r>
              <w:rPr>
                <w:rFonts w:hint="eastAsia"/>
                <w:b/>
                <w:bCs/>
                <w:color w:val="auto"/>
                <w:highlight w:val="none"/>
                <w:lang w:val="en-US" w:eastAsia="zh-CN"/>
              </w:rPr>
              <w:t>环境影响分析</w:t>
            </w:r>
          </w:p>
          <w:p w14:paraId="593D1AD1">
            <w:pPr>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1）影响分析</w:t>
            </w:r>
          </w:p>
          <w:p w14:paraId="2A2ED593">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本项目建设完整的</w:t>
            </w:r>
            <w:r>
              <w:rPr>
                <w:rFonts w:hint="eastAsia"/>
                <w:color w:val="auto"/>
                <w:highlight w:val="none"/>
                <w:lang w:eastAsia="zh-CN"/>
              </w:rPr>
              <w:t>“</w:t>
            </w:r>
            <w:r>
              <w:rPr>
                <w:rFonts w:hint="default"/>
                <w:color w:val="auto"/>
                <w:highlight w:val="none"/>
              </w:rPr>
              <w:t>雨污分流、清污分流</w:t>
            </w:r>
            <w:r>
              <w:rPr>
                <w:rFonts w:hint="eastAsia"/>
                <w:color w:val="auto"/>
                <w:highlight w:val="none"/>
                <w:lang w:eastAsia="zh-CN"/>
              </w:rPr>
              <w:t>”</w:t>
            </w:r>
            <w:r>
              <w:rPr>
                <w:rFonts w:hint="default"/>
                <w:color w:val="auto"/>
                <w:highlight w:val="none"/>
              </w:rPr>
              <w:t>排水系统，雨水排入雨水管网。生活污水经</w:t>
            </w:r>
            <w:r>
              <w:rPr>
                <w:rFonts w:hint="eastAsia"/>
                <w:color w:val="auto"/>
                <w:highlight w:val="none"/>
                <w:lang w:val="en-US" w:eastAsia="zh-CN"/>
              </w:rPr>
              <w:t>租赁园区现有</w:t>
            </w:r>
            <w:r>
              <w:rPr>
                <w:rFonts w:hint="default"/>
                <w:color w:val="auto"/>
                <w:highlight w:val="none"/>
              </w:rPr>
              <w:t>化粪池</w:t>
            </w:r>
            <w:r>
              <w:rPr>
                <w:rFonts w:hint="default"/>
                <w:color w:val="auto"/>
                <w:highlight w:val="none"/>
                <w:lang w:eastAsia="zh-CN"/>
              </w:rPr>
              <w:t>预处理接管</w:t>
            </w:r>
            <w:r>
              <w:rPr>
                <w:rFonts w:hint="eastAsia"/>
                <w:color w:val="auto"/>
                <w:highlight w:val="none"/>
                <w:lang w:val="en-US" w:eastAsia="zh-CN"/>
              </w:rPr>
              <w:t>山南新区污水处理厂</w:t>
            </w:r>
            <w:r>
              <w:rPr>
                <w:rFonts w:hint="default"/>
                <w:color w:val="auto"/>
                <w:highlight w:val="none"/>
              </w:rPr>
              <w:t>。</w:t>
            </w:r>
          </w:p>
          <w:p w14:paraId="011584FD">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本项目</w:t>
            </w:r>
            <w:r>
              <w:rPr>
                <w:rFonts w:hint="eastAsia"/>
                <w:color w:val="auto"/>
                <w:highlight w:val="none"/>
                <w:lang w:val="en-US" w:eastAsia="zh-CN"/>
              </w:rPr>
              <w:t>实验区位于办公楼三楼，不存在</w:t>
            </w:r>
            <w:r>
              <w:rPr>
                <w:rFonts w:hint="default"/>
                <w:color w:val="auto"/>
                <w:highlight w:val="none"/>
              </w:rPr>
              <w:t>土壤和地下水</w:t>
            </w:r>
            <w:r>
              <w:rPr>
                <w:rFonts w:hint="eastAsia"/>
                <w:color w:val="auto"/>
                <w:highlight w:val="none"/>
                <w:lang w:val="en-US" w:eastAsia="zh-CN"/>
              </w:rPr>
              <w:t>垂直入渗</w:t>
            </w:r>
            <w:r>
              <w:rPr>
                <w:rFonts w:hint="default"/>
                <w:color w:val="auto"/>
                <w:highlight w:val="none"/>
              </w:rPr>
              <w:t>污染的</w:t>
            </w:r>
            <w:r>
              <w:rPr>
                <w:rFonts w:hint="eastAsia"/>
                <w:color w:val="auto"/>
                <w:highlight w:val="none"/>
                <w:lang w:val="en-US" w:eastAsia="zh-CN"/>
              </w:rPr>
              <w:t>途径，办公楼内地面均采取硬化措施，实验环节均位于“可视化”实验区内，各类试剂、危废等均按照规范合理存放。一楼设置危废间按照规范要求设置，满足防渗要求。因此本项目的建设运营对地下水和土壤的影响极小，基本不存在影响。</w:t>
            </w:r>
          </w:p>
          <w:p w14:paraId="2D408AE1">
            <w:pPr>
              <w:keepNext w:val="0"/>
              <w:keepLines w:val="0"/>
              <w:suppressLineNumbers w:val="0"/>
              <w:spacing w:before="0" w:beforeAutospacing="0" w:after="0" w:afterAutospacing="0"/>
              <w:ind w:left="0" w:right="0" w:firstLine="482"/>
              <w:rPr>
                <w:rFonts w:hint="default"/>
                <w:b/>
                <w:color w:val="auto"/>
                <w:sz w:val="24"/>
                <w:szCs w:val="24"/>
                <w:highlight w:val="none"/>
                <w:lang w:eastAsia="zh-CN"/>
              </w:rPr>
            </w:pPr>
            <w:r>
              <w:rPr>
                <w:rFonts w:hint="eastAsia"/>
                <w:b/>
                <w:color w:val="auto"/>
                <w:sz w:val="24"/>
                <w:szCs w:val="24"/>
                <w:highlight w:val="none"/>
                <w:lang w:val="en-US" w:eastAsia="zh-CN"/>
              </w:rPr>
              <w:t>2</w:t>
            </w:r>
            <w:r>
              <w:rPr>
                <w:rFonts w:hint="default"/>
                <w:b/>
                <w:color w:val="auto"/>
                <w:sz w:val="24"/>
                <w:szCs w:val="24"/>
                <w:highlight w:val="none"/>
              </w:rPr>
              <w:t>）日常检查工作</w:t>
            </w:r>
          </w:p>
          <w:p w14:paraId="225F08C1">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定期检查项目污水管道的完好性，防止污水跑、冒、滴、漏，发现</w:t>
            </w:r>
            <w:r>
              <w:rPr>
                <w:rFonts w:hint="eastAsia"/>
                <w:color w:val="auto"/>
                <w:highlight w:val="none"/>
                <w:lang w:val="en-US" w:eastAsia="zh-CN"/>
              </w:rPr>
              <w:t>泄漏</w:t>
            </w:r>
            <w:r>
              <w:rPr>
                <w:rFonts w:hint="default"/>
                <w:color w:val="auto"/>
                <w:highlight w:val="none"/>
                <w:lang w:val="en-US" w:eastAsia="zh-CN"/>
              </w:rPr>
              <w:t>时应及时维修。</w:t>
            </w:r>
            <w:r>
              <w:rPr>
                <w:rFonts w:hint="eastAsia"/>
                <w:color w:val="auto"/>
                <w:highlight w:val="none"/>
                <w:lang w:val="en-US" w:eastAsia="zh-CN"/>
              </w:rPr>
              <w:t>一般固废暂存于一般固废间，杜绝露天堆放，安排专职人员进行日常检查。危废妥善暂存于规范危废暂存间内，做好台账记录</w:t>
            </w:r>
            <w:r>
              <w:rPr>
                <w:rFonts w:hint="default"/>
                <w:color w:val="auto"/>
                <w:highlight w:val="none"/>
                <w:lang w:val="en-US" w:eastAsia="zh-CN"/>
              </w:rPr>
              <w:t>。</w:t>
            </w:r>
            <w:r>
              <w:rPr>
                <w:rFonts w:hint="default"/>
                <w:color w:val="auto"/>
                <w:highlight w:val="none"/>
              </w:rPr>
              <w:t>建设项目强化废物产生、收集、贮运各环节的管理，杜绝固废在厂区内的散失、渗漏。</w:t>
            </w:r>
          </w:p>
          <w:p w14:paraId="38930844">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采取上述措施后，本项目营运期不会对地下水</w:t>
            </w:r>
            <w:r>
              <w:rPr>
                <w:rFonts w:hint="eastAsia"/>
                <w:color w:val="auto"/>
                <w:highlight w:val="none"/>
                <w:lang w:val="en-US" w:eastAsia="zh-CN"/>
              </w:rPr>
              <w:t>、土壤</w:t>
            </w:r>
            <w:r>
              <w:rPr>
                <w:rFonts w:hint="default"/>
                <w:color w:val="auto"/>
                <w:highlight w:val="none"/>
                <w:lang w:val="en-US" w:eastAsia="zh-CN"/>
              </w:rPr>
              <w:t>造成污染影响。</w:t>
            </w:r>
          </w:p>
          <w:p w14:paraId="29D16EDC">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6</w:t>
            </w:r>
            <w:r>
              <w:rPr>
                <w:rFonts w:hint="default"/>
                <w:b/>
                <w:bCs/>
                <w:color w:val="auto"/>
                <w:sz w:val="24"/>
                <w:highlight w:val="none"/>
              </w:rPr>
              <w:t>、环境风险分析</w:t>
            </w:r>
          </w:p>
          <w:p w14:paraId="35FF81A5">
            <w:pPr>
              <w:keepNext w:val="0"/>
              <w:keepLines w:val="0"/>
              <w:suppressLineNumbers w:val="0"/>
              <w:spacing w:before="0" w:beforeAutospacing="0" w:after="0" w:afterAutospacing="0"/>
              <w:ind w:left="0" w:right="0" w:firstLine="480"/>
              <w:rPr>
                <w:rFonts w:hint="default"/>
                <w:b/>
                <w:bCs w:val="0"/>
                <w:color w:val="auto"/>
                <w:sz w:val="24"/>
                <w:szCs w:val="24"/>
                <w:highlight w:val="none"/>
                <w:lang w:val="en-US" w:eastAsia="zh-CN"/>
              </w:rPr>
            </w:pPr>
            <w:r>
              <w:rPr>
                <w:rFonts w:hint="eastAsia"/>
                <w:b/>
                <w:bCs w:val="0"/>
                <w:color w:val="auto"/>
                <w:sz w:val="24"/>
                <w:szCs w:val="24"/>
                <w:highlight w:val="none"/>
                <w:lang w:val="en-US" w:eastAsia="zh-CN"/>
              </w:rPr>
              <w:t>（1）物质危险性识别</w:t>
            </w:r>
          </w:p>
          <w:p w14:paraId="534D91AA">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根据风险导则识别有毒有害和易燃易爆危险物质，通过对全厂涉及的原料、辅料、产品及废物等物质进行调查，涉及的危险物质主要有：盐酸、硫酸、硝酸、磷酸、乙酸、乙醇、氨水、丙酮、硫酸汞、碘化汞等。主要分布在实验室、试剂室内，这些物质在运输、储存、使用过程中具有一定的环境风险。</w:t>
            </w:r>
          </w:p>
          <w:p w14:paraId="004C8DEF">
            <w:pPr>
              <w:keepNext w:val="0"/>
              <w:keepLines w:val="0"/>
              <w:suppressLineNumbers w:val="0"/>
              <w:spacing w:before="0" w:beforeAutospacing="0" w:after="0" w:afterAutospacing="0"/>
              <w:ind w:left="0" w:right="0" w:firstLine="480"/>
              <w:rPr>
                <w:rFonts w:hint="default"/>
                <w:b/>
                <w:bCs w:val="0"/>
                <w:color w:val="auto"/>
                <w:sz w:val="24"/>
                <w:szCs w:val="24"/>
                <w:highlight w:val="none"/>
                <w:lang w:val="en-US" w:eastAsia="zh-CN"/>
              </w:rPr>
            </w:pPr>
            <w:r>
              <w:rPr>
                <w:rFonts w:hint="eastAsia"/>
                <w:b/>
                <w:bCs w:val="0"/>
                <w:color w:val="auto"/>
                <w:sz w:val="24"/>
                <w:szCs w:val="24"/>
                <w:highlight w:val="none"/>
                <w:lang w:val="en-US" w:eastAsia="zh-CN"/>
              </w:rPr>
              <w:t>（2）生产系统危险性识别</w:t>
            </w:r>
          </w:p>
          <w:p w14:paraId="76E2D87E">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本项目涉及危险物质的危险单元主要为实验区、危废间等。</w:t>
            </w:r>
            <w:r>
              <w:rPr>
                <w:rFonts w:hint="default"/>
                <w:color w:val="auto"/>
                <w:highlight w:val="none"/>
                <w:lang w:val="en-US" w:eastAsia="zh-CN"/>
              </w:rPr>
              <w:t>根据《建设项目环境风险评价技术导则》（HJ/T169－2018）附录</w:t>
            </w:r>
            <w:r>
              <w:rPr>
                <w:rFonts w:hint="eastAsia"/>
                <w:color w:val="auto"/>
                <w:highlight w:val="none"/>
                <w:lang w:val="en-US" w:eastAsia="zh-CN"/>
              </w:rPr>
              <w:t>C</w:t>
            </w:r>
            <w:r>
              <w:rPr>
                <w:rFonts w:hint="default"/>
                <w:color w:val="auto"/>
                <w:highlight w:val="none"/>
                <w:lang w:val="en-US" w:eastAsia="zh-CN"/>
              </w:rPr>
              <w:t>，Q按下式进行计算：</w:t>
            </w:r>
          </w:p>
          <w:p w14:paraId="10FB228F">
            <w:pPr>
              <w:keepNext w:val="0"/>
              <w:keepLines w:val="0"/>
              <w:suppressLineNumbers w:val="0"/>
              <w:adjustRightInd w:val="0"/>
              <w:snapToGrid w:val="0"/>
              <w:spacing w:before="24" w:beforeAutospacing="0" w:after="24" w:afterAutospacing="0"/>
              <w:ind w:left="0" w:leftChars="0" w:right="0" w:firstLine="0" w:firstLineChars="0"/>
              <w:jc w:val="center"/>
              <w:rPr>
                <w:rFonts w:hint="default"/>
                <w:color w:val="auto"/>
                <w:sz w:val="24"/>
                <w:highlight w:val="none"/>
              </w:rPr>
            </w:pPr>
            <w:r>
              <w:rPr>
                <w:rFonts w:hint="default"/>
                <w:color w:val="auto"/>
                <w:sz w:val="24"/>
                <w:highlight w:val="none"/>
              </w:rPr>
              <w:drawing>
                <wp:inline distT="0" distB="0" distL="114300" distR="114300">
                  <wp:extent cx="1891665" cy="471170"/>
                  <wp:effectExtent l="0" t="0" r="13335" b="508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6"/>
                          <a:stretch>
                            <a:fillRect/>
                          </a:stretch>
                        </pic:blipFill>
                        <pic:spPr>
                          <a:xfrm>
                            <a:off x="0" y="0"/>
                            <a:ext cx="1891665" cy="471170"/>
                          </a:xfrm>
                          <a:prstGeom prst="rect">
                            <a:avLst/>
                          </a:prstGeom>
                          <a:noFill/>
                          <a:ln>
                            <a:noFill/>
                          </a:ln>
                        </pic:spPr>
                      </pic:pic>
                    </a:graphicData>
                  </a:graphic>
                </wp:inline>
              </w:drawing>
            </w:r>
          </w:p>
          <w:p w14:paraId="240DD907">
            <w:pPr>
              <w:keepNext w:val="0"/>
              <w:keepLines w:val="0"/>
              <w:suppressLineNumbers w:val="0"/>
              <w:spacing w:before="0" w:beforeAutospacing="0" w:after="0" w:afterAutospacing="0"/>
              <w:ind w:left="0" w:right="0" w:firstLine="480"/>
              <w:rPr>
                <w:rFonts w:hint="default"/>
                <w:bCs/>
                <w:color w:val="auto"/>
                <w:sz w:val="24"/>
                <w:szCs w:val="24"/>
                <w:highlight w:val="none"/>
                <w:lang w:val="en-US" w:eastAsia="zh-CN"/>
              </w:rPr>
            </w:pPr>
            <w:r>
              <w:rPr>
                <w:rFonts w:hint="default"/>
                <w:bCs/>
                <w:color w:val="auto"/>
                <w:sz w:val="24"/>
                <w:szCs w:val="24"/>
                <w:highlight w:val="none"/>
                <w:lang w:val="en-US" w:eastAsia="zh-CN"/>
              </w:rPr>
              <w:t>式中：q1，q2……qn—每种危险物质的最大存在量，t；</w:t>
            </w:r>
          </w:p>
          <w:p w14:paraId="4C98550B">
            <w:pPr>
              <w:keepNext w:val="0"/>
              <w:keepLines w:val="0"/>
              <w:suppressLineNumbers w:val="0"/>
              <w:spacing w:before="0" w:beforeAutospacing="0" w:after="0" w:afterAutospacing="0"/>
              <w:ind w:left="0" w:right="0" w:firstLine="480"/>
              <w:rPr>
                <w:rFonts w:hint="default"/>
                <w:bCs/>
                <w:color w:val="auto"/>
                <w:sz w:val="24"/>
                <w:szCs w:val="24"/>
                <w:highlight w:val="none"/>
                <w:lang w:val="en-US" w:eastAsia="zh-CN"/>
              </w:rPr>
            </w:pPr>
            <w:r>
              <w:rPr>
                <w:rFonts w:hint="default"/>
                <w:bCs/>
                <w:color w:val="auto"/>
                <w:sz w:val="24"/>
                <w:szCs w:val="24"/>
                <w:highlight w:val="none"/>
                <w:lang w:val="en-US" w:eastAsia="zh-CN"/>
              </w:rPr>
              <w:t>Q1，Q2…Qn—每种危险物质的临界量，t。</w:t>
            </w:r>
          </w:p>
          <w:p w14:paraId="39FF133B">
            <w:pPr>
              <w:keepNext w:val="0"/>
              <w:keepLines w:val="0"/>
              <w:suppressLineNumbers w:val="0"/>
              <w:spacing w:before="0" w:beforeAutospacing="0" w:after="0" w:afterAutospacing="0"/>
              <w:ind w:left="0" w:right="0" w:firstLine="480"/>
              <w:rPr>
                <w:rFonts w:hint="default"/>
                <w:bCs/>
                <w:color w:val="auto"/>
                <w:sz w:val="24"/>
                <w:szCs w:val="24"/>
                <w:highlight w:val="none"/>
                <w:lang w:val="en-US" w:eastAsia="zh-CN"/>
              </w:rPr>
            </w:pPr>
            <w:r>
              <w:rPr>
                <w:rFonts w:hint="default"/>
                <w:bCs/>
                <w:color w:val="auto"/>
                <w:sz w:val="24"/>
                <w:szCs w:val="24"/>
                <w:highlight w:val="none"/>
                <w:lang w:val="en-US" w:eastAsia="zh-CN"/>
              </w:rPr>
              <w:t>当Q＜1时，该项目环境风险潜势为I。</w:t>
            </w:r>
          </w:p>
          <w:p w14:paraId="588F1BD9">
            <w:pPr>
              <w:keepNext w:val="0"/>
              <w:keepLines w:val="0"/>
              <w:suppressLineNumbers w:val="0"/>
              <w:spacing w:before="0" w:beforeAutospacing="0" w:after="0" w:afterAutospacing="0"/>
              <w:ind w:left="0" w:right="0" w:firstLine="480"/>
              <w:rPr>
                <w:rFonts w:hint="default"/>
                <w:bCs/>
                <w:color w:val="auto"/>
                <w:sz w:val="24"/>
                <w:szCs w:val="24"/>
                <w:highlight w:val="none"/>
                <w:lang w:val="en-US" w:eastAsia="zh-CN"/>
              </w:rPr>
            </w:pPr>
            <w:r>
              <w:rPr>
                <w:rFonts w:hint="default"/>
                <w:bCs/>
                <w:color w:val="auto"/>
                <w:sz w:val="24"/>
                <w:szCs w:val="24"/>
                <w:highlight w:val="none"/>
                <w:lang w:val="en-US" w:eastAsia="zh-CN"/>
              </w:rPr>
              <w:t>当Q≥1时，将Q值划分为：（1）1≤Q＜10；（2）10≤Q＜100；（3）Q≥100。</w:t>
            </w:r>
          </w:p>
          <w:p w14:paraId="579874DB">
            <w:pPr>
              <w:keepNext w:val="0"/>
              <w:keepLines w:val="0"/>
              <w:suppressLineNumbers w:val="0"/>
              <w:spacing w:before="0" w:beforeAutospacing="0" w:after="0" w:afterAutospacing="0"/>
              <w:ind w:left="0" w:right="0" w:firstLine="480"/>
              <w:rPr>
                <w:rFonts w:hint="default"/>
                <w:bCs/>
                <w:color w:val="auto"/>
                <w:sz w:val="24"/>
                <w:szCs w:val="24"/>
                <w:highlight w:val="none"/>
                <w:lang w:val="en-US" w:eastAsia="zh-CN"/>
              </w:rPr>
            </w:pPr>
            <w:r>
              <w:rPr>
                <w:rFonts w:hint="default"/>
                <w:bCs/>
                <w:color w:val="auto"/>
                <w:sz w:val="24"/>
                <w:szCs w:val="24"/>
                <w:highlight w:val="none"/>
                <w:lang w:val="en-US" w:eastAsia="zh-CN"/>
              </w:rPr>
              <w:t>计算结果如下表所示：</w:t>
            </w:r>
          </w:p>
          <w:p w14:paraId="4896A4CE">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表4-</w:t>
            </w:r>
            <w:r>
              <w:rPr>
                <w:rFonts w:hint="eastAsia"/>
                <w:color w:val="auto"/>
                <w:highlight w:val="none"/>
                <w:lang w:val="en-US" w:eastAsia="zh-CN"/>
              </w:rPr>
              <w:t xml:space="preserve">13 </w:t>
            </w:r>
            <w:r>
              <w:rPr>
                <w:rFonts w:hint="default"/>
                <w:color w:val="auto"/>
                <w:highlight w:val="none"/>
              </w:rPr>
              <w:t xml:space="preserve"> </w:t>
            </w:r>
            <w:r>
              <w:rPr>
                <w:rFonts w:hint="eastAsia"/>
                <w:color w:val="auto"/>
                <w:highlight w:val="none"/>
              </w:rPr>
              <w:t>危险物质Q值</w:t>
            </w:r>
            <w:r>
              <w:rPr>
                <w:rFonts w:hint="default"/>
                <w:color w:val="auto"/>
                <w:highlight w:val="none"/>
              </w:rPr>
              <w:t>计算一览表</w:t>
            </w:r>
          </w:p>
          <w:tbl>
            <w:tblPr>
              <w:tblStyle w:val="18"/>
              <w:tblW w:w="8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824"/>
              <w:gridCol w:w="1572"/>
              <w:gridCol w:w="1987"/>
              <w:gridCol w:w="1139"/>
            </w:tblGrid>
            <w:tr w14:paraId="0347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066" w:type="pct"/>
                  <w:noWrap w:val="0"/>
                  <w:vAlign w:val="center"/>
                </w:tcPr>
                <w:p w14:paraId="5C397FC2">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类别</w:t>
                  </w:r>
                </w:p>
              </w:tc>
              <w:tc>
                <w:tcPr>
                  <w:tcW w:w="1100" w:type="pct"/>
                  <w:noWrap w:val="0"/>
                  <w:vAlign w:val="center"/>
                </w:tcPr>
                <w:p w14:paraId="1A6EBD04">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物质</w:t>
                  </w:r>
                </w:p>
              </w:tc>
              <w:tc>
                <w:tcPr>
                  <w:tcW w:w="948" w:type="pct"/>
                  <w:noWrap w:val="0"/>
                  <w:vAlign w:val="center"/>
                </w:tcPr>
                <w:p w14:paraId="19309E7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CAS</w:t>
                  </w:r>
                </w:p>
              </w:tc>
              <w:tc>
                <w:tcPr>
                  <w:tcW w:w="1196" w:type="pct"/>
                  <w:noWrap w:val="0"/>
                  <w:vAlign w:val="center"/>
                </w:tcPr>
                <w:p w14:paraId="48561BA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数量</w:t>
                  </w:r>
                  <w:r>
                    <w:rPr>
                      <w:rFonts w:hint="default" w:ascii="Times New Roman" w:hAnsi="Times New Roman" w:cs="Times New Roman"/>
                      <w:color w:val="auto"/>
                      <w:kern w:val="0"/>
                      <w:sz w:val="21"/>
                      <w:szCs w:val="21"/>
                      <w:highlight w:val="none"/>
                    </w:rPr>
                    <w:t>t</w:t>
                  </w:r>
                </w:p>
              </w:tc>
              <w:tc>
                <w:tcPr>
                  <w:tcW w:w="687" w:type="pct"/>
                  <w:noWrap w:val="0"/>
                  <w:vAlign w:val="center"/>
                </w:tcPr>
                <w:p w14:paraId="25C2897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临界量</w:t>
                  </w:r>
                </w:p>
              </w:tc>
            </w:tr>
            <w:tr w14:paraId="5E37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66" w:type="pct"/>
                  <w:noWrap w:val="0"/>
                  <w:vAlign w:val="center"/>
                </w:tcPr>
                <w:p w14:paraId="68C15975">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强酸</w:t>
                  </w:r>
                </w:p>
              </w:tc>
              <w:tc>
                <w:tcPr>
                  <w:tcW w:w="1100" w:type="pct"/>
                  <w:noWrap w:val="0"/>
                  <w:vAlign w:val="center"/>
                </w:tcPr>
                <w:p w14:paraId="260E8983">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盐酸（≥37%）</w:t>
                  </w:r>
                </w:p>
              </w:tc>
              <w:tc>
                <w:tcPr>
                  <w:tcW w:w="948" w:type="pct"/>
                  <w:noWrap w:val="0"/>
                  <w:vAlign w:val="center"/>
                </w:tcPr>
                <w:p w14:paraId="62D9DC4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Times New Roman" w:cs="Times New Roman"/>
                      <w:b w:val="0"/>
                      <w:bCs w:val="0"/>
                      <w:color w:val="auto"/>
                      <w:sz w:val="21"/>
                      <w:szCs w:val="21"/>
                      <w:highlight w:val="none"/>
                    </w:rPr>
                    <w:t>7647-01-0</w:t>
                  </w:r>
                </w:p>
              </w:tc>
              <w:tc>
                <w:tcPr>
                  <w:tcW w:w="1196" w:type="pct"/>
                  <w:noWrap w:val="0"/>
                  <w:vAlign w:val="center"/>
                </w:tcPr>
                <w:p w14:paraId="56366172">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5000ml×1.2÷10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19A6024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7.5</w:t>
                  </w:r>
                </w:p>
              </w:tc>
            </w:tr>
            <w:tr w14:paraId="0415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6" w:type="pct"/>
                  <w:noWrap w:val="0"/>
                  <w:vAlign w:val="center"/>
                </w:tcPr>
                <w:p w14:paraId="5C8AFD5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强酸</w:t>
                  </w:r>
                </w:p>
              </w:tc>
              <w:tc>
                <w:tcPr>
                  <w:tcW w:w="1100" w:type="pct"/>
                  <w:noWrap w:val="0"/>
                  <w:vAlign w:val="center"/>
                </w:tcPr>
                <w:p w14:paraId="75DF1723">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硫酸</w:t>
                  </w:r>
                </w:p>
              </w:tc>
              <w:tc>
                <w:tcPr>
                  <w:tcW w:w="948" w:type="pct"/>
                  <w:noWrap w:val="0"/>
                  <w:vAlign w:val="center"/>
                </w:tcPr>
                <w:p w14:paraId="7296D30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Times New Roman" w:cs="Times New Roman"/>
                      <w:b w:val="0"/>
                      <w:bCs w:val="0"/>
                      <w:color w:val="auto"/>
                      <w:sz w:val="21"/>
                      <w:szCs w:val="21"/>
                      <w:highlight w:val="none"/>
                    </w:rPr>
                    <w:t>7664-93-9</w:t>
                  </w:r>
                </w:p>
              </w:tc>
              <w:tc>
                <w:tcPr>
                  <w:tcW w:w="1196" w:type="pct"/>
                  <w:noWrap w:val="0"/>
                  <w:vAlign w:val="center"/>
                </w:tcPr>
                <w:p w14:paraId="0F69811C">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2500ml×1.83÷10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3C76C53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4E83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shd w:val="clear" w:color="auto" w:fill="auto"/>
                  <w:noWrap w:val="0"/>
                  <w:vAlign w:val="center"/>
                </w:tcPr>
                <w:p w14:paraId="643BF2C7">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强酸</w:t>
                  </w:r>
                </w:p>
              </w:tc>
              <w:tc>
                <w:tcPr>
                  <w:tcW w:w="1100" w:type="pct"/>
                  <w:noWrap w:val="0"/>
                  <w:vAlign w:val="center"/>
                </w:tcPr>
                <w:p w14:paraId="5342EE95">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硝酸</w:t>
                  </w:r>
                </w:p>
              </w:tc>
              <w:tc>
                <w:tcPr>
                  <w:tcW w:w="948" w:type="pct"/>
                  <w:noWrap w:val="0"/>
                  <w:vAlign w:val="center"/>
                </w:tcPr>
                <w:p w14:paraId="613A3A1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b w:val="0"/>
                      <w:bCs w:val="0"/>
                      <w:color w:val="auto"/>
                      <w:sz w:val="21"/>
                      <w:szCs w:val="21"/>
                      <w:highlight w:val="none"/>
                    </w:rPr>
                    <w:t>7697-37-2</w:t>
                  </w:r>
                </w:p>
              </w:tc>
              <w:tc>
                <w:tcPr>
                  <w:tcW w:w="1196" w:type="pct"/>
                  <w:noWrap w:val="0"/>
                  <w:vAlign w:val="center"/>
                </w:tcPr>
                <w:p w14:paraId="492DF40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1000ml×1.41÷10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15A1A4F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7.5</w:t>
                  </w:r>
                </w:p>
              </w:tc>
            </w:tr>
            <w:tr w14:paraId="766C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02555AB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强酸</w:t>
                  </w:r>
                </w:p>
              </w:tc>
              <w:tc>
                <w:tcPr>
                  <w:tcW w:w="1100" w:type="pct"/>
                  <w:noWrap w:val="0"/>
                  <w:vAlign w:val="center"/>
                </w:tcPr>
                <w:p w14:paraId="037EF9DC">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磷酸</w:t>
                  </w:r>
                </w:p>
              </w:tc>
              <w:tc>
                <w:tcPr>
                  <w:tcW w:w="948" w:type="pct"/>
                  <w:noWrap w:val="0"/>
                  <w:vAlign w:val="center"/>
                </w:tcPr>
                <w:p w14:paraId="0921088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Times New Roman" w:cs="Times New Roman"/>
                      <w:b w:val="0"/>
                      <w:bCs w:val="0"/>
                      <w:color w:val="auto"/>
                      <w:sz w:val="21"/>
                      <w:szCs w:val="21"/>
                      <w:highlight w:val="none"/>
                    </w:rPr>
                    <w:t>7664-38-2</w:t>
                  </w:r>
                </w:p>
              </w:tc>
              <w:tc>
                <w:tcPr>
                  <w:tcW w:w="1196" w:type="pct"/>
                  <w:noWrap w:val="0"/>
                  <w:vAlign w:val="center"/>
                </w:tcPr>
                <w:p w14:paraId="0F6DA30D">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1000ml×1.685÷10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5F2A8B4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216F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3E26828A">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酸</w:t>
                  </w:r>
                </w:p>
              </w:tc>
              <w:tc>
                <w:tcPr>
                  <w:tcW w:w="1100" w:type="pct"/>
                  <w:noWrap w:val="0"/>
                  <w:vAlign w:val="center"/>
                </w:tcPr>
                <w:p w14:paraId="20513F21">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乙酸</w:t>
                  </w:r>
                </w:p>
              </w:tc>
              <w:tc>
                <w:tcPr>
                  <w:tcW w:w="948" w:type="pct"/>
                  <w:noWrap w:val="0"/>
                  <w:vAlign w:val="center"/>
                </w:tcPr>
                <w:p w14:paraId="3D7577B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Times New Roman" w:cs="Times New Roman"/>
                      <w:b w:val="0"/>
                      <w:bCs w:val="0"/>
                      <w:color w:val="auto"/>
                      <w:sz w:val="21"/>
                      <w:szCs w:val="21"/>
                      <w:highlight w:val="none"/>
                    </w:rPr>
                    <w:t>64-19-7</w:t>
                  </w:r>
                </w:p>
              </w:tc>
              <w:tc>
                <w:tcPr>
                  <w:tcW w:w="1196" w:type="pct"/>
                  <w:noWrap w:val="0"/>
                  <w:vAlign w:val="center"/>
                </w:tcPr>
                <w:p w14:paraId="6169C47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1000ml×1.05÷10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26FEF7E2">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63D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0114D1C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弱碱</w:t>
                  </w:r>
                </w:p>
              </w:tc>
              <w:tc>
                <w:tcPr>
                  <w:tcW w:w="1100" w:type="pct"/>
                  <w:noWrap w:val="0"/>
                  <w:vAlign w:val="center"/>
                </w:tcPr>
                <w:p w14:paraId="643B5FD1">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氨水（20%）</w:t>
                  </w:r>
                </w:p>
              </w:tc>
              <w:tc>
                <w:tcPr>
                  <w:tcW w:w="948" w:type="pct"/>
                  <w:noWrap w:val="0"/>
                  <w:vAlign w:val="center"/>
                </w:tcPr>
                <w:p w14:paraId="0A0FE69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b w:val="0"/>
                      <w:bCs w:val="0"/>
                      <w:color w:val="auto"/>
                      <w:sz w:val="21"/>
                      <w:szCs w:val="21"/>
                      <w:highlight w:val="none"/>
                    </w:rPr>
                    <w:t>336-21-6</w:t>
                  </w:r>
                </w:p>
              </w:tc>
              <w:tc>
                <w:tcPr>
                  <w:tcW w:w="1196" w:type="pct"/>
                  <w:noWrap w:val="0"/>
                  <w:vAlign w:val="center"/>
                </w:tcPr>
                <w:p w14:paraId="590603A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1000ml×1.71÷10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744DD4E8">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7DAC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66" w:type="pct"/>
                  <w:noWrap w:val="0"/>
                  <w:vAlign w:val="center"/>
                </w:tcPr>
                <w:p w14:paraId="42EE5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急性毒性</w:t>
                  </w:r>
                  <w:r>
                    <w:rPr>
                      <w:rFonts w:hint="default" w:ascii="Times New Roman" w:hAnsi="Times New Roman" w:cs="Times New Roman"/>
                      <w:color w:val="auto"/>
                      <w:kern w:val="0"/>
                      <w:sz w:val="21"/>
                      <w:szCs w:val="21"/>
                      <w:highlight w:val="none"/>
                      <w:lang w:val="en-US" w:eastAsia="zh-CN"/>
                    </w:rPr>
                    <w:t>类别3</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危害水生环境-急性危害</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类别1</w:t>
                  </w:r>
                </w:p>
              </w:tc>
              <w:tc>
                <w:tcPr>
                  <w:tcW w:w="1100" w:type="pct"/>
                  <w:noWrap w:val="0"/>
                  <w:vAlign w:val="center"/>
                </w:tcPr>
                <w:p w14:paraId="690A7181">
                  <w:pPr>
                    <w:pStyle w:val="2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硫酸汞</w:t>
                  </w:r>
                </w:p>
              </w:tc>
              <w:tc>
                <w:tcPr>
                  <w:tcW w:w="948" w:type="pct"/>
                  <w:noWrap w:val="0"/>
                  <w:vAlign w:val="center"/>
                </w:tcPr>
                <w:p w14:paraId="168FBCA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7783-35-9</w:t>
                  </w:r>
                </w:p>
              </w:tc>
              <w:tc>
                <w:tcPr>
                  <w:tcW w:w="1196" w:type="pct"/>
                  <w:noWrap w:val="0"/>
                  <w:vAlign w:val="center"/>
                </w:tcPr>
                <w:p w14:paraId="60B425C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100ml×6.47÷10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0091060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r>
            <w:tr w14:paraId="559A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66" w:type="pct"/>
                  <w:noWrap w:val="0"/>
                  <w:vAlign w:val="center"/>
                </w:tcPr>
                <w:p w14:paraId="19F8F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急性毒性-经皮</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类别1</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危害水生环境-急性危害</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类别1</w:t>
                  </w:r>
                </w:p>
              </w:tc>
              <w:tc>
                <w:tcPr>
                  <w:tcW w:w="1100" w:type="pct"/>
                  <w:noWrap w:val="0"/>
                  <w:vAlign w:val="center"/>
                </w:tcPr>
                <w:p w14:paraId="7FB79FE8">
                  <w:pPr>
                    <w:pStyle w:val="2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碘化汞</w:t>
                  </w:r>
                </w:p>
              </w:tc>
              <w:tc>
                <w:tcPr>
                  <w:tcW w:w="948" w:type="pct"/>
                  <w:noWrap w:val="0"/>
                  <w:vAlign w:val="center"/>
                </w:tcPr>
                <w:p w14:paraId="3F84417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15385-57-6</w:t>
                  </w:r>
                </w:p>
              </w:tc>
              <w:tc>
                <w:tcPr>
                  <w:tcW w:w="1196" w:type="pct"/>
                  <w:noWrap w:val="0"/>
                  <w:vAlign w:val="center"/>
                </w:tcPr>
                <w:p w14:paraId="437EFEE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100g</w:t>
                  </w:r>
                </w:p>
              </w:tc>
              <w:tc>
                <w:tcPr>
                  <w:tcW w:w="687" w:type="pct"/>
                  <w:noWrap w:val="0"/>
                  <w:vAlign w:val="center"/>
                </w:tcPr>
                <w:p w14:paraId="7EBFC032">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p>
              </w:tc>
            </w:tr>
            <w:tr w14:paraId="7FCF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66" w:type="pct"/>
                  <w:noWrap w:val="0"/>
                  <w:vAlign w:val="center"/>
                </w:tcPr>
                <w:p w14:paraId="1C5237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溶剂</w:t>
                  </w:r>
                </w:p>
              </w:tc>
              <w:tc>
                <w:tcPr>
                  <w:tcW w:w="1100" w:type="pct"/>
                  <w:noWrap w:val="0"/>
                  <w:vAlign w:val="center"/>
                </w:tcPr>
                <w:p w14:paraId="658FE1DA">
                  <w:pPr>
                    <w:pStyle w:val="27"/>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丙酮</w:t>
                  </w:r>
                </w:p>
              </w:tc>
              <w:tc>
                <w:tcPr>
                  <w:tcW w:w="948" w:type="pct"/>
                  <w:noWrap w:val="0"/>
                  <w:vAlign w:val="center"/>
                </w:tcPr>
                <w:p w14:paraId="4950121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bCs/>
                      <w:color w:val="auto"/>
                      <w:sz w:val="21"/>
                      <w:szCs w:val="21"/>
                      <w:highlight w:val="none"/>
                    </w:rPr>
                    <w:t>67-64-1</w:t>
                  </w:r>
                </w:p>
              </w:tc>
              <w:tc>
                <w:tcPr>
                  <w:tcW w:w="1196" w:type="pct"/>
                  <w:noWrap w:val="0"/>
                  <w:vAlign w:val="center"/>
                </w:tcPr>
                <w:p w14:paraId="3F98388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1000×0.79÷10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2E88137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4FD7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6F2D9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急性毒性</w:t>
                  </w:r>
                  <w:r>
                    <w:rPr>
                      <w:rFonts w:hint="default" w:ascii="Times New Roman" w:hAnsi="Times New Roman" w:cs="Times New Roman"/>
                      <w:color w:val="auto"/>
                      <w:kern w:val="0"/>
                      <w:sz w:val="21"/>
                      <w:szCs w:val="21"/>
                      <w:highlight w:val="none"/>
                      <w:lang w:val="en-US" w:eastAsia="zh-CN"/>
                    </w:rPr>
                    <w:t>类别3</w:t>
                  </w:r>
                </w:p>
              </w:tc>
              <w:tc>
                <w:tcPr>
                  <w:tcW w:w="1100" w:type="pct"/>
                  <w:noWrap w:val="0"/>
                  <w:vAlign w:val="center"/>
                </w:tcPr>
                <w:p w14:paraId="62274DD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氟化钾</w:t>
                  </w:r>
                </w:p>
              </w:tc>
              <w:tc>
                <w:tcPr>
                  <w:tcW w:w="948" w:type="pct"/>
                  <w:noWrap w:val="0"/>
                  <w:vAlign w:val="center"/>
                </w:tcPr>
                <w:p w14:paraId="3FDAC6E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7789-23-3</w:t>
                  </w:r>
                </w:p>
              </w:tc>
              <w:tc>
                <w:tcPr>
                  <w:tcW w:w="1196" w:type="pct"/>
                  <w:noWrap w:val="0"/>
                  <w:vAlign w:val="center"/>
                </w:tcPr>
                <w:p w14:paraId="381A0DB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1000×2.48÷10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4457128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r>
            <w:tr w14:paraId="4D04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5B863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危害水生环境-急性危害</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类别1</w:t>
                  </w:r>
                </w:p>
              </w:tc>
              <w:tc>
                <w:tcPr>
                  <w:tcW w:w="1100" w:type="pct"/>
                  <w:noWrap w:val="0"/>
                  <w:vAlign w:val="center"/>
                </w:tcPr>
                <w:p w14:paraId="76B9330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硝酸银</w:t>
                  </w:r>
                </w:p>
              </w:tc>
              <w:tc>
                <w:tcPr>
                  <w:tcW w:w="948" w:type="pct"/>
                  <w:noWrap w:val="0"/>
                  <w:vAlign w:val="center"/>
                </w:tcPr>
                <w:p w14:paraId="58B5053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7761-88-8</w:t>
                  </w:r>
                </w:p>
              </w:tc>
              <w:tc>
                <w:tcPr>
                  <w:tcW w:w="1196" w:type="pct"/>
                  <w:noWrap w:val="0"/>
                  <w:vAlign w:val="center"/>
                </w:tcPr>
                <w:p w14:paraId="292E7A7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100g</w:t>
                  </w:r>
                </w:p>
              </w:tc>
              <w:tc>
                <w:tcPr>
                  <w:tcW w:w="687" w:type="pct"/>
                  <w:noWrap w:val="0"/>
                  <w:vAlign w:val="center"/>
                </w:tcPr>
                <w:p w14:paraId="7A37810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r>
            <w:tr w14:paraId="6649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7226AD2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高毒</w:t>
                  </w:r>
                </w:p>
              </w:tc>
              <w:tc>
                <w:tcPr>
                  <w:tcW w:w="1100" w:type="pct"/>
                  <w:noWrap w:val="0"/>
                  <w:vAlign w:val="center"/>
                </w:tcPr>
                <w:p w14:paraId="1417321C">
                  <w:pPr>
                    <w:keepNext w:val="0"/>
                    <w:keepLines w:val="0"/>
                    <w:widowControl/>
                    <w:suppressLineNumbers w:val="0"/>
                    <w:spacing w:before="0" w:beforeAutospacing="0" w:after="0" w:afterAutospacing="0" w:line="310" w:lineRule="exac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氰化钾</w:t>
                  </w:r>
                </w:p>
              </w:tc>
              <w:tc>
                <w:tcPr>
                  <w:tcW w:w="948" w:type="pct"/>
                  <w:noWrap w:val="0"/>
                  <w:vAlign w:val="center"/>
                </w:tcPr>
                <w:p w14:paraId="72403728">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b w:val="0"/>
                      <w:bCs w:val="0"/>
                      <w:color w:val="auto"/>
                      <w:sz w:val="21"/>
                      <w:szCs w:val="21"/>
                      <w:highlight w:val="none"/>
                    </w:rPr>
                    <w:t>151-50-8</w:t>
                  </w:r>
                </w:p>
              </w:tc>
              <w:tc>
                <w:tcPr>
                  <w:tcW w:w="1196" w:type="pct"/>
                  <w:shd w:val="clear" w:color="auto" w:fill="auto"/>
                  <w:noWrap w:val="0"/>
                  <w:vAlign w:val="center"/>
                </w:tcPr>
                <w:p w14:paraId="5FC3814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100×1.52÷10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0CC2093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0.25</w:t>
                  </w:r>
                </w:p>
              </w:tc>
            </w:tr>
            <w:tr w14:paraId="639A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49204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急性毒性-经口</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类别3*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危害水生环境-急性危害</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类别1</w:t>
                  </w:r>
                </w:p>
              </w:tc>
              <w:tc>
                <w:tcPr>
                  <w:tcW w:w="1100" w:type="pct"/>
                  <w:noWrap w:val="0"/>
                  <w:vAlign w:val="center"/>
                </w:tcPr>
                <w:p w14:paraId="539536D4">
                  <w:pPr>
                    <w:keepNext w:val="0"/>
                    <w:keepLines w:val="0"/>
                    <w:widowControl/>
                    <w:suppressLineNumbers w:val="0"/>
                    <w:spacing w:before="0" w:beforeAutospacing="0" w:after="0" w:afterAutospacing="0" w:line="310" w:lineRule="exac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亚硝酸钠</w:t>
                  </w:r>
                </w:p>
              </w:tc>
              <w:tc>
                <w:tcPr>
                  <w:tcW w:w="948" w:type="pct"/>
                  <w:noWrap w:val="0"/>
                  <w:vAlign w:val="center"/>
                </w:tcPr>
                <w:p w14:paraId="6BF78672">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Times New Roman" w:cs="Times New Roman"/>
                      <w:b w:val="0"/>
                      <w:bCs w:val="0"/>
                      <w:color w:val="auto"/>
                      <w:sz w:val="21"/>
                      <w:szCs w:val="21"/>
                      <w:highlight w:val="none"/>
                    </w:rPr>
                  </w:pPr>
                  <w:r>
                    <w:rPr>
                      <w:rFonts w:hint="default" w:ascii="Times New Roman" w:hAnsi="Times New Roman" w:cs="Times New Roman"/>
                      <w:color w:val="auto"/>
                      <w:kern w:val="0"/>
                      <w:sz w:val="21"/>
                      <w:szCs w:val="21"/>
                      <w:highlight w:val="none"/>
                    </w:rPr>
                    <w:t>7632-00-0</w:t>
                  </w:r>
                </w:p>
              </w:tc>
              <w:tc>
                <w:tcPr>
                  <w:tcW w:w="1196" w:type="pct"/>
                  <w:noWrap w:val="0"/>
                  <w:vAlign w:val="center"/>
                </w:tcPr>
                <w:p w14:paraId="4AF87868">
                  <w:pPr>
                    <w:pStyle w:val="27"/>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1000g</w:t>
                  </w:r>
                </w:p>
              </w:tc>
              <w:tc>
                <w:tcPr>
                  <w:tcW w:w="687" w:type="pct"/>
                  <w:noWrap w:val="0"/>
                  <w:vAlign w:val="center"/>
                </w:tcPr>
                <w:p w14:paraId="29A4EF1A">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r>
            <w:tr w14:paraId="070E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2ECE0D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急性毒性-经口</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类别3*</w:t>
                  </w:r>
                </w:p>
              </w:tc>
              <w:tc>
                <w:tcPr>
                  <w:tcW w:w="1100" w:type="pct"/>
                  <w:noWrap w:val="0"/>
                  <w:vAlign w:val="center"/>
                </w:tcPr>
                <w:p w14:paraId="5F4D2F8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溴酸钾</w:t>
                  </w:r>
                </w:p>
              </w:tc>
              <w:tc>
                <w:tcPr>
                  <w:tcW w:w="948" w:type="pct"/>
                  <w:noWrap w:val="0"/>
                  <w:vAlign w:val="center"/>
                </w:tcPr>
                <w:p w14:paraId="6F900D3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7758-01-2</w:t>
                  </w:r>
                </w:p>
              </w:tc>
              <w:tc>
                <w:tcPr>
                  <w:tcW w:w="1196" w:type="pct"/>
                  <w:noWrap w:val="0"/>
                  <w:vAlign w:val="center"/>
                </w:tcPr>
                <w:p w14:paraId="5FB2B2A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500g</w:t>
                  </w:r>
                </w:p>
              </w:tc>
              <w:tc>
                <w:tcPr>
                  <w:tcW w:w="687" w:type="pct"/>
                  <w:noWrap w:val="0"/>
                  <w:vAlign w:val="center"/>
                </w:tcPr>
                <w:p w14:paraId="1D7B47B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r>
            <w:tr w14:paraId="4934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6FDE2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危害水生环境-长期危害</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类别1</w:t>
                  </w:r>
                </w:p>
              </w:tc>
              <w:tc>
                <w:tcPr>
                  <w:tcW w:w="1100" w:type="pct"/>
                  <w:noWrap w:val="0"/>
                  <w:vAlign w:val="center"/>
                </w:tcPr>
                <w:p w14:paraId="71CEA73C">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高锰酸钾</w:t>
                  </w:r>
                </w:p>
              </w:tc>
              <w:tc>
                <w:tcPr>
                  <w:tcW w:w="948" w:type="pct"/>
                  <w:noWrap w:val="0"/>
                  <w:vAlign w:val="center"/>
                </w:tcPr>
                <w:p w14:paraId="40BA449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7722-64-7</w:t>
                  </w:r>
                </w:p>
              </w:tc>
              <w:tc>
                <w:tcPr>
                  <w:tcW w:w="1196" w:type="pct"/>
                  <w:noWrap w:val="0"/>
                  <w:vAlign w:val="center"/>
                </w:tcPr>
                <w:p w14:paraId="65ABB41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500g</w:t>
                  </w:r>
                </w:p>
              </w:tc>
              <w:tc>
                <w:tcPr>
                  <w:tcW w:w="687" w:type="pct"/>
                  <w:noWrap w:val="0"/>
                  <w:vAlign w:val="center"/>
                </w:tcPr>
                <w:p w14:paraId="376E6C18">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r>
            <w:tr w14:paraId="667D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0A700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溶剂</w:t>
                  </w:r>
                </w:p>
              </w:tc>
              <w:tc>
                <w:tcPr>
                  <w:tcW w:w="1100" w:type="pct"/>
                  <w:noWrap w:val="0"/>
                  <w:vAlign w:val="center"/>
                </w:tcPr>
                <w:p w14:paraId="2B16F608">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二硫化碳</w:t>
                  </w:r>
                </w:p>
              </w:tc>
              <w:tc>
                <w:tcPr>
                  <w:tcW w:w="948" w:type="pct"/>
                  <w:noWrap w:val="0"/>
                  <w:vAlign w:val="center"/>
                </w:tcPr>
                <w:p w14:paraId="13DDCA27">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Times New Roman" w:cs="Times New Roman"/>
                      <w:b w:val="0"/>
                      <w:bCs w:val="0"/>
                      <w:color w:val="auto"/>
                      <w:sz w:val="21"/>
                      <w:szCs w:val="21"/>
                      <w:highlight w:val="none"/>
                    </w:rPr>
                    <w:t>75-15-0</w:t>
                  </w:r>
                </w:p>
              </w:tc>
              <w:tc>
                <w:tcPr>
                  <w:tcW w:w="1196" w:type="pct"/>
                  <w:noWrap w:val="0"/>
                  <w:vAlign w:val="center"/>
                </w:tcPr>
                <w:p w14:paraId="1108021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10ml</w:t>
                  </w:r>
                </w:p>
              </w:tc>
              <w:tc>
                <w:tcPr>
                  <w:tcW w:w="687" w:type="pct"/>
                  <w:noWrap w:val="0"/>
                  <w:vAlign w:val="center"/>
                </w:tcPr>
                <w:p w14:paraId="41AE206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r>
            <w:tr w14:paraId="00B5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76EE1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急性毒性-吸入，类别2、危害水生环境-长期危害，类别1</w:t>
                  </w:r>
                </w:p>
              </w:tc>
              <w:tc>
                <w:tcPr>
                  <w:tcW w:w="1100" w:type="pct"/>
                  <w:noWrap w:val="0"/>
                  <w:vAlign w:val="center"/>
                </w:tcPr>
                <w:p w14:paraId="1853700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重铬酸钾</w:t>
                  </w:r>
                </w:p>
              </w:tc>
              <w:tc>
                <w:tcPr>
                  <w:tcW w:w="948" w:type="pct"/>
                  <w:noWrap w:val="0"/>
                  <w:vAlign w:val="center"/>
                </w:tcPr>
                <w:p w14:paraId="29CCA28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7778-50-9</w:t>
                  </w:r>
                </w:p>
              </w:tc>
              <w:tc>
                <w:tcPr>
                  <w:tcW w:w="1196" w:type="pct"/>
                  <w:noWrap w:val="0"/>
                  <w:vAlign w:val="center"/>
                </w:tcPr>
                <w:p w14:paraId="212D2C6C">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75g</w:t>
                  </w:r>
                </w:p>
              </w:tc>
              <w:tc>
                <w:tcPr>
                  <w:tcW w:w="687" w:type="pct"/>
                  <w:noWrap w:val="0"/>
                  <w:vAlign w:val="center"/>
                </w:tcPr>
                <w:p w14:paraId="2774934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r>
            <w:tr w14:paraId="348E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39C47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急性毒性-经口</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类别3</w:t>
                  </w:r>
                </w:p>
              </w:tc>
              <w:tc>
                <w:tcPr>
                  <w:tcW w:w="1100" w:type="pct"/>
                  <w:noWrap w:val="0"/>
                  <w:vAlign w:val="center"/>
                </w:tcPr>
                <w:p w14:paraId="674EE76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2,6-二硝基酚试剂</w:t>
                  </w:r>
                </w:p>
              </w:tc>
              <w:tc>
                <w:tcPr>
                  <w:tcW w:w="948" w:type="pct"/>
                  <w:noWrap w:val="0"/>
                  <w:vAlign w:val="center"/>
                </w:tcPr>
                <w:p w14:paraId="4D98B405">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573-56-8</w:t>
                  </w:r>
                </w:p>
              </w:tc>
              <w:tc>
                <w:tcPr>
                  <w:tcW w:w="1196" w:type="pct"/>
                  <w:noWrap w:val="0"/>
                  <w:vAlign w:val="center"/>
                </w:tcPr>
                <w:p w14:paraId="2807AEC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500ml×</w:t>
                  </w:r>
                  <w:r>
                    <w:rPr>
                      <w:rFonts w:hint="eastAsia" w:cs="Times New Roman"/>
                      <w:color w:val="auto"/>
                      <w:kern w:val="0"/>
                      <w:sz w:val="21"/>
                      <w:szCs w:val="21"/>
                      <w:highlight w:val="none"/>
                      <w:lang w:val="en-US" w:eastAsia="zh-CN"/>
                    </w:rPr>
                    <w:t>1.266</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4F3E4A1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r>
            <w:tr w14:paraId="7396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1B121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00" w:type="pct"/>
                  <w:noWrap w:val="0"/>
                  <w:vAlign w:val="center"/>
                </w:tcPr>
                <w:p w14:paraId="22AF1D8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三氯甲烷</w:t>
                  </w:r>
                </w:p>
              </w:tc>
              <w:tc>
                <w:tcPr>
                  <w:tcW w:w="948" w:type="pct"/>
                  <w:noWrap w:val="0"/>
                  <w:vAlign w:val="center"/>
                </w:tcPr>
                <w:p w14:paraId="2139729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67-66-3</w:t>
                  </w:r>
                </w:p>
              </w:tc>
              <w:tc>
                <w:tcPr>
                  <w:tcW w:w="1196" w:type="pct"/>
                  <w:noWrap w:val="0"/>
                  <w:vAlign w:val="center"/>
                </w:tcPr>
                <w:p w14:paraId="07FEE269">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r>
                    <w:rPr>
                      <w:rFonts w:hint="default" w:ascii="Times New Roman" w:hAnsi="Times New Roman" w:cs="Times New Roman"/>
                      <w:color w:val="auto"/>
                      <w:kern w:val="0"/>
                      <w:sz w:val="21"/>
                      <w:szCs w:val="21"/>
                      <w:highlight w:val="none"/>
                      <w:lang w:val="en-US" w:eastAsia="zh-CN"/>
                    </w:rPr>
                    <w:t>00ml×</w:t>
                  </w:r>
                  <w:r>
                    <w:rPr>
                      <w:rFonts w:hint="eastAsia" w:cs="Times New Roman"/>
                      <w:color w:val="auto"/>
                      <w:kern w:val="0"/>
                      <w:sz w:val="21"/>
                      <w:szCs w:val="21"/>
                      <w:highlight w:val="none"/>
                      <w:lang w:val="en-US" w:eastAsia="zh-CN"/>
                    </w:rPr>
                    <w:t>1.48</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45C6AE68">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14:paraId="66A7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50B76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00" w:type="pct"/>
                  <w:noWrap w:val="0"/>
                  <w:vAlign w:val="center"/>
                </w:tcPr>
                <w:p w14:paraId="591A9BB7">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甲醛</w:t>
                  </w:r>
                </w:p>
              </w:tc>
              <w:tc>
                <w:tcPr>
                  <w:tcW w:w="948" w:type="pct"/>
                  <w:noWrap w:val="0"/>
                  <w:vAlign w:val="center"/>
                </w:tcPr>
                <w:p w14:paraId="70FF23F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50-00-0</w:t>
                  </w:r>
                </w:p>
              </w:tc>
              <w:tc>
                <w:tcPr>
                  <w:tcW w:w="1196" w:type="pct"/>
                  <w:noWrap w:val="0"/>
                  <w:vAlign w:val="center"/>
                </w:tcPr>
                <w:p w14:paraId="41876E9E">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500ml×</w:t>
                  </w:r>
                  <w:r>
                    <w:rPr>
                      <w:rFonts w:hint="eastAsia" w:cs="Times New Roman"/>
                      <w:color w:val="auto"/>
                      <w:kern w:val="0"/>
                      <w:sz w:val="21"/>
                      <w:szCs w:val="21"/>
                      <w:highlight w:val="none"/>
                      <w:lang w:val="en-US" w:eastAsia="zh-CN"/>
                    </w:rPr>
                    <w:t>0.85</w:t>
                  </w:r>
                  <w:r>
                    <w:rPr>
                      <w:rFonts w:hint="default" w:ascii="Times New Roman" w:hAnsi="Times New Roman" w:cs="Times New Roman"/>
                      <w:color w:val="auto"/>
                      <w:kern w:val="0"/>
                      <w:sz w:val="21"/>
                      <w:szCs w:val="21"/>
                      <w:highlight w:val="none"/>
                      <w:lang w:val="en-US" w:eastAsia="zh-CN"/>
                    </w:rPr>
                    <w:t>÷10</w:t>
                  </w:r>
                  <w:r>
                    <w:rPr>
                      <w:rFonts w:hint="default" w:ascii="Times New Roman" w:hAnsi="Times New Roman" w:cs="Times New Roman"/>
                      <w:color w:val="auto"/>
                      <w:kern w:val="0"/>
                      <w:sz w:val="21"/>
                      <w:szCs w:val="21"/>
                      <w:highlight w:val="none"/>
                      <w:vertAlign w:val="superscript"/>
                      <w:lang w:val="en-US" w:eastAsia="zh-CN"/>
                    </w:rPr>
                    <w:t>6</w:t>
                  </w:r>
                </w:p>
              </w:tc>
              <w:tc>
                <w:tcPr>
                  <w:tcW w:w="687" w:type="pct"/>
                  <w:noWrap w:val="0"/>
                  <w:vAlign w:val="center"/>
                </w:tcPr>
                <w:p w14:paraId="4DAA554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p>
              </w:tc>
            </w:tr>
            <w:tr w14:paraId="51AB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vMerge w:val="restart"/>
                  <w:noWrap w:val="0"/>
                  <w:vAlign w:val="center"/>
                </w:tcPr>
                <w:p w14:paraId="219F499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废气</w:t>
                  </w:r>
                </w:p>
              </w:tc>
              <w:tc>
                <w:tcPr>
                  <w:tcW w:w="1100" w:type="pct"/>
                  <w:noWrap w:val="0"/>
                  <w:vAlign w:val="center"/>
                </w:tcPr>
                <w:p w14:paraId="3E5CE78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酸雾</w:t>
                  </w:r>
                </w:p>
              </w:tc>
              <w:tc>
                <w:tcPr>
                  <w:tcW w:w="948" w:type="pct"/>
                  <w:noWrap w:val="0"/>
                  <w:vAlign w:val="center"/>
                </w:tcPr>
                <w:p w14:paraId="421F09D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7446-09-5</w:t>
                  </w:r>
                </w:p>
              </w:tc>
              <w:tc>
                <w:tcPr>
                  <w:tcW w:w="1196" w:type="pct"/>
                  <w:noWrap w:val="0"/>
                  <w:vAlign w:val="center"/>
                </w:tcPr>
                <w:p w14:paraId="022AE1A0">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687" w:type="pct"/>
                  <w:noWrap w:val="0"/>
                  <w:vAlign w:val="center"/>
                </w:tcPr>
                <w:p w14:paraId="73BFBA3D">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7.5</w:t>
                  </w:r>
                </w:p>
              </w:tc>
            </w:tr>
            <w:tr w14:paraId="369C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66" w:type="pct"/>
                  <w:vMerge w:val="continue"/>
                  <w:noWrap w:val="0"/>
                  <w:vAlign w:val="center"/>
                </w:tcPr>
                <w:p w14:paraId="450AF8A4">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100" w:type="pct"/>
                  <w:noWrap w:val="0"/>
                  <w:vAlign w:val="center"/>
                </w:tcPr>
                <w:p w14:paraId="341CC39A">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氮氧化物</w:t>
                  </w:r>
                </w:p>
              </w:tc>
              <w:tc>
                <w:tcPr>
                  <w:tcW w:w="948" w:type="pct"/>
                  <w:noWrap w:val="0"/>
                  <w:vAlign w:val="center"/>
                </w:tcPr>
                <w:p w14:paraId="60E7392D">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10102-44-0</w:t>
                  </w:r>
                </w:p>
              </w:tc>
              <w:tc>
                <w:tcPr>
                  <w:tcW w:w="1196" w:type="pct"/>
                  <w:noWrap w:val="0"/>
                  <w:vAlign w:val="center"/>
                </w:tcPr>
                <w:p w14:paraId="69C78AD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687" w:type="pct"/>
                  <w:noWrap w:val="0"/>
                  <w:vAlign w:val="center"/>
                </w:tcPr>
                <w:p w14:paraId="4D037F7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7.5</w:t>
                  </w:r>
                </w:p>
              </w:tc>
            </w:tr>
            <w:tr w14:paraId="59B8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66" w:type="pct"/>
                  <w:vMerge w:val="continue"/>
                  <w:noWrap w:val="0"/>
                  <w:vAlign w:val="center"/>
                </w:tcPr>
                <w:p w14:paraId="7D6C01B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1100" w:type="pct"/>
                  <w:noWrap w:val="0"/>
                  <w:vAlign w:val="center"/>
                </w:tcPr>
                <w:p w14:paraId="48C7D83B">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氨</w:t>
                  </w:r>
                </w:p>
              </w:tc>
              <w:tc>
                <w:tcPr>
                  <w:tcW w:w="948" w:type="pct"/>
                  <w:noWrap w:val="0"/>
                  <w:vAlign w:val="center"/>
                </w:tcPr>
                <w:p w14:paraId="413B25BD">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7664-41-7</w:t>
                  </w:r>
                </w:p>
              </w:tc>
              <w:tc>
                <w:tcPr>
                  <w:tcW w:w="1196" w:type="pct"/>
                  <w:noWrap w:val="0"/>
                  <w:vAlign w:val="center"/>
                </w:tcPr>
                <w:p w14:paraId="179BD39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687" w:type="pct"/>
                  <w:noWrap w:val="0"/>
                  <w:vAlign w:val="center"/>
                </w:tcPr>
                <w:p w14:paraId="7135CB8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r>
            <w:tr w14:paraId="2B23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6" w:type="pct"/>
                  <w:noWrap w:val="0"/>
                  <w:vAlign w:val="center"/>
                </w:tcPr>
                <w:p w14:paraId="49098C31">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危废</w:t>
                  </w:r>
                </w:p>
              </w:tc>
              <w:tc>
                <w:tcPr>
                  <w:tcW w:w="1100" w:type="pct"/>
                  <w:noWrap w:val="0"/>
                  <w:vAlign w:val="center"/>
                </w:tcPr>
                <w:p w14:paraId="67797CBF">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废活性炭</w:t>
                  </w:r>
                </w:p>
              </w:tc>
              <w:tc>
                <w:tcPr>
                  <w:tcW w:w="948" w:type="pct"/>
                  <w:noWrap w:val="0"/>
                  <w:vAlign w:val="center"/>
                </w:tcPr>
                <w:p w14:paraId="78C28FA5">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w:t>
                  </w:r>
                </w:p>
              </w:tc>
              <w:tc>
                <w:tcPr>
                  <w:tcW w:w="1196" w:type="pct"/>
                  <w:noWrap w:val="0"/>
                  <w:vAlign w:val="center"/>
                </w:tcPr>
                <w:p w14:paraId="0E7B255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0.04</w:t>
                  </w:r>
                </w:p>
              </w:tc>
              <w:tc>
                <w:tcPr>
                  <w:tcW w:w="687" w:type="pct"/>
                  <w:noWrap w:val="0"/>
                  <w:vAlign w:val="center"/>
                </w:tcPr>
                <w:p w14:paraId="274D64C8">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50</w:t>
                  </w:r>
                </w:p>
              </w:tc>
            </w:tr>
            <w:tr w14:paraId="35C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12" w:type="pct"/>
                  <w:gridSpan w:val="4"/>
                  <w:noWrap w:val="0"/>
                  <w:vAlign w:val="center"/>
                </w:tcPr>
                <w:p w14:paraId="535F9286">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项目Q值Σ</w:t>
                  </w:r>
                </w:p>
              </w:tc>
              <w:tc>
                <w:tcPr>
                  <w:tcW w:w="687" w:type="pct"/>
                  <w:noWrap w:val="0"/>
                  <w:vAlign w:val="center"/>
                </w:tcPr>
                <w:p w14:paraId="74D342F3">
                  <w:pPr>
                    <w:keepNext w:val="0"/>
                    <w:keepLines w:val="0"/>
                    <w:pageBreakBefore w:val="0"/>
                    <w:widowControl w:val="0"/>
                    <w:suppressLineNumbers w:val="0"/>
                    <w:kinsoku/>
                    <w:wordWrap/>
                    <w:overflowPunct/>
                    <w:topLinePunct w:val="0"/>
                    <w:bidi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0.004582</w:t>
                  </w:r>
                </w:p>
              </w:tc>
            </w:tr>
          </w:tbl>
          <w:p w14:paraId="504BC756">
            <w:pPr>
              <w:keepNext w:val="0"/>
              <w:keepLines w:val="0"/>
              <w:suppressLineNumbers w:val="0"/>
              <w:bidi w:val="0"/>
              <w:spacing w:before="0" w:beforeAutospacing="0" w:after="0" w:afterAutospacing="0"/>
              <w:ind w:left="0" w:right="0"/>
              <w:rPr>
                <w:rFonts w:hint="eastAsia"/>
                <w:color w:val="auto"/>
                <w:highlight w:val="none"/>
                <w:lang w:val="en-US"/>
              </w:rPr>
            </w:pPr>
            <w:r>
              <w:rPr>
                <w:rFonts w:hint="eastAsia"/>
                <w:color w:val="auto"/>
                <w:highlight w:val="none"/>
                <w:lang w:val="en-US" w:eastAsia="zh-CN"/>
              </w:rPr>
              <w:t>废气产生量较少，且在实验区内不存储，因此给出废气种类，不核算其存储量。废活性炭因吸附各类有机废气，</w:t>
            </w:r>
            <w:r>
              <w:rPr>
                <w:rFonts w:hint="eastAsia"/>
                <w:color w:val="auto"/>
                <w:highlight w:val="none"/>
                <w:lang w:val="en-US"/>
              </w:rPr>
              <w:t>临界量</w:t>
            </w:r>
            <w:r>
              <w:rPr>
                <w:rFonts w:hint="eastAsia"/>
                <w:color w:val="auto"/>
                <w:highlight w:val="none"/>
                <w:lang w:val="en-US" w:eastAsia="zh-CN"/>
              </w:rPr>
              <w:t>均</w:t>
            </w:r>
            <w:r>
              <w:rPr>
                <w:rFonts w:hint="eastAsia"/>
                <w:color w:val="auto"/>
                <w:highlight w:val="none"/>
                <w:lang w:val="en-US"/>
              </w:rPr>
              <w:t>参照</w:t>
            </w:r>
            <w:r>
              <w:rPr>
                <w:rFonts w:hint="default"/>
                <w:color w:val="auto"/>
                <w:highlight w:val="none"/>
                <w:lang w:val="en-US"/>
              </w:rPr>
              <w:t>《建设项目环境风险评价技术导则》</w:t>
            </w:r>
            <w:r>
              <w:rPr>
                <w:rFonts w:hint="eastAsia"/>
                <w:color w:val="auto"/>
                <w:highlight w:val="none"/>
                <w:lang w:val="en-US" w:eastAsia="zh-CN"/>
              </w:rPr>
              <w:t>（</w:t>
            </w:r>
            <w:r>
              <w:rPr>
                <w:rFonts w:hint="default"/>
                <w:color w:val="auto"/>
                <w:highlight w:val="none"/>
                <w:lang w:val="en-US"/>
              </w:rPr>
              <w:t>HJ169-2018</w:t>
            </w:r>
            <w:r>
              <w:rPr>
                <w:rFonts w:hint="eastAsia"/>
                <w:color w:val="auto"/>
                <w:highlight w:val="none"/>
                <w:lang w:val="en-US" w:eastAsia="zh-CN"/>
              </w:rPr>
              <w:t>）</w:t>
            </w:r>
            <w:r>
              <w:rPr>
                <w:rFonts w:hint="default"/>
                <w:color w:val="auto"/>
                <w:highlight w:val="none"/>
                <w:lang w:val="en-US"/>
              </w:rPr>
              <w:t>附录</w:t>
            </w:r>
            <w:r>
              <w:rPr>
                <w:rFonts w:hint="eastAsia"/>
                <w:color w:val="auto"/>
                <w:highlight w:val="none"/>
                <w:lang w:val="en-US"/>
              </w:rPr>
              <w:t>B中表B.2健康危险急性毒性物质（类别</w:t>
            </w:r>
            <w:r>
              <w:rPr>
                <w:rFonts w:hint="default"/>
                <w:color w:val="auto"/>
                <w:highlight w:val="none"/>
                <w:lang w:val="en-US"/>
              </w:rPr>
              <w:t>2</w:t>
            </w:r>
            <w:r>
              <w:rPr>
                <w:rFonts w:hint="eastAsia"/>
                <w:color w:val="auto"/>
                <w:highlight w:val="none"/>
                <w:lang w:val="en-US"/>
              </w:rPr>
              <w:t>，类别</w:t>
            </w:r>
            <w:r>
              <w:rPr>
                <w:rFonts w:hint="default"/>
                <w:color w:val="auto"/>
                <w:highlight w:val="none"/>
                <w:lang w:val="en-US"/>
              </w:rPr>
              <w:t>3</w:t>
            </w:r>
            <w:r>
              <w:rPr>
                <w:rFonts w:hint="eastAsia"/>
                <w:color w:val="auto"/>
                <w:highlight w:val="none"/>
                <w:lang w:val="en-US"/>
              </w:rPr>
              <w:t>）临界量50t计算。</w:t>
            </w:r>
          </w:p>
          <w:p w14:paraId="2FAB540A">
            <w:pPr>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根据《建设项目环境风险评价技术导则》(HJ169-2018)，当Q＜1时，项目环境风险潜势为I。</w:t>
            </w:r>
            <w:r>
              <w:rPr>
                <w:rFonts w:hint="default"/>
                <w:color w:val="auto"/>
                <w:highlight w:val="none"/>
              </w:rPr>
              <w:t>当项目环境风险潜势为</w:t>
            </w:r>
            <w:r>
              <w:rPr>
                <w:rFonts w:hint="eastAsia"/>
                <w:color w:val="auto"/>
                <w:highlight w:val="none"/>
              </w:rPr>
              <w:t>Ⅰ</w:t>
            </w:r>
            <w:r>
              <w:rPr>
                <w:rFonts w:hint="default"/>
                <w:color w:val="auto"/>
                <w:highlight w:val="none"/>
              </w:rPr>
              <w:t>时，评价工作等级为简单分析。</w:t>
            </w:r>
          </w:p>
          <w:p w14:paraId="43F54670">
            <w:pPr>
              <w:keepNext w:val="0"/>
              <w:keepLines w:val="0"/>
              <w:suppressLineNumbers w:val="0"/>
              <w:bidi w:val="0"/>
              <w:spacing w:before="0" w:beforeAutospacing="0" w:after="0" w:afterAutospacing="0"/>
              <w:ind w:left="0" w:right="0"/>
              <w:rPr>
                <w:rFonts w:hint="default" w:eastAsia="宋体"/>
                <w:b/>
                <w:bCs/>
                <w:color w:val="auto"/>
                <w:highlight w:val="none"/>
              </w:rPr>
            </w:pPr>
            <w:r>
              <w:rPr>
                <w:rFonts w:hint="eastAsia" w:eastAsia="宋体"/>
                <w:b/>
                <w:bCs/>
                <w:color w:val="auto"/>
                <w:highlight w:val="none"/>
                <w:lang w:eastAsia="zh-CN"/>
              </w:rPr>
              <w:t>（</w:t>
            </w:r>
            <w:r>
              <w:rPr>
                <w:rFonts w:hint="eastAsia" w:eastAsia="宋体"/>
                <w:b/>
                <w:bCs/>
                <w:color w:val="auto"/>
                <w:highlight w:val="none"/>
                <w:lang w:val="en-US" w:eastAsia="zh-CN"/>
              </w:rPr>
              <w:t>3</w:t>
            </w:r>
            <w:r>
              <w:rPr>
                <w:rFonts w:hint="eastAsia" w:eastAsia="宋体"/>
                <w:b/>
                <w:bCs/>
                <w:color w:val="auto"/>
                <w:highlight w:val="none"/>
                <w:lang w:eastAsia="zh-CN"/>
              </w:rPr>
              <w:t>）</w:t>
            </w:r>
            <w:r>
              <w:rPr>
                <w:rFonts w:hint="default" w:eastAsia="宋体"/>
                <w:b/>
                <w:bCs/>
                <w:color w:val="auto"/>
                <w:highlight w:val="none"/>
              </w:rPr>
              <w:t>环境风险</w:t>
            </w:r>
            <w:r>
              <w:rPr>
                <w:rFonts w:hint="eastAsia" w:eastAsia="宋体"/>
                <w:b/>
                <w:bCs/>
                <w:color w:val="auto"/>
                <w:highlight w:val="none"/>
              </w:rPr>
              <w:t>类型</w:t>
            </w:r>
            <w:r>
              <w:rPr>
                <w:rFonts w:hint="default" w:eastAsia="宋体"/>
                <w:b/>
                <w:bCs/>
                <w:color w:val="auto"/>
                <w:highlight w:val="none"/>
              </w:rPr>
              <w:t>分析</w:t>
            </w:r>
          </w:p>
          <w:p w14:paraId="4351C7B1">
            <w:pPr>
              <w:keepNext w:val="0"/>
              <w:keepLines w:val="0"/>
              <w:suppressLineNumbers w:val="0"/>
              <w:bidi w:val="0"/>
              <w:spacing w:before="0" w:beforeAutospacing="0" w:after="0" w:afterAutospacing="0"/>
              <w:ind w:left="0" w:right="0"/>
              <w:rPr>
                <w:rFonts w:hint="default" w:eastAsia="宋体"/>
                <w:color w:val="auto"/>
                <w:highlight w:val="none"/>
              </w:rPr>
            </w:pPr>
            <w:r>
              <w:rPr>
                <w:rFonts w:hint="default" w:eastAsia="宋体"/>
                <w:color w:val="auto"/>
                <w:highlight w:val="none"/>
              </w:rPr>
              <w:t>根据导则要求，环境风险评价的风险识别范围主要包括生产设施风险识别以及生产过程中物质风险识别。建设项目运营期环境风险识别结果见下表。</w:t>
            </w:r>
          </w:p>
          <w:p w14:paraId="3E742D41">
            <w:pPr>
              <w:pStyle w:val="2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w:t>
            </w:r>
            <w:r>
              <w:rPr>
                <w:rFonts w:hint="eastAsia"/>
                <w:color w:val="auto"/>
                <w:highlight w:val="none"/>
              </w:rPr>
              <w:t>4</w:t>
            </w:r>
            <w:r>
              <w:rPr>
                <w:rFonts w:hint="default"/>
                <w:color w:val="auto"/>
                <w:highlight w:val="none"/>
              </w:rPr>
              <w:t>-</w:t>
            </w:r>
            <w:r>
              <w:rPr>
                <w:rFonts w:hint="eastAsia"/>
                <w:color w:val="auto"/>
                <w:highlight w:val="none"/>
                <w:lang w:val="en-US" w:eastAsia="zh-CN"/>
              </w:rPr>
              <w:t xml:space="preserve">14  </w:t>
            </w:r>
            <w:r>
              <w:rPr>
                <w:rFonts w:hint="default"/>
                <w:color w:val="auto"/>
                <w:highlight w:val="none"/>
              </w:rPr>
              <w:t>本工程风险类型一览表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22"/>
              <w:gridCol w:w="702"/>
              <w:gridCol w:w="1990"/>
              <w:gridCol w:w="1104"/>
              <w:gridCol w:w="2150"/>
              <w:gridCol w:w="1508"/>
            </w:tblGrid>
            <w:tr w14:paraId="57F6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441" w:type="pct"/>
                  <w:noWrap w:val="0"/>
                  <w:vAlign w:val="center"/>
                </w:tcPr>
                <w:p w14:paraId="38983AEA">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系统名称</w:t>
                  </w:r>
                </w:p>
              </w:tc>
              <w:tc>
                <w:tcPr>
                  <w:tcW w:w="429" w:type="pct"/>
                  <w:noWrap w:val="0"/>
                  <w:vAlign w:val="center"/>
                </w:tcPr>
                <w:p w14:paraId="7A94FBBD">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危险单元</w:t>
                  </w:r>
                </w:p>
              </w:tc>
              <w:tc>
                <w:tcPr>
                  <w:tcW w:w="1216" w:type="pct"/>
                  <w:noWrap w:val="0"/>
                  <w:vAlign w:val="center"/>
                </w:tcPr>
                <w:p w14:paraId="7C0D53F4">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主要危险物质</w:t>
                  </w:r>
                </w:p>
              </w:tc>
              <w:tc>
                <w:tcPr>
                  <w:tcW w:w="675" w:type="pct"/>
                  <w:noWrap w:val="0"/>
                  <w:vAlign w:val="center"/>
                </w:tcPr>
                <w:p w14:paraId="2496E83B">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环境风险类型</w:t>
                  </w:r>
                </w:p>
              </w:tc>
              <w:tc>
                <w:tcPr>
                  <w:tcW w:w="1314" w:type="pct"/>
                  <w:noWrap w:val="0"/>
                  <w:vAlign w:val="center"/>
                </w:tcPr>
                <w:p w14:paraId="7AA2124B">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环境影响途径</w:t>
                  </w:r>
                </w:p>
              </w:tc>
              <w:tc>
                <w:tcPr>
                  <w:tcW w:w="922" w:type="pct"/>
                  <w:noWrap w:val="0"/>
                  <w:vAlign w:val="center"/>
                </w:tcPr>
                <w:p w14:paraId="4DFA3BCB">
                  <w:pPr>
                    <w:pStyle w:val="27"/>
                    <w:keepNext w:val="0"/>
                    <w:keepLines w:val="0"/>
                    <w:suppressLineNumbers w:val="0"/>
                    <w:bidi w:val="0"/>
                    <w:spacing w:before="0" w:beforeAutospacing="0" w:after="0" w:afterAutospacing="0"/>
                    <w:ind w:left="0" w:right="0"/>
                    <w:rPr>
                      <w:rFonts w:eastAsia="宋体"/>
                      <w:b/>
                      <w:bCs/>
                      <w:color w:val="auto"/>
                      <w:highlight w:val="none"/>
                    </w:rPr>
                  </w:pPr>
                  <w:r>
                    <w:rPr>
                      <w:rFonts w:eastAsia="宋体"/>
                      <w:b/>
                      <w:bCs/>
                      <w:color w:val="auto"/>
                      <w:highlight w:val="none"/>
                    </w:rPr>
                    <w:t>可能受影响的环境敏感目标</w:t>
                  </w:r>
                </w:p>
              </w:tc>
            </w:tr>
            <w:tr w14:paraId="0C56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441" w:type="pct"/>
                  <w:noWrap w:val="0"/>
                  <w:vAlign w:val="center"/>
                </w:tcPr>
                <w:p w14:paraId="5737C348">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储运设施</w:t>
                  </w:r>
                </w:p>
              </w:tc>
              <w:tc>
                <w:tcPr>
                  <w:tcW w:w="429" w:type="pct"/>
                  <w:noWrap w:val="0"/>
                  <w:vAlign w:val="center"/>
                </w:tcPr>
                <w:p w14:paraId="0BF0B24A">
                  <w:pPr>
                    <w:pStyle w:val="27"/>
                    <w:keepNext w:val="0"/>
                    <w:keepLines w:val="0"/>
                    <w:suppressLineNumbers w:val="0"/>
                    <w:bidi w:val="0"/>
                    <w:spacing w:before="0" w:beforeAutospacing="0" w:after="0" w:afterAutospacing="0"/>
                    <w:ind w:left="0" w:right="0"/>
                    <w:rPr>
                      <w:rFonts w:eastAsia="宋体"/>
                      <w:color w:val="auto"/>
                      <w:highlight w:val="none"/>
                    </w:rPr>
                  </w:pPr>
                  <w:r>
                    <w:rPr>
                      <w:rFonts w:hint="eastAsia"/>
                      <w:color w:val="auto"/>
                      <w:highlight w:val="none"/>
                      <w:lang w:val="en-US" w:eastAsia="zh-CN"/>
                    </w:rPr>
                    <w:t>液体</w:t>
                  </w:r>
                  <w:r>
                    <w:rPr>
                      <w:rFonts w:hint="eastAsia" w:eastAsia="宋体"/>
                      <w:color w:val="auto"/>
                      <w:highlight w:val="none"/>
                    </w:rPr>
                    <w:t>试剂仓库</w:t>
                  </w:r>
                </w:p>
              </w:tc>
              <w:tc>
                <w:tcPr>
                  <w:tcW w:w="1216" w:type="pct"/>
                  <w:noWrap w:val="0"/>
                  <w:vAlign w:val="center"/>
                </w:tcPr>
                <w:p w14:paraId="2E91930A">
                  <w:pPr>
                    <w:pStyle w:val="2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eastAsia="宋体"/>
                      <w:color w:val="auto"/>
                      <w:highlight w:val="none"/>
                    </w:rPr>
                    <w:t>盐酸、硫酸、硝酸、磷酸、乙醇、氨水、丙酮、硫酸汞、碘化汞</w:t>
                  </w:r>
                  <w:r>
                    <w:rPr>
                      <w:rFonts w:hint="eastAsia" w:eastAsia="宋体"/>
                      <w:color w:val="auto"/>
                      <w:highlight w:val="none"/>
                      <w:lang w:val="en-US" w:eastAsia="zh-CN"/>
                    </w:rPr>
                    <w:t>等</w:t>
                  </w:r>
                </w:p>
              </w:tc>
              <w:tc>
                <w:tcPr>
                  <w:tcW w:w="675" w:type="pct"/>
                  <w:noWrap w:val="0"/>
                  <w:vAlign w:val="center"/>
                </w:tcPr>
                <w:p w14:paraId="1094CF3A">
                  <w:pPr>
                    <w:pStyle w:val="27"/>
                    <w:keepNext w:val="0"/>
                    <w:keepLines w:val="0"/>
                    <w:suppressLineNumbers w:val="0"/>
                    <w:bidi w:val="0"/>
                    <w:spacing w:before="0" w:beforeAutospacing="0" w:after="0" w:afterAutospacing="0"/>
                    <w:ind w:left="0" w:right="0"/>
                    <w:rPr>
                      <w:rFonts w:hint="eastAsia" w:eastAsia="宋体"/>
                      <w:color w:val="auto"/>
                      <w:highlight w:val="none"/>
                    </w:rPr>
                  </w:pPr>
                  <w:r>
                    <w:rPr>
                      <w:rFonts w:eastAsia="宋体"/>
                      <w:color w:val="auto"/>
                      <w:highlight w:val="none"/>
                    </w:rPr>
                    <w:t>泄露</w:t>
                  </w:r>
                </w:p>
              </w:tc>
              <w:tc>
                <w:tcPr>
                  <w:tcW w:w="1314" w:type="pct"/>
                  <w:noWrap w:val="0"/>
                  <w:vAlign w:val="center"/>
                </w:tcPr>
                <w:p w14:paraId="3635E36E">
                  <w:pPr>
                    <w:pStyle w:val="27"/>
                    <w:keepNext w:val="0"/>
                    <w:keepLines w:val="0"/>
                    <w:suppressLineNumbers w:val="0"/>
                    <w:bidi w:val="0"/>
                    <w:spacing w:before="0" w:beforeAutospacing="0" w:after="0" w:afterAutospacing="0"/>
                    <w:ind w:left="0" w:right="0"/>
                    <w:rPr>
                      <w:rFonts w:eastAsia="宋体"/>
                      <w:color w:val="auto"/>
                      <w:highlight w:val="none"/>
                    </w:rPr>
                  </w:pPr>
                  <w:r>
                    <w:rPr>
                      <w:rFonts w:hint="eastAsia"/>
                      <w:color w:val="auto"/>
                      <w:highlight w:val="none"/>
                      <w:lang w:eastAsia="zh-CN"/>
                    </w:rPr>
                    <w:t>泄漏</w:t>
                  </w:r>
                  <w:r>
                    <w:rPr>
                      <w:rFonts w:eastAsia="宋体"/>
                      <w:color w:val="auto"/>
                      <w:highlight w:val="none"/>
                    </w:rPr>
                    <w:t>液体挥发，对环境空气产生不利影响。</w:t>
                  </w:r>
                </w:p>
              </w:tc>
              <w:tc>
                <w:tcPr>
                  <w:tcW w:w="922" w:type="pct"/>
                  <w:noWrap w:val="0"/>
                  <w:vAlign w:val="center"/>
                </w:tcPr>
                <w:p w14:paraId="75159920">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周边居民</w:t>
                  </w:r>
                </w:p>
              </w:tc>
            </w:tr>
            <w:tr w14:paraId="7B37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 w:hRule="atLeast"/>
                <w:jc w:val="center"/>
              </w:trPr>
              <w:tc>
                <w:tcPr>
                  <w:tcW w:w="441" w:type="pct"/>
                  <w:noWrap w:val="0"/>
                  <w:vAlign w:val="center"/>
                </w:tcPr>
                <w:p w14:paraId="7A837A6F">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环保设施</w:t>
                  </w:r>
                </w:p>
              </w:tc>
              <w:tc>
                <w:tcPr>
                  <w:tcW w:w="429" w:type="pct"/>
                  <w:noWrap w:val="0"/>
                  <w:vAlign w:val="center"/>
                </w:tcPr>
                <w:p w14:paraId="0750432C">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危废储存区</w:t>
                  </w:r>
                </w:p>
              </w:tc>
              <w:tc>
                <w:tcPr>
                  <w:tcW w:w="1216" w:type="pct"/>
                  <w:noWrap w:val="0"/>
                  <w:vAlign w:val="center"/>
                </w:tcPr>
                <w:p w14:paraId="6135C764">
                  <w:pPr>
                    <w:pStyle w:val="27"/>
                    <w:keepNext w:val="0"/>
                    <w:keepLines w:val="0"/>
                    <w:suppressLineNumbers w:val="0"/>
                    <w:bidi w:val="0"/>
                    <w:spacing w:before="0" w:beforeAutospacing="0" w:after="0" w:afterAutospacing="0"/>
                    <w:ind w:left="0" w:right="0"/>
                    <w:rPr>
                      <w:rFonts w:hint="eastAsia" w:eastAsia="宋体"/>
                      <w:color w:val="auto"/>
                      <w:highlight w:val="none"/>
                    </w:rPr>
                  </w:pPr>
                  <w:r>
                    <w:rPr>
                      <w:rFonts w:eastAsia="宋体"/>
                      <w:color w:val="auto"/>
                      <w:highlight w:val="none"/>
                    </w:rPr>
                    <w:t>实验废物、废活性炭、</w:t>
                  </w:r>
                  <w:r>
                    <w:rPr>
                      <w:rFonts w:hint="eastAsia" w:eastAsia="宋体"/>
                      <w:color w:val="auto"/>
                      <w:highlight w:val="none"/>
                    </w:rPr>
                    <w:t>废紫外线灯管等</w:t>
                  </w:r>
                </w:p>
              </w:tc>
              <w:tc>
                <w:tcPr>
                  <w:tcW w:w="675" w:type="pct"/>
                  <w:noWrap w:val="0"/>
                  <w:vAlign w:val="center"/>
                </w:tcPr>
                <w:p w14:paraId="0E09E8EC">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盛装容器破损导致</w:t>
                  </w:r>
                  <w:r>
                    <w:rPr>
                      <w:rFonts w:hint="eastAsia"/>
                      <w:color w:val="auto"/>
                      <w:highlight w:val="none"/>
                      <w:lang w:eastAsia="zh-CN"/>
                    </w:rPr>
                    <w:t>泄漏</w:t>
                  </w:r>
                </w:p>
              </w:tc>
              <w:tc>
                <w:tcPr>
                  <w:tcW w:w="1314" w:type="pct"/>
                  <w:noWrap w:val="0"/>
                  <w:vAlign w:val="center"/>
                </w:tcPr>
                <w:p w14:paraId="07CABD7B">
                  <w:pPr>
                    <w:pStyle w:val="27"/>
                    <w:keepNext w:val="0"/>
                    <w:keepLines w:val="0"/>
                    <w:suppressLineNumbers w:val="0"/>
                    <w:bidi w:val="0"/>
                    <w:spacing w:before="0" w:beforeAutospacing="0" w:after="0" w:afterAutospacing="0"/>
                    <w:ind w:left="0" w:right="0"/>
                    <w:rPr>
                      <w:rFonts w:eastAsia="宋体"/>
                      <w:color w:val="auto"/>
                      <w:highlight w:val="none"/>
                    </w:rPr>
                  </w:pPr>
                  <w:r>
                    <w:rPr>
                      <w:rFonts w:hint="eastAsia"/>
                      <w:color w:val="auto"/>
                      <w:highlight w:val="none"/>
                      <w:lang w:eastAsia="zh-CN"/>
                    </w:rPr>
                    <w:t>泄漏</w:t>
                  </w:r>
                  <w:r>
                    <w:rPr>
                      <w:rFonts w:eastAsia="宋体"/>
                      <w:color w:val="auto"/>
                      <w:highlight w:val="none"/>
                    </w:rPr>
                    <w:t>液体挥发的有毒有害气体扩散到大气中，对环境空气产生不利影响</w:t>
                  </w:r>
                </w:p>
              </w:tc>
              <w:tc>
                <w:tcPr>
                  <w:tcW w:w="922" w:type="pct"/>
                  <w:noWrap w:val="0"/>
                  <w:vAlign w:val="center"/>
                </w:tcPr>
                <w:p w14:paraId="3642901E">
                  <w:pPr>
                    <w:pStyle w:val="27"/>
                    <w:keepNext w:val="0"/>
                    <w:keepLines w:val="0"/>
                    <w:suppressLineNumbers w:val="0"/>
                    <w:bidi w:val="0"/>
                    <w:spacing w:before="0" w:beforeAutospacing="0" w:after="0" w:afterAutospacing="0"/>
                    <w:ind w:left="0" w:right="0"/>
                    <w:rPr>
                      <w:rFonts w:eastAsia="宋体"/>
                      <w:color w:val="auto"/>
                      <w:highlight w:val="none"/>
                    </w:rPr>
                  </w:pPr>
                  <w:r>
                    <w:rPr>
                      <w:rFonts w:eastAsia="宋体"/>
                      <w:color w:val="auto"/>
                      <w:highlight w:val="none"/>
                    </w:rPr>
                    <w:t>试剂较少，不会影响周边环境敏感目标</w:t>
                  </w:r>
                </w:p>
              </w:tc>
            </w:tr>
          </w:tbl>
          <w:p w14:paraId="2B9F2BE1">
            <w:pPr>
              <w:keepNext w:val="0"/>
              <w:keepLines w:val="0"/>
              <w:suppressLineNumbers w:val="0"/>
              <w:tabs>
                <w:tab w:val="left" w:pos="2295"/>
              </w:tabs>
              <w:spacing w:before="0" w:beforeAutospacing="0" w:after="0" w:afterAutospacing="0" w:line="360" w:lineRule="auto"/>
              <w:ind w:left="0" w:right="0" w:firstLine="482" w:firstLineChars="200"/>
              <w:jc w:val="left"/>
              <w:rPr>
                <w:rFonts w:hint="default" w:eastAsia="宋体"/>
                <w:b/>
                <w:bCs/>
                <w:color w:val="auto"/>
                <w:sz w:val="24"/>
                <w:highlight w:val="none"/>
                <w:lang w:val="en-US" w:eastAsia="zh-CN"/>
              </w:rPr>
            </w:pPr>
            <w:r>
              <w:rPr>
                <w:rFonts w:hint="eastAsia"/>
                <w:b/>
                <w:bCs/>
                <w:color w:val="auto"/>
                <w:sz w:val="24"/>
                <w:highlight w:val="none"/>
                <w:lang w:eastAsia="zh-CN"/>
              </w:rPr>
              <w:t>（</w:t>
            </w:r>
            <w:r>
              <w:rPr>
                <w:rFonts w:hint="eastAsia"/>
                <w:b/>
                <w:bCs/>
                <w:color w:val="auto"/>
                <w:sz w:val="24"/>
                <w:highlight w:val="none"/>
                <w:lang w:val="en-US" w:eastAsia="zh-CN"/>
              </w:rPr>
              <w:t>4</w:t>
            </w:r>
            <w:r>
              <w:rPr>
                <w:rFonts w:hint="eastAsia"/>
                <w:b/>
                <w:bCs/>
                <w:color w:val="auto"/>
                <w:sz w:val="24"/>
                <w:highlight w:val="none"/>
                <w:lang w:eastAsia="zh-CN"/>
              </w:rPr>
              <w:t>）</w:t>
            </w:r>
            <w:r>
              <w:rPr>
                <w:rFonts w:hint="eastAsia"/>
                <w:b/>
                <w:bCs/>
                <w:color w:val="auto"/>
                <w:sz w:val="24"/>
                <w:highlight w:val="none"/>
                <w:lang w:val="en-US" w:eastAsia="zh-CN"/>
              </w:rPr>
              <w:t>风险防范措施</w:t>
            </w:r>
          </w:p>
          <w:p w14:paraId="7F93AB8F">
            <w:pPr>
              <w:keepNext w:val="0"/>
              <w:keepLines w:val="0"/>
              <w:suppressLineNumbers w:val="0"/>
              <w:tabs>
                <w:tab w:val="left" w:pos="2295"/>
              </w:tabs>
              <w:spacing w:before="0" w:beforeAutospacing="0" w:after="0" w:afterAutospacing="0" w:line="360" w:lineRule="auto"/>
              <w:ind w:left="0" w:right="0" w:firstLine="482" w:firstLineChars="200"/>
              <w:jc w:val="left"/>
              <w:rPr>
                <w:rFonts w:hint="eastAsia"/>
                <w:b/>
                <w:bCs/>
                <w:color w:val="auto"/>
                <w:sz w:val="24"/>
                <w:highlight w:val="none"/>
              </w:rPr>
            </w:pPr>
            <w:r>
              <w:rPr>
                <w:rFonts w:hint="eastAsia"/>
                <w:b/>
                <w:bCs/>
                <w:color w:val="auto"/>
                <w:sz w:val="24"/>
                <w:highlight w:val="none"/>
              </w:rPr>
              <w:t>1）</w:t>
            </w:r>
            <w:r>
              <w:rPr>
                <w:rFonts w:hint="eastAsia"/>
                <w:b/>
                <w:bCs/>
                <w:color w:val="auto"/>
                <w:sz w:val="24"/>
                <w:highlight w:val="none"/>
                <w:lang w:val="en-US" w:eastAsia="zh-CN"/>
              </w:rPr>
              <w:t>安全管理措施</w:t>
            </w:r>
          </w:p>
          <w:p w14:paraId="2542D39F">
            <w:pPr>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①</w:t>
            </w:r>
            <w:r>
              <w:rPr>
                <w:rFonts w:hint="eastAsia"/>
                <w:color w:val="auto"/>
                <w:highlight w:val="none"/>
                <w:lang w:val="en-US" w:eastAsia="zh-CN"/>
              </w:rPr>
              <w:t>本项目建设的生物室为生物安全以及实验室，仅处理对成年人健康风险较低的微生物，常规的操作规程为常规洗手、避免直接接触样品、使用合适的消毒剂，同时采取必要的安全防护即可。</w:t>
            </w:r>
            <w:r>
              <w:rPr>
                <w:rFonts w:hint="eastAsia"/>
                <w:color w:val="auto"/>
                <w:highlight w:val="none"/>
              </w:rPr>
              <w:t>对于化学试剂的购买、储存、保管、使用等需按照相关规定管理执行。化学试剂必须储存在专用试剂库、专用试剂柜内，其储存方式、方法与储存数量必须符合国家有关规定，并由专人管理，化学试剂</w:t>
            </w:r>
            <w:r>
              <w:rPr>
                <w:rFonts w:hint="eastAsia"/>
                <w:color w:val="auto"/>
                <w:highlight w:val="none"/>
                <w:lang w:eastAsia="zh-CN"/>
              </w:rPr>
              <w:t>（</w:t>
            </w:r>
            <w:r>
              <w:rPr>
                <w:rFonts w:hint="eastAsia"/>
                <w:color w:val="auto"/>
                <w:highlight w:val="none"/>
                <w:lang w:val="en-US" w:eastAsia="zh-CN"/>
              </w:rPr>
              <w:t>易制毒、易爆等试剂</w:t>
            </w:r>
            <w:r>
              <w:rPr>
                <w:rFonts w:hint="eastAsia"/>
                <w:color w:val="auto"/>
                <w:highlight w:val="none"/>
                <w:lang w:eastAsia="zh-CN"/>
              </w:rPr>
              <w:t>）</w:t>
            </w:r>
            <w:r>
              <w:rPr>
                <w:rFonts w:hint="eastAsia"/>
                <w:color w:val="auto"/>
                <w:highlight w:val="none"/>
              </w:rPr>
              <w:t>出入库，必须进行核查登记，并定期检查库存。化学试剂库应当符合国家相关规定(安全、消防)要求，设置明显标志，且储存设备和安全设施应当定期检测。要求各类化学试剂分开储存，无机酸性试剂、碱性试剂和有机物试剂应该分别单独存放于试剂柜中，不相互混存，并设置专人负责试剂收发、验库、使用登记、报废等工作，建立化学试剂的管理办法，根据《实验室危险化学品安全管理规范》对拟建项目危险化学品管理进一步提出反馈意见。严格按照相关规定管理执行</w:t>
            </w:r>
            <w:r>
              <w:rPr>
                <w:rFonts w:hint="eastAsia"/>
                <w:color w:val="auto"/>
                <w:highlight w:val="none"/>
                <w:lang w:eastAsia="zh-CN"/>
              </w:rPr>
              <w:t>。</w:t>
            </w:r>
          </w:p>
          <w:p w14:paraId="59D838B6">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②危险化学品储存柜设施应避免阳光直晒及靠近暖气等热源，保持通风良好；</w:t>
            </w:r>
          </w:p>
          <w:p w14:paraId="5E5EA4F8">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③危险化学品包装物上应有符合GB15258规定的化学品安全标签；</w:t>
            </w:r>
          </w:p>
          <w:p w14:paraId="7653A80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④危险化学品包装不应</w:t>
            </w:r>
            <w:r>
              <w:rPr>
                <w:rFonts w:hint="eastAsia"/>
                <w:color w:val="auto"/>
                <w:highlight w:val="none"/>
                <w:lang w:eastAsia="zh-CN"/>
              </w:rPr>
              <w:t>泄漏</w:t>
            </w:r>
            <w:r>
              <w:rPr>
                <w:rFonts w:hint="eastAsia"/>
                <w:color w:val="auto"/>
                <w:highlight w:val="none"/>
              </w:rPr>
              <w:t>、生锈和损坏，封口应严密，摆放要做到安全、牢固、整齐、合理，不应使用通常用于贮存饮料及生活用品的器皿盛放危险化学品。</w:t>
            </w:r>
          </w:p>
          <w:p w14:paraId="25C447F1">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⑤严格落实危险废物各项法律制度，提高建设项目危险废物环境影响评价的规范化水平，促进危险废物的规范化监督管理。实验室废物、实验室废液要采用专用容器，明确各类废弃物标识，分类包装，分类堆放，并本着及时、方便、安全、快捷的原则，进行收集，实验室废物、实验室废液不能混合收集。当盛装的实验室废物、实验室废液达到包装物或者容器的3/4时，应当使用有效的封口方式，使包装物或者容器的封口紧实、严密。</w:t>
            </w:r>
          </w:p>
          <w:p w14:paraId="1ECBBF2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⑥</w:t>
            </w:r>
            <w:r>
              <w:rPr>
                <w:rFonts w:hint="eastAsia"/>
                <w:color w:val="auto"/>
                <w:highlight w:val="none"/>
              </w:rPr>
              <w:t>操作任何有潜在危害的废物时，必须穿戴手套和防护服。对有</w:t>
            </w:r>
            <w:r>
              <w:rPr>
                <w:rFonts w:hint="eastAsia"/>
                <w:color w:val="auto"/>
                <w:highlight w:val="none"/>
                <w:lang w:eastAsia="zh-CN"/>
              </w:rPr>
              <w:t>多种成分混合</w:t>
            </w:r>
            <w:r>
              <w:rPr>
                <w:rFonts w:hint="eastAsia"/>
                <w:color w:val="auto"/>
                <w:highlight w:val="none"/>
              </w:rPr>
              <w:t>的废物，应按危害等级较高者处理。根据有关规定，所有收集实验室废物、实验室废液的容器都应有</w:t>
            </w:r>
            <w:r>
              <w:rPr>
                <w:rFonts w:hint="eastAsia"/>
                <w:color w:val="auto"/>
                <w:highlight w:val="none"/>
                <w:lang w:eastAsia="zh-CN"/>
              </w:rPr>
              <w:t>“</w:t>
            </w:r>
            <w:r>
              <w:rPr>
                <w:rFonts w:hint="eastAsia"/>
                <w:color w:val="auto"/>
                <w:highlight w:val="none"/>
              </w:rPr>
              <w:t>腐蚀品、剧毒品</w:t>
            </w:r>
            <w:r>
              <w:rPr>
                <w:rFonts w:hint="eastAsia"/>
                <w:color w:val="auto"/>
                <w:highlight w:val="none"/>
                <w:lang w:eastAsia="zh-CN"/>
              </w:rPr>
              <w:t>”</w:t>
            </w:r>
            <w:r>
              <w:rPr>
                <w:rFonts w:hint="eastAsia"/>
                <w:color w:val="auto"/>
                <w:highlight w:val="none"/>
              </w:rPr>
              <w:t>等标志，应确保容器无泄漏。</w:t>
            </w:r>
          </w:p>
          <w:p w14:paraId="4E037949">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eastAsia="zh-CN"/>
              </w:rPr>
              <w:t>⑦</w:t>
            </w:r>
            <w:r>
              <w:rPr>
                <w:rFonts w:hint="eastAsia"/>
                <w:color w:val="auto"/>
                <w:highlight w:val="none"/>
              </w:rPr>
              <w:t>实验室废物的存放地点需要远离人员活动区、办公区和生活垃圾存放场所，方便实验室废物运送人员及运送工具、车辆的出入，有严密的封闭措施，设专（兼）职人员管理，防止非工作人员接触医疗废物，有防鼠、防蚊蝇、防蟑螂的安全措施；防止渗漏和雨水冲刷；易于清洁和消毒；避免阳光直射，设有明显的有害废物警示标识和</w:t>
            </w:r>
            <w:r>
              <w:rPr>
                <w:rFonts w:hint="eastAsia"/>
                <w:color w:val="auto"/>
                <w:highlight w:val="none"/>
                <w:lang w:eastAsia="zh-CN"/>
              </w:rPr>
              <w:t>“</w:t>
            </w:r>
            <w:r>
              <w:rPr>
                <w:rFonts w:hint="eastAsia"/>
                <w:color w:val="auto"/>
                <w:highlight w:val="none"/>
              </w:rPr>
              <w:t>禁止吸烟、饮食</w:t>
            </w:r>
            <w:r>
              <w:rPr>
                <w:rFonts w:hint="eastAsia"/>
                <w:color w:val="auto"/>
                <w:highlight w:val="none"/>
                <w:lang w:eastAsia="zh-CN"/>
              </w:rPr>
              <w:t>”</w:t>
            </w:r>
            <w:r>
              <w:rPr>
                <w:rFonts w:hint="eastAsia"/>
                <w:color w:val="auto"/>
                <w:highlight w:val="none"/>
              </w:rPr>
              <w:t>的警示标识。</w:t>
            </w:r>
          </w:p>
          <w:p w14:paraId="1636729D">
            <w:pPr>
              <w:keepNext w:val="0"/>
              <w:keepLines w:val="0"/>
              <w:suppressLineNumbers w:val="0"/>
              <w:tabs>
                <w:tab w:val="left" w:pos="2295"/>
              </w:tabs>
              <w:spacing w:before="0" w:beforeAutospacing="0" w:after="0" w:afterAutospacing="0" w:line="360" w:lineRule="auto"/>
              <w:ind w:left="0" w:right="0" w:firstLine="482" w:firstLineChars="200"/>
              <w:jc w:val="left"/>
              <w:rPr>
                <w:rFonts w:hint="eastAsia"/>
                <w:b/>
                <w:bCs/>
                <w:snapToGrid w:val="0"/>
                <w:color w:val="auto"/>
                <w:kern w:val="0"/>
                <w:sz w:val="24"/>
                <w:highlight w:val="none"/>
              </w:rPr>
            </w:pPr>
            <w:r>
              <w:rPr>
                <w:rFonts w:hint="default"/>
                <w:b/>
                <w:bCs/>
                <w:snapToGrid w:val="0"/>
                <w:color w:val="auto"/>
                <w:kern w:val="0"/>
                <w:sz w:val="24"/>
                <w:highlight w:val="none"/>
              </w:rPr>
              <w:t>2</w:t>
            </w:r>
            <w:r>
              <w:rPr>
                <w:rFonts w:hint="eastAsia"/>
                <w:b/>
                <w:bCs/>
                <w:snapToGrid w:val="0"/>
                <w:color w:val="auto"/>
                <w:kern w:val="0"/>
                <w:sz w:val="24"/>
                <w:highlight w:val="none"/>
              </w:rPr>
              <w:t>）贮存区风险防范措施</w:t>
            </w:r>
          </w:p>
          <w:p w14:paraId="0087FD6E">
            <w:pPr>
              <w:keepNext w:val="0"/>
              <w:keepLines w:val="0"/>
              <w:suppressLineNumbers w:val="0"/>
              <w:bidi w:val="0"/>
              <w:spacing w:before="0" w:beforeAutospacing="0" w:after="0" w:afterAutospacing="0"/>
              <w:ind w:left="0" w:right="0"/>
              <w:rPr>
                <w:rFonts w:hint="eastAsia"/>
                <w:color w:val="auto"/>
                <w:sz w:val="24"/>
                <w:szCs w:val="24"/>
                <w:highlight w:val="none"/>
                <w:lang w:eastAsia="zh-CN"/>
              </w:rPr>
            </w:pPr>
            <w:r>
              <w:rPr>
                <w:rFonts w:hint="eastAsia"/>
                <w:color w:val="auto"/>
                <w:sz w:val="24"/>
                <w:szCs w:val="24"/>
                <w:highlight w:val="none"/>
                <w:lang w:eastAsia="zh-CN"/>
              </w:rPr>
              <w:t>易燃易爆的化学试剂应当储存于阴凉通风的房间内，并根据药剂储存要求，合理合规的储存药剂，远离火种、热源，防止阳光直射，应与易燃或可燃物分开存放，搬运时轻装轻卸，防止试剂瓶破损或倾倒。</w:t>
            </w:r>
            <w:r>
              <w:rPr>
                <w:rFonts w:hint="default" w:ascii="宋体" w:hAnsi="宋体" w:eastAsia="宋体" w:cs="宋体"/>
                <w:b w:val="0"/>
                <w:bCs w:val="0"/>
                <w:color w:val="auto"/>
                <w:sz w:val="24"/>
                <w:szCs w:val="24"/>
                <w:highlight w:val="none"/>
              </w:rPr>
              <w:t>划定禁火区，在明显地点设有警示标志，输配电线、灯具、火灾事故照明和疏散指示标志均应符合安全要求。</w:t>
            </w:r>
          </w:p>
          <w:p w14:paraId="4DFB2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废气事故排放防范措施：</w:t>
            </w:r>
          </w:p>
          <w:p w14:paraId="34FC3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发生废气事故排放的原因主要包括：废气处理系统出现故障、设备开启、停运检修时废气直接排入大气环境中；由于设备老化、腐蚀、</w:t>
            </w:r>
            <w:r>
              <w:rPr>
                <w:rFonts w:hint="eastAsia" w:cs="Times New Roman"/>
                <w:b w:val="0"/>
                <w:bCs w:val="0"/>
                <w:color w:val="auto"/>
                <w:sz w:val="24"/>
                <w:szCs w:val="24"/>
                <w:highlight w:val="none"/>
                <w:lang w:eastAsia="zh-CN"/>
              </w:rPr>
              <w:t>失误</w:t>
            </w:r>
            <w:r>
              <w:rPr>
                <w:rFonts w:hint="default" w:ascii="Times New Roman" w:hAnsi="Times New Roman" w:eastAsia="宋体" w:cs="Times New Roman"/>
                <w:b w:val="0"/>
                <w:bCs w:val="0"/>
                <w:color w:val="auto"/>
                <w:sz w:val="24"/>
                <w:szCs w:val="24"/>
                <w:highlight w:val="none"/>
              </w:rPr>
              <w:t>操作等原因造成污水处理设施周边废气浓度超标；突然停电、废气处理系统停止工作，致使废气不能得到及时处理；对废气治理措施疏于管理，使治理措施处理效率降低造成废气浓度超标。为杜绝事故性废气排放，建议采用以下措施确保废气达标排放：①平时加强废气处理设施的维护保养，及时发现处理设备的隐患，并及时进行维修，确保废气处理系统正常运行；②建立健全的环保机构，配置必要的监测仪器，对管理人员和技术人员进行岗位培训，对废气处理实行全过程跟踪控制；若废气处理设施出现故障，应立即停止生产，待检修完成后再行生产。</w:t>
            </w:r>
          </w:p>
          <w:p w14:paraId="700D7CF8">
            <w:pPr>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综上，本项目风险潜势为I，环境风险影响较小。项目可能发生的风险事故为</w:t>
            </w:r>
            <w:r>
              <w:rPr>
                <w:rFonts w:hint="eastAsia" w:cs="Times New Roman"/>
                <w:color w:val="auto"/>
                <w:highlight w:val="none"/>
                <w:lang w:val="en-US" w:eastAsia="zh-CN"/>
              </w:rPr>
              <w:t>危废</w:t>
            </w:r>
            <w:r>
              <w:rPr>
                <w:rFonts w:hint="default" w:ascii="Times New Roman" w:hAnsi="Times New Roman" w:cs="Times New Roman"/>
                <w:color w:val="auto"/>
                <w:highlight w:val="none"/>
              </w:rPr>
              <w:t>泄漏</w:t>
            </w:r>
            <w:r>
              <w:rPr>
                <w:rFonts w:hint="eastAsia" w:cs="Times New Roman"/>
                <w:color w:val="auto"/>
                <w:highlight w:val="none"/>
                <w:lang w:eastAsia="zh-CN"/>
              </w:rPr>
              <w:t>、</w:t>
            </w:r>
            <w:r>
              <w:rPr>
                <w:rFonts w:hint="eastAsia" w:cs="Times New Roman"/>
                <w:color w:val="auto"/>
                <w:highlight w:val="none"/>
                <w:lang w:val="en-US" w:eastAsia="zh-CN"/>
              </w:rPr>
              <w:t>试剂泄漏</w:t>
            </w:r>
            <w:r>
              <w:rPr>
                <w:rFonts w:hint="default" w:ascii="Times New Roman" w:hAnsi="Times New Roman" w:cs="Times New Roman"/>
                <w:color w:val="auto"/>
                <w:highlight w:val="none"/>
              </w:rPr>
              <w:t>，通过采取风险防治措施，可有效降低事故发生概率，对外环境造成环境可接受。因此，本项目的环境风险可防控。</w:t>
            </w:r>
          </w:p>
          <w:p w14:paraId="076336C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0866A18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6EF4855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15D1FE4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4D48C45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40FE9A8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42C742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764FC12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27ADEDC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567AA30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17CA22D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59CE999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7481663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p w14:paraId="0836D0A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lang w:val="en-US" w:eastAsia="zh-CN"/>
              </w:rPr>
            </w:pPr>
          </w:p>
        </w:tc>
      </w:tr>
    </w:tbl>
    <w:p w14:paraId="33CABE16">
      <w:pPr>
        <w:pStyle w:val="4"/>
        <w:rPr>
          <w:color w:val="auto"/>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21C02D23">
      <w:pPr>
        <w:pStyle w:val="3"/>
        <w:bidi w:val="0"/>
        <w:rPr>
          <w:color w:val="auto"/>
          <w:highlight w:val="none"/>
        </w:rPr>
      </w:pPr>
      <w:r>
        <w:rPr>
          <w:color w:val="auto"/>
          <w:highlight w:val="none"/>
        </w:rPr>
        <w:t>五、</w:t>
      </w:r>
      <w:bookmarkStart w:id="3" w:name="_Hlk54167917"/>
      <w:r>
        <w:rPr>
          <w:color w:val="auto"/>
          <w:highlight w:val="none"/>
        </w:rPr>
        <w:t>环境保护措施监督检查清单</w:t>
      </w:r>
      <w:bookmarkEnd w:id="3"/>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642"/>
        <w:gridCol w:w="1344"/>
        <w:gridCol w:w="2155"/>
        <w:gridCol w:w="2346"/>
      </w:tblGrid>
      <w:tr w14:paraId="29E2D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tcBorders>
              <w:tl2br w:val="single" w:color="auto" w:sz="4" w:space="0"/>
            </w:tcBorders>
            <w:noWrap w:val="0"/>
            <w:vAlign w:val="top"/>
          </w:tcPr>
          <w:p w14:paraId="7D01682A">
            <w:pPr>
              <w:pStyle w:val="27"/>
              <w:keepNext w:val="0"/>
              <w:keepLines w:val="0"/>
              <w:suppressLineNumbers w:val="0"/>
              <w:bidi w:val="0"/>
              <w:spacing w:before="0" w:beforeAutospacing="0" w:after="0" w:afterAutospacing="0"/>
              <w:ind w:left="0" w:right="0"/>
              <w:jc w:val="right"/>
              <w:rPr>
                <w:b/>
                <w:bCs/>
                <w:color w:val="auto"/>
                <w:highlight w:val="none"/>
              </w:rPr>
            </w:pPr>
            <w:r>
              <w:rPr>
                <w:b/>
                <w:bCs/>
                <w:color w:val="auto"/>
                <w:highlight w:val="none"/>
              </w:rPr>
              <w:t>内容</w:t>
            </w:r>
          </w:p>
          <w:p w14:paraId="5A5860C2">
            <w:pPr>
              <w:pStyle w:val="27"/>
              <w:keepNext w:val="0"/>
              <w:keepLines w:val="0"/>
              <w:suppressLineNumbers w:val="0"/>
              <w:bidi w:val="0"/>
              <w:spacing w:before="0" w:beforeAutospacing="0" w:after="0" w:afterAutospacing="0"/>
              <w:ind w:left="0" w:right="0"/>
              <w:jc w:val="left"/>
              <w:rPr>
                <w:b/>
                <w:bCs/>
                <w:color w:val="auto"/>
                <w:highlight w:val="none"/>
              </w:rPr>
            </w:pPr>
            <w:r>
              <w:rPr>
                <w:b/>
                <w:bCs/>
                <w:color w:val="auto"/>
                <w:highlight w:val="none"/>
              </w:rPr>
              <w:t>要素</w:t>
            </w:r>
          </w:p>
        </w:tc>
        <w:tc>
          <w:tcPr>
            <w:tcW w:w="1642" w:type="dxa"/>
            <w:noWrap w:val="0"/>
            <w:vAlign w:val="center"/>
          </w:tcPr>
          <w:p w14:paraId="1CE9712A">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排放口</w:t>
            </w:r>
            <w:r>
              <w:rPr>
                <w:rFonts w:hint="eastAsia"/>
                <w:b/>
                <w:bCs/>
                <w:color w:val="auto"/>
                <w:highlight w:val="none"/>
                <w:lang w:eastAsia="zh-CN"/>
              </w:rPr>
              <w:t>（</w:t>
            </w:r>
            <w:r>
              <w:rPr>
                <w:b/>
                <w:bCs/>
                <w:color w:val="auto"/>
                <w:highlight w:val="none"/>
              </w:rPr>
              <w:t>编号、</w:t>
            </w:r>
          </w:p>
          <w:p w14:paraId="24E6E318">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名称</w:t>
            </w:r>
            <w:r>
              <w:rPr>
                <w:rFonts w:hint="eastAsia"/>
                <w:b/>
                <w:bCs/>
                <w:color w:val="auto"/>
                <w:highlight w:val="none"/>
                <w:lang w:eastAsia="zh-CN"/>
              </w:rPr>
              <w:t>）</w:t>
            </w:r>
            <w:r>
              <w:rPr>
                <w:b/>
                <w:bCs/>
                <w:color w:val="auto"/>
                <w:highlight w:val="none"/>
              </w:rPr>
              <w:t>/污染源</w:t>
            </w:r>
          </w:p>
        </w:tc>
        <w:tc>
          <w:tcPr>
            <w:tcW w:w="1344" w:type="dxa"/>
            <w:noWrap w:val="0"/>
            <w:vAlign w:val="center"/>
          </w:tcPr>
          <w:p w14:paraId="6CFE35B9">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污染物</w:t>
            </w:r>
          </w:p>
          <w:p w14:paraId="4ADD8511">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项目</w:t>
            </w:r>
          </w:p>
        </w:tc>
        <w:tc>
          <w:tcPr>
            <w:tcW w:w="2155" w:type="dxa"/>
            <w:noWrap w:val="0"/>
            <w:vAlign w:val="center"/>
          </w:tcPr>
          <w:p w14:paraId="512C2052">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环境保护措施</w:t>
            </w:r>
          </w:p>
        </w:tc>
        <w:tc>
          <w:tcPr>
            <w:tcW w:w="2346" w:type="dxa"/>
            <w:noWrap w:val="0"/>
            <w:vAlign w:val="center"/>
          </w:tcPr>
          <w:p w14:paraId="2252F9B4">
            <w:pPr>
              <w:pStyle w:val="27"/>
              <w:keepNext w:val="0"/>
              <w:keepLines w:val="0"/>
              <w:suppressLineNumbers w:val="0"/>
              <w:bidi w:val="0"/>
              <w:spacing w:before="0" w:beforeAutospacing="0" w:after="0" w:afterAutospacing="0"/>
              <w:ind w:left="0" w:right="0"/>
              <w:rPr>
                <w:b/>
                <w:bCs/>
                <w:color w:val="auto"/>
                <w:highlight w:val="none"/>
              </w:rPr>
            </w:pPr>
            <w:r>
              <w:rPr>
                <w:b/>
                <w:bCs/>
                <w:color w:val="auto"/>
                <w:highlight w:val="none"/>
              </w:rPr>
              <w:t>执行标准</w:t>
            </w:r>
          </w:p>
        </w:tc>
      </w:tr>
      <w:tr w14:paraId="6E310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vMerge w:val="restart"/>
            <w:noWrap w:val="0"/>
            <w:vAlign w:val="center"/>
          </w:tcPr>
          <w:p w14:paraId="40F49CD6">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大气环境</w:t>
            </w:r>
          </w:p>
        </w:tc>
        <w:tc>
          <w:tcPr>
            <w:tcW w:w="1642" w:type="dxa"/>
            <w:vMerge w:val="restart"/>
            <w:noWrap w:val="0"/>
            <w:vAlign w:val="center"/>
          </w:tcPr>
          <w:p w14:paraId="19EA820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DA001</w:t>
            </w:r>
          </w:p>
        </w:tc>
        <w:tc>
          <w:tcPr>
            <w:tcW w:w="1344" w:type="dxa"/>
            <w:noWrap w:val="0"/>
            <w:vAlign w:val="center"/>
          </w:tcPr>
          <w:p w14:paraId="547F8A6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硫酸雾、NOx、HCl</w:t>
            </w:r>
          </w:p>
        </w:tc>
        <w:tc>
          <w:tcPr>
            <w:tcW w:w="2155" w:type="dxa"/>
            <w:vMerge w:val="restart"/>
            <w:noWrap w:val="0"/>
            <w:vAlign w:val="center"/>
          </w:tcPr>
          <w:p w14:paraId="7E99AC0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实验室</w:t>
            </w:r>
            <w:r>
              <w:rPr>
                <w:rFonts w:hint="eastAsia"/>
                <w:color w:val="auto"/>
                <w:highlight w:val="none"/>
              </w:rPr>
              <w:t>密闭，</w:t>
            </w:r>
            <w:r>
              <w:rPr>
                <w:rFonts w:hint="eastAsia"/>
                <w:color w:val="auto"/>
                <w:highlight w:val="none"/>
                <w:lang w:val="en-US" w:eastAsia="zh-CN"/>
              </w:rPr>
              <w:t>通风橱收集经酸碱喷淋塔处理+20m排气筒排放</w:t>
            </w:r>
          </w:p>
        </w:tc>
        <w:tc>
          <w:tcPr>
            <w:tcW w:w="2346" w:type="dxa"/>
            <w:noWrap w:val="0"/>
            <w:vAlign w:val="center"/>
          </w:tcPr>
          <w:p w14:paraId="26BFB78A">
            <w:pPr>
              <w:pStyle w:val="27"/>
              <w:keepNext w:val="0"/>
              <w:keepLines w:val="0"/>
              <w:suppressLineNumbers w:val="0"/>
              <w:bidi w:val="0"/>
              <w:spacing w:before="0" w:beforeAutospacing="0" w:after="0" w:afterAutospacing="0"/>
              <w:ind w:left="0" w:right="0"/>
              <w:rPr>
                <w:rFonts w:hint="eastAsia"/>
                <w:color w:val="auto"/>
                <w:highlight w:val="none"/>
              </w:rPr>
            </w:pPr>
            <w:r>
              <w:rPr>
                <w:color w:val="auto"/>
                <w:highlight w:val="none"/>
              </w:rPr>
              <w:t>《大气污染物综合排放标准》（GB</w:t>
            </w:r>
            <w:r>
              <w:rPr>
                <w:rFonts w:hint="eastAsia"/>
                <w:color w:val="auto"/>
                <w:highlight w:val="none"/>
              </w:rPr>
              <w:t>16297-1996</w:t>
            </w:r>
            <w:r>
              <w:rPr>
                <w:color w:val="auto"/>
                <w:highlight w:val="none"/>
              </w:rPr>
              <w:t>）</w:t>
            </w:r>
          </w:p>
        </w:tc>
      </w:tr>
      <w:tr w14:paraId="2A04F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vMerge w:val="continue"/>
            <w:noWrap w:val="0"/>
            <w:vAlign w:val="center"/>
          </w:tcPr>
          <w:p w14:paraId="3C06BA80">
            <w:pPr>
              <w:pStyle w:val="27"/>
              <w:keepNext w:val="0"/>
              <w:keepLines w:val="0"/>
              <w:suppressLineNumbers w:val="0"/>
              <w:bidi w:val="0"/>
              <w:spacing w:before="0" w:beforeAutospacing="0" w:after="0" w:afterAutospacing="0"/>
              <w:ind w:left="0" w:right="0"/>
              <w:rPr>
                <w:color w:val="auto"/>
                <w:highlight w:val="none"/>
              </w:rPr>
            </w:pPr>
          </w:p>
        </w:tc>
        <w:tc>
          <w:tcPr>
            <w:tcW w:w="1642" w:type="dxa"/>
            <w:vMerge w:val="continue"/>
            <w:noWrap w:val="0"/>
            <w:vAlign w:val="center"/>
          </w:tcPr>
          <w:p w14:paraId="64A0FC63">
            <w:pPr>
              <w:pStyle w:val="27"/>
              <w:keepNext w:val="0"/>
              <w:keepLines w:val="0"/>
              <w:suppressLineNumbers w:val="0"/>
              <w:bidi w:val="0"/>
              <w:spacing w:before="0" w:beforeAutospacing="0" w:after="0" w:afterAutospacing="0"/>
              <w:ind w:left="0" w:right="0"/>
              <w:rPr>
                <w:rFonts w:hint="eastAsia"/>
                <w:color w:val="auto"/>
                <w:highlight w:val="none"/>
              </w:rPr>
            </w:pPr>
          </w:p>
        </w:tc>
        <w:tc>
          <w:tcPr>
            <w:tcW w:w="1344" w:type="dxa"/>
            <w:noWrap w:val="0"/>
            <w:vAlign w:val="center"/>
          </w:tcPr>
          <w:p w14:paraId="635EDE3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氨</w:t>
            </w:r>
          </w:p>
        </w:tc>
        <w:tc>
          <w:tcPr>
            <w:tcW w:w="2155" w:type="dxa"/>
            <w:vMerge w:val="continue"/>
            <w:noWrap w:val="0"/>
            <w:vAlign w:val="center"/>
          </w:tcPr>
          <w:p w14:paraId="720FB07D">
            <w:pPr>
              <w:pStyle w:val="27"/>
              <w:keepNext w:val="0"/>
              <w:keepLines w:val="0"/>
              <w:suppressLineNumbers w:val="0"/>
              <w:bidi w:val="0"/>
              <w:spacing w:before="0" w:beforeAutospacing="0" w:after="0" w:afterAutospacing="0"/>
              <w:ind w:left="0" w:right="0"/>
              <w:rPr>
                <w:rFonts w:hint="eastAsia"/>
                <w:color w:val="auto"/>
                <w:highlight w:val="none"/>
              </w:rPr>
            </w:pPr>
          </w:p>
        </w:tc>
        <w:tc>
          <w:tcPr>
            <w:tcW w:w="2346" w:type="dxa"/>
            <w:noWrap w:val="0"/>
            <w:vAlign w:val="center"/>
          </w:tcPr>
          <w:p w14:paraId="26317A42">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r>
              <w:rPr>
                <w:rFonts w:hint="eastAsia"/>
                <w:color w:val="auto"/>
                <w:highlight w:val="none"/>
              </w:rPr>
              <w:t>恶臭污染物排放标准</w:t>
            </w:r>
            <w:r>
              <w:rPr>
                <w:color w:val="auto"/>
                <w:highlight w:val="none"/>
              </w:rPr>
              <w:t>》（GB</w:t>
            </w:r>
            <w:r>
              <w:rPr>
                <w:rFonts w:hint="eastAsia"/>
                <w:color w:val="auto"/>
                <w:highlight w:val="none"/>
              </w:rPr>
              <w:t>1</w:t>
            </w:r>
            <w:r>
              <w:rPr>
                <w:rFonts w:hint="eastAsia"/>
                <w:color w:val="auto"/>
                <w:highlight w:val="none"/>
                <w:lang w:val="en-US" w:eastAsia="zh-CN"/>
              </w:rPr>
              <w:t>4554</w:t>
            </w:r>
            <w:r>
              <w:rPr>
                <w:rFonts w:hint="eastAsia"/>
                <w:color w:val="auto"/>
                <w:highlight w:val="none"/>
              </w:rPr>
              <w:t>-</w:t>
            </w:r>
            <w:r>
              <w:rPr>
                <w:rFonts w:hint="eastAsia"/>
                <w:color w:val="auto"/>
                <w:highlight w:val="none"/>
                <w:lang w:val="en-US" w:eastAsia="zh-CN"/>
              </w:rPr>
              <w:t>93</w:t>
            </w:r>
            <w:r>
              <w:rPr>
                <w:color w:val="auto"/>
                <w:highlight w:val="none"/>
              </w:rPr>
              <w:t>）</w:t>
            </w:r>
          </w:p>
        </w:tc>
      </w:tr>
      <w:tr w14:paraId="7664D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vMerge w:val="continue"/>
            <w:noWrap w:val="0"/>
            <w:vAlign w:val="center"/>
          </w:tcPr>
          <w:p w14:paraId="42DB6B84">
            <w:pPr>
              <w:pStyle w:val="27"/>
              <w:keepNext w:val="0"/>
              <w:keepLines w:val="0"/>
              <w:suppressLineNumbers w:val="0"/>
              <w:bidi w:val="0"/>
              <w:spacing w:before="0" w:beforeAutospacing="0" w:after="0" w:afterAutospacing="0"/>
              <w:ind w:left="0" w:right="0"/>
              <w:rPr>
                <w:color w:val="auto"/>
                <w:highlight w:val="none"/>
              </w:rPr>
            </w:pPr>
          </w:p>
        </w:tc>
        <w:tc>
          <w:tcPr>
            <w:tcW w:w="1642" w:type="dxa"/>
            <w:noWrap w:val="0"/>
            <w:vAlign w:val="center"/>
          </w:tcPr>
          <w:p w14:paraId="79547FFA">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eastAsia="zh-CN"/>
              </w:rPr>
            </w:pPr>
            <w:r>
              <w:rPr>
                <w:rFonts w:hint="eastAsia"/>
                <w:color w:val="auto"/>
                <w:highlight w:val="none"/>
              </w:rPr>
              <w:t>DA00</w:t>
            </w:r>
            <w:r>
              <w:rPr>
                <w:rFonts w:hint="eastAsia"/>
                <w:color w:val="auto"/>
                <w:highlight w:val="none"/>
                <w:lang w:val="en-US" w:eastAsia="zh-CN"/>
              </w:rPr>
              <w:t>2</w:t>
            </w:r>
          </w:p>
        </w:tc>
        <w:tc>
          <w:tcPr>
            <w:tcW w:w="1344" w:type="dxa"/>
            <w:noWrap w:val="0"/>
            <w:vAlign w:val="center"/>
          </w:tcPr>
          <w:p w14:paraId="24A6DE02">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非甲烷总烃</w:t>
            </w:r>
            <w:r>
              <w:rPr>
                <w:rFonts w:hint="eastAsia"/>
                <w:color w:val="auto"/>
                <w:highlight w:val="none"/>
                <w:lang w:eastAsia="zh-CN"/>
              </w:rPr>
              <w:t>、</w:t>
            </w:r>
            <w:r>
              <w:rPr>
                <w:rFonts w:hint="eastAsia"/>
                <w:color w:val="auto"/>
                <w:highlight w:val="none"/>
                <w:lang w:val="en-US" w:eastAsia="zh-CN"/>
              </w:rPr>
              <w:t>甲醛</w:t>
            </w:r>
          </w:p>
        </w:tc>
        <w:tc>
          <w:tcPr>
            <w:tcW w:w="2155" w:type="dxa"/>
            <w:noWrap w:val="0"/>
            <w:vAlign w:val="center"/>
          </w:tcPr>
          <w:p w14:paraId="0486964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实验室</w:t>
            </w:r>
            <w:r>
              <w:rPr>
                <w:rFonts w:hint="eastAsia"/>
                <w:color w:val="auto"/>
                <w:highlight w:val="none"/>
              </w:rPr>
              <w:t>密闭，</w:t>
            </w:r>
            <w:r>
              <w:rPr>
                <w:rFonts w:hint="eastAsia"/>
                <w:color w:val="auto"/>
                <w:highlight w:val="none"/>
                <w:lang w:val="en-US" w:eastAsia="zh-CN"/>
              </w:rPr>
              <w:t>有机废气</w:t>
            </w:r>
            <w:r>
              <w:rPr>
                <w:rFonts w:hint="eastAsia"/>
                <w:color w:val="auto"/>
                <w:highlight w:val="none"/>
              </w:rPr>
              <w:t>经</w:t>
            </w:r>
            <w:r>
              <w:rPr>
                <w:rFonts w:hint="eastAsia"/>
                <w:color w:val="auto"/>
                <w:highlight w:val="none"/>
                <w:lang w:val="en-US" w:eastAsia="zh-CN"/>
              </w:rPr>
              <w:t>通风橱、集气罩</w:t>
            </w:r>
            <w:r>
              <w:rPr>
                <w:rFonts w:hint="eastAsia"/>
                <w:color w:val="auto"/>
                <w:highlight w:val="none"/>
              </w:rPr>
              <w:t>收集经</w:t>
            </w:r>
            <w:r>
              <w:rPr>
                <w:rFonts w:hint="eastAsia"/>
                <w:color w:val="auto"/>
                <w:highlight w:val="none"/>
                <w:lang w:val="en-US" w:eastAsia="zh-CN"/>
              </w:rPr>
              <w:t>二级活性炭装置</w:t>
            </w:r>
            <w:r>
              <w:rPr>
                <w:rFonts w:hint="eastAsia"/>
                <w:color w:val="auto"/>
                <w:highlight w:val="none"/>
              </w:rPr>
              <w:t>+</w:t>
            </w:r>
            <w:r>
              <w:rPr>
                <w:rFonts w:hint="eastAsia"/>
                <w:color w:val="auto"/>
                <w:highlight w:val="none"/>
                <w:lang w:val="en-US" w:eastAsia="zh-CN"/>
              </w:rPr>
              <w:t>20</w:t>
            </w:r>
            <w:r>
              <w:rPr>
                <w:rFonts w:hint="eastAsia"/>
                <w:color w:val="auto"/>
                <w:highlight w:val="none"/>
              </w:rPr>
              <w:t>m排气筒</w:t>
            </w:r>
          </w:p>
        </w:tc>
        <w:tc>
          <w:tcPr>
            <w:tcW w:w="2346" w:type="dxa"/>
            <w:noWrap w:val="0"/>
            <w:vAlign w:val="center"/>
          </w:tcPr>
          <w:p w14:paraId="1654DE22">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color w:val="auto"/>
                <w:highlight w:val="none"/>
              </w:rPr>
              <w:t>《大气污染物综合排放标准》（GB</w:t>
            </w:r>
            <w:r>
              <w:rPr>
                <w:rFonts w:hint="eastAsia"/>
                <w:color w:val="auto"/>
                <w:highlight w:val="none"/>
              </w:rPr>
              <w:t>16297-1996</w:t>
            </w:r>
            <w:r>
              <w:rPr>
                <w:color w:val="auto"/>
                <w:highlight w:val="none"/>
              </w:rPr>
              <w:t>）</w:t>
            </w:r>
          </w:p>
        </w:tc>
      </w:tr>
      <w:tr w14:paraId="5EE0A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500" w:type="dxa"/>
            <w:vMerge w:val="continue"/>
            <w:noWrap w:val="0"/>
            <w:vAlign w:val="center"/>
          </w:tcPr>
          <w:p w14:paraId="7A317A90">
            <w:pPr>
              <w:pStyle w:val="27"/>
              <w:keepNext w:val="0"/>
              <w:keepLines w:val="0"/>
              <w:suppressLineNumbers w:val="0"/>
              <w:bidi w:val="0"/>
              <w:spacing w:before="0" w:beforeAutospacing="0" w:after="0" w:afterAutospacing="0"/>
              <w:ind w:left="0" w:right="0"/>
              <w:rPr>
                <w:color w:val="auto"/>
                <w:highlight w:val="none"/>
              </w:rPr>
            </w:pPr>
          </w:p>
        </w:tc>
        <w:tc>
          <w:tcPr>
            <w:tcW w:w="1642" w:type="dxa"/>
            <w:vMerge w:val="restart"/>
            <w:noWrap w:val="0"/>
            <w:vAlign w:val="center"/>
          </w:tcPr>
          <w:p w14:paraId="21C89683">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厂界</w:t>
            </w:r>
          </w:p>
        </w:tc>
        <w:tc>
          <w:tcPr>
            <w:tcW w:w="1344" w:type="dxa"/>
            <w:noWrap w:val="0"/>
            <w:vAlign w:val="center"/>
          </w:tcPr>
          <w:p w14:paraId="09052229">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颗粒物</w:t>
            </w:r>
            <w:r>
              <w:rPr>
                <w:rFonts w:hint="eastAsia"/>
                <w:color w:val="auto"/>
                <w:highlight w:val="none"/>
                <w:lang w:eastAsia="zh-CN"/>
              </w:rPr>
              <w:t>、</w:t>
            </w:r>
            <w:r>
              <w:rPr>
                <w:rFonts w:hint="eastAsia"/>
                <w:color w:val="auto"/>
                <w:highlight w:val="none"/>
              </w:rPr>
              <w:t>非甲烷总烃</w:t>
            </w:r>
            <w:r>
              <w:rPr>
                <w:rFonts w:hint="eastAsia"/>
                <w:color w:val="auto"/>
                <w:highlight w:val="none"/>
                <w:lang w:eastAsia="zh-CN"/>
              </w:rPr>
              <w:t>、</w:t>
            </w:r>
            <w:r>
              <w:rPr>
                <w:rFonts w:hint="eastAsia"/>
                <w:color w:val="auto"/>
                <w:highlight w:val="none"/>
                <w:lang w:val="en-US" w:eastAsia="zh-CN"/>
              </w:rPr>
              <w:t>甲醛、</w:t>
            </w:r>
            <w:r>
              <w:rPr>
                <w:rFonts w:hint="eastAsia"/>
                <w:color w:val="auto"/>
                <w:highlight w:val="none"/>
              </w:rPr>
              <w:t>硫酸雾、NOx、HCl</w:t>
            </w:r>
          </w:p>
        </w:tc>
        <w:tc>
          <w:tcPr>
            <w:tcW w:w="2155" w:type="dxa"/>
            <w:noWrap w:val="0"/>
            <w:vAlign w:val="center"/>
          </w:tcPr>
          <w:p w14:paraId="20FF5E33">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实验室</w:t>
            </w:r>
            <w:r>
              <w:rPr>
                <w:rFonts w:hint="eastAsia"/>
                <w:color w:val="auto"/>
                <w:highlight w:val="none"/>
              </w:rPr>
              <w:t>密闭，加大废气收集效率，减少无组织排放</w:t>
            </w:r>
          </w:p>
        </w:tc>
        <w:tc>
          <w:tcPr>
            <w:tcW w:w="2346" w:type="dxa"/>
            <w:noWrap w:val="0"/>
            <w:vAlign w:val="center"/>
          </w:tcPr>
          <w:p w14:paraId="123CAF4C">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《大气污染物综合排放标准》（GB</w:t>
            </w:r>
            <w:r>
              <w:rPr>
                <w:rFonts w:hint="eastAsia"/>
                <w:color w:val="auto"/>
                <w:highlight w:val="none"/>
              </w:rPr>
              <w:t>16297-1996</w:t>
            </w:r>
            <w:r>
              <w:rPr>
                <w:color w:val="auto"/>
                <w:highlight w:val="none"/>
              </w:rPr>
              <w:t>）</w:t>
            </w:r>
          </w:p>
        </w:tc>
      </w:tr>
      <w:tr w14:paraId="0E27F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500" w:type="dxa"/>
            <w:vMerge w:val="continue"/>
            <w:noWrap w:val="0"/>
            <w:vAlign w:val="center"/>
          </w:tcPr>
          <w:p w14:paraId="5FAB96A6">
            <w:pPr>
              <w:pStyle w:val="27"/>
              <w:keepNext w:val="0"/>
              <w:keepLines w:val="0"/>
              <w:suppressLineNumbers w:val="0"/>
              <w:bidi w:val="0"/>
              <w:spacing w:before="0" w:beforeAutospacing="0" w:after="0" w:afterAutospacing="0"/>
              <w:ind w:left="0" w:right="0"/>
              <w:rPr>
                <w:color w:val="auto"/>
                <w:highlight w:val="none"/>
              </w:rPr>
            </w:pPr>
          </w:p>
        </w:tc>
        <w:tc>
          <w:tcPr>
            <w:tcW w:w="1642" w:type="dxa"/>
            <w:vMerge w:val="continue"/>
            <w:noWrap w:val="0"/>
            <w:vAlign w:val="center"/>
          </w:tcPr>
          <w:p w14:paraId="0F14ABE8">
            <w:pPr>
              <w:pStyle w:val="27"/>
              <w:keepNext w:val="0"/>
              <w:keepLines w:val="0"/>
              <w:suppressLineNumbers w:val="0"/>
              <w:bidi w:val="0"/>
              <w:spacing w:before="0" w:beforeAutospacing="0" w:after="0" w:afterAutospacing="0"/>
              <w:ind w:left="0" w:right="0"/>
              <w:rPr>
                <w:rFonts w:hint="eastAsia"/>
                <w:color w:val="auto"/>
                <w:highlight w:val="none"/>
              </w:rPr>
            </w:pPr>
          </w:p>
        </w:tc>
        <w:tc>
          <w:tcPr>
            <w:tcW w:w="1344" w:type="dxa"/>
            <w:noWrap w:val="0"/>
            <w:vAlign w:val="center"/>
          </w:tcPr>
          <w:p w14:paraId="061F8AE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氨</w:t>
            </w:r>
          </w:p>
        </w:tc>
        <w:tc>
          <w:tcPr>
            <w:tcW w:w="2155" w:type="dxa"/>
            <w:noWrap w:val="0"/>
            <w:vAlign w:val="center"/>
          </w:tcPr>
          <w:p w14:paraId="40097CD8">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实验室</w:t>
            </w:r>
            <w:r>
              <w:rPr>
                <w:rFonts w:hint="eastAsia"/>
                <w:color w:val="auto"/>
                <w:highlight w:val="none"/>
              </w:rPr>
              <w:t>密闭，加大废气收集效率，减少无组织排放</w:t>
            </w:r>
          </w:p>
        </w:tc>
        <w:tc>
          <w:tcPr>
            <w:tcW w:w="2346" w:type="dxa"/>
            <w:noWrap w:val="0"/>
            <w:vAlign w:val="center"/>
          </w:tcPr>
          <w:p w14:paraId="63F395E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r>
              <w:rPr>
                <w:rFonts w:hint="eastAsia"/>
                <w:color w:val="auto"/>
                <w:highlight w:val="none"/>
              </w:rPr>
              <w:t>恶臭污染物排放标准</w:t>
            </w:r>
            <w:r>
              <w:rPr>
                <w:color w:val="auto"/>
                <w:highlight w:val="none"/>
              </w:rPr>
              <w:t>》（GB</w:t>
            </w:r>
            <w:r>
              <w:rPr>
                <w:rFonts w:hint="eastAsia"/>
                <w:color w:val="auto"/>
                <w:highlight w:val="none"/>
              </w:rPr>
              <w:t>1</w:t>
            </w:r>
            <w:r>
              <w:rPr>
                <w:rFonts w:hint="eastAsia"/>
                <w:color w:val="auto"/>
                <w:highlight w:val="none"/>
                <w:lang w:val="en-US" w:eastAsia="zh-CN"/>
              </w:rPr>
              <w:t>4554</w:t>
            </w:r>
            <w:r>
              <w:rPr>
                <w:rFonts w:hint="eastAsia"/>
                <w:color w:val="auto"/>
                <w:highlight w:val="none"/>
              </w:rPr>
              <w:t>-</w:t>
            </w:r>
            <w:r>
              <w:rPr>
                <w:rFonts w:hint="eastAsia"/>
                <w:color w:val="auto"/>
                <w:highlight w:val="none"/>
                <w:lang w:val="en-US" w:eastAsia="zh-CN"/>
              </w:rPr>
              <w:t>93</w:t>
            </w:r>
            <w:r>
              <w:rPr>
                <w:color w:val="auto"/>
                <w:highlight w:val="none"/>
              </w:rPr>
              <w:t>）</w:t>
            </w:r>
          </w:p>
        </w:tc>
      </w:tr>
      <w:tr w14:paraId="4A6B7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vMerge w:val="continue"/>
            <w:noWrap w:val="0"/>
            <w:vAlign w:val="center"/>
          </w:tcPr>
          <w:p w14:paraId="5545A564">
            <w:pPr>
              <w:pStyle w:val="27"/>
              <w:keepNext w:val="0"/>
              <w:keepLines w:val="0"/>
              <w:suppressLineNumbers w:val="0"/>
              <w:bidi w:val="0"/>
              <w:spacing w:before="0" w:beforeAutospacing="0" w:after="0" w:afterAutospacing="0"/>
              <w:ind w:left="0" w:right="0"/>
              <w:rPr>
                <w:color w:val="auto"/>
                <w:highlight w:val="none"/>
              </w:rPr>
            </w:pPr>
          </w:p>
        </w:tc>
        <w:tc>
          <w:tcPr>
            <w:tcW w:w="1642" w:type="dxa"/>
            <w:noWrap w:val="0"/>
            <w:vAlign w:val="center"/>
          </w:tcPr>
          <w:p w14:paraId="46C04BB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厂区</w:t>
            </w:r>
          </w:p>
        </w:tc>
        <w:tc>
          <w:tcPr>
            <w:tcW w:w="1344" w:type="dxa"/>
            <w:noWrap w:val="0"/>
            <w:vAlign w:val="center"/>
          </w:tcPr>
          <w:p w14:paraId="0D1578A9">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非甲烷总烃</w:t>
            </w:r>
          </w:p>
        </w:tc>
        <w:tc>
          <w:tcPr>
            <w:tcW w:w="2155" w:type="dxa"/>
            <w:noWrap w:val="0"/>
            <w:vAlign w:val="center"/>
          </w:tcPr>
          <w:p w14:paraId="75C222B9">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车间密闭，加大废气收集效率，减少无组织排放</w:t>
            </w:r>
          </w:p>
        </w:tc>
        <w:tc>
          <w:tcPr>
            <w:tcW w:w="2346" w:type="dxa"/>
            <w:noWrap w:val="0"/>
            <w:vAlign w:val="center"/>
          </w:tcPr>
          <w:p w14:paraId="7939C19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《挥发性有机物无组织排放控制标准》（GB37822-2019）</w:t>
            </w:r>
          </w:p>
        </w:tc>
      </w:tr>
      <w:tr w14:paraId="122D0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noWrap w:val="0"/>
            <w:vAlign w:val="center"/>
          </w:tcPr>
          <w:p w14:paraId="164ED7C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地表水环境</w:t>
            </w:r>
          </w:p>
        </w:tc>
        <w:tc>
          <w:tcPr>
            <w:tcW w:w="1642" w:type="dxa"/>
            <w:noWrap w:val="0"/>
            <w:vAlign w:val="center"/>
          </w:tcPr>
          <w:p w14:paraId="7DA3F16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344" w:type="dxa"/>
            <w:noWrap w:val="0"/>
            <w:vAlign w:val="center"/>
          </w:tcPr>
          <w:p w14:paraId="46ED3D1F">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pH、</w:t>
            </w:r>
            <w:r>
              <w:rPr>
                <w:color w:val="auto"/>
                <w:highlight w:val="none"/>
              </w:rPr>
              <w:t>COD、</w:t>
            </w:r>
            <w:r>
              <w:rPr>
                <w:rFonts w:hint="eastAsia"/>
                <w:color w:val="auto"/>
                <w:highlight w:val="none"/>
              </w:rPr>
              <w:t>BOD</w:t>
            </w:r>
            <w:r>
              <w:rPr>
                <w:rFonts w:hint="eastAsia"/>
                <w:color w:val="auto"/>
                <w:highlight w:val="none"/>
                <w:vertAlign w:val="subscript"/>
              </w:rPr>
              <w:t>5</w:t>
            </w:r>
            <w:r>
              <w:rPr>
                <w:color w:val="auto"/>
                <w:highlight w:val="none"/>
              </w:rPr>
              <w:t>、SS、NH</w:t>
            </w:r>
            <w:r>
              <w:rPr>
                <w:color w:val="auto"/>
                <w:highlight w:val="none"/>
                <w:vertAlign w:val="subscript"/>
              </w:rPr>
              <w:t>3</w:t>
            </w:r>
            <w:r>
              <w:rPr>
                <w:color w:val="auto"/>
                <w:highlight w:val="none"/>
              </w:rPr>
              <w:t>-N</w:t>
            </w:r>
            <w:r>
              <w:rPr>
                <w:rFonts w:hint="eastAsia"/>
                <w:color w:val="auto"/>
                <w:highlight w:val="none"/>
              </w:rPr>
              <w:t>等</w:t>
            </w:r>
          </w:p>
        </w:tc>
        <w:tc>
          <w:tcPr>
            <w:tcW w:w="2155" w:type="dxa"/>
            <w:noWrap w:val="0"/>
            <w:vAlign w:val="center"/>
          </w:tcPr>
          <w:p w14:paraId="0CF02F6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生活污水</w:t>
            </w:r>
            <w:r>
              <w:rPr>
                <w:rFonts w:hint="eastAsia"/>
                <w:color w:val="auto"/>
                <w:highlight w:val="none"/>
                <w:lang w:eastAsia="zh-CN"/>
              </w:rPr>
              <w:t>、</w:t>
            </w:r>
            <w:r>
              <w:rPr>
                <w:rFonts w:hint="eastAsia"/>
                <w:color w:val="auto"/>
                <w:highlight w:val="none"/>
                <w:lang w:val="en-US" w:eastAsia="zh-CN"/>
              </w:rPr>
              <w:t>保洁废水、</w:t>
            </w:r>
            <w:r>
              <w:rPr>
                <w:color w:val="auto"/>
                <w:highlight w:val="none"/>
              </w:rPr>
              <w:t>经厂区化粪池</w:t>
            </w:r>
            <w:r>
              <w:rPr>
                <w:rFonts w:hint="eastAsia"/>
                <w:color w:val="auto"/>
                <w:highlight w:val="none"/>
              </w:rPr>
              <w:t>预</w:t>
            </w:r>
            <w:r>
              <w:rPr>
                <w:color w:val="auto"/>
                <w:highlight w:val="none"/>
              </w:rPr>
              <w:t>处理后</w:t>
            </w:r>
            <w:r>
              <w:rPr>
                <w:rFonts w:hint="eastAsia"/>
                <w:color w:val="auto"/>
                <w:highlight w:val="none"/>
              </w:rPr>
              <w:t>接管</w:t>
            </w:r>
            <w:r>
              <w:rPr>
                <w:rFonts w:hint="eastAsia"/>
                <w:color w:val="auto"/>
                <w:highlight w:val="none"/>
                <w:lang w:val="en-US" w:eastAsia="zh-CN"/>
              </w:rPr>
              <w:t>山南新区污水处理厂，纯水制备浓水、空调冷却系统排水直接接管山南新区污水处理厂</w:t>
            </w:r>
            <w:r>
              <w:rPr>
                <w:rFonts w:hint="eastAsia"/>
                <w:color w:val="auto"/>
                <w:highlight w:val="none"/>
                <w:lang w:eastAsia="zh-CN"/>
              </w:rPr>
              <w:t>，</w:t>
            </w:r>
            <w:r>
              <w:rPr>
                <w:rFonts w:hint="eastAsia"/>
                <w:color w:val="auto"/>
                <w:highlight w:val="none"/>
                <w:lang w:val="en-US" w:eastAsia="zh-CN"/>
              </w:rPr>
              <w:t>实验废水、喷淋废水经污水处理设施处理后接管山南新区污水处理厂</w:t>
            </w:r>
          </w:p>
        </w:tc>
        <w:tc>
          <w:tcPr>
            <w:tcW w:w="2346" w:type="dxa"/>
            <w:noWrap w:val="0"/>
            <w:vAlign w:val="center"/>
          </w:tcPr>
          <w:p w14:paraId="492A712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0000FF"/>
                <w:highlight w:val="none"/>
              </w:rPr>
              <w:t>《污水综合排放标准》（GB8978-1996）中三级标准和</w:t>
            </w:r>
            <w:r>
              <w:rPr>
                <w:rFonts w:hint="eastAsia"/>
                <w:color w:val="0000FF"/>
                <w:highlight w:val="none"/>
                <w:lang w:val="en-US" w:eastAsia="zh-CN"/>
              </w:rPr>
              <w:t>山南新区污水处理厂</w:t>
            </w:r>
            <w:r>
              <w:rPr>
                <w:rFonts w:hint="eastAsia"/>
                <w:color w:val="0000FF"/>
                <w:highlight w:val="none"/>
              </w:rPr>
              <w:t>接管标准</w:t>
            </w:r>
            <w:r>
              <w:rPr>
                <w:rFonts w:hint="eastAsia"/>
                <w:color w:val="0000FF"/>
                <w:highlight w:val="none"/>
                <w:lang w:val="en-US" w:eastAsia="zh-CN"/>
              </w:rPr>
              <w:t>中较严值</w:t>
            </w:r>
          </w:p>
        </w:tc>
      </w:tr>
      <w:tr w14:paraId="74592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noWrap w:val="0"/>
            <w:vAlign w:val="center"/>
          </w:tcPr>
          <w:p w14:paraId="34E34E9E">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声环境</w:t>
            </w:r>
          </w:p>
        </w:tc>
        <w:tc>
          <w:tcPr>
            <w:tcW w:w="1642" w:type="dxa"/>
            <w:noWrap w:val="0"/>
            <w:vAlign w:val="center"/>
          </w:tcPr>
          <w:p w14:paraId="36C85C2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实验室周界</w:t>
            </w:r>
          </w:p>
        </w:tc>
        <w:tc>
          <w:tcPr>
            <w:tcW w:w="1344" w:type="dxa"/>
            <w:noWrap w:val="0"/>
            <w:vAlign w:val="center"/>
          </w:tcPr>
          <w:p w14:paraId="6984AFA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设备噪声</w:t>
            </w:r>
          </w:p>
        </w:tc>
        <w:tc>
          <w:tcPr>
            <w:tcW w:w="2155" w:type="dxa"/>
            <w:noWrap w:val="0"/>
            <w:vAlign w:val="center"/>
          </w:tcPr>
          <w:p w14:paraId="1CC21204">
            <w:pPr>
              <w:pStyle w:val="27"/>
              <w:keepNext w:val="0"/>
              <w:keepLines w:val="0"/>
              <w:suppressLineNumbers w:val="0"/>
              <w:bidi w:val="0"/>
              <w:spacing w:before="0" w:beforeAutospacing="0" w:after="0" w:afterAutospacing="0"/>
              <w:ind w:left="0" w:right="0"/>
              <w:rPr>
                <w:rFonts w:hint="eastAsia"/>
                <w:color w:val="auto"/>
                <w:highlight w:val="none"/>
              </w:rPr>
            </w:pPr>
            <w:r>
              <w:rPr>
                <w:color w:val="auto"/>
                <w:highlight w:val="none"/>
              </w:rPr>
              <w:t>优先选用低噪声设备，部分设备安装减振垫，加强设备养护，位于厂房内部，自身墙体门窗隔声</w:t>
            </w:r>
            <w:r>
              <w:rPr>
                <w:rFonts w:hint="eastAsia"/>
                <w:color w:val="auto"/>
                <w:highlight w:val="none"/>
              </w:rPr>
              <w:t>。</w:t>
            </w:r>
          </w:p>
        </w:tc>
        <w:tc>
          <w:tcPr>
            <w:tcW w:w="2346" w:type="dxa"/>
            <w:noWrap w:val="0"/>
            <w:vAlign w:val="center"/>
          </w:tcPr>
          <w:p w14:paraId="4A663BD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GB12348-2008《工业企业厂界环境噪声排放标准》中</w:t>
            </w:r>
            <w:r>
              <w:rPr>
                <w:rFonts w:hint="eastAsia"/>
                <w:color w:val="auto"/>
                <w:highlight w:val="none"/>
              </w:rPr>
              <w:t>3</w:t>
            </w:r>
            <w:r>
              <w:rPr>
                <w:color w:val="auto"/>
                <w:highlight w:val="none"/>
              </w:rPr>
              <w:t>类标准</w:t>
            </w:r>
          </w:p>
        </w:tc>
      </w:tr>
      <w:tr w14:paraId="03D06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noWrap w:val="0"/>
            <w:vAlign w:val="center"/>
          </w:tcPr>
          <w:p w14:paraId="017DAA72">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电磁辐射</w:t>
            </w:r>
          </w:p>
        </w:tc>
        <w:tc>
          <w:tcPr>
            <w:tcW w:w="1642" w:type="dxa"/>
            <w:noWrap w:val="0"/>
            <w:vAlign w:val="center"/>
          </w:tcPr>
          <w:p w14:paraId="0E65099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1344" w:type="dxa"/>
            <w:noWrap w:val="0"/>
            <w:vAlign w:val="center"/>
          </w:tcPr>
          <w:p w14:paraId="00B411B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2155" w:type="dxa"/>
            <w:noWrap w:val="0"/>
            <w:vAlign w:val="center"/>
          </w:tcPr>
          <w:p w14:paraId="55D2D33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2346" w:type="dxa"/>
            <w:noWrap w:val="0"/>
            <w:vAlign w:val="center"/>
          </w:tcPr>
          <w:p w14:paraId="3703B163">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r>
      <w:tr w14:paraId="0FD9E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0" w:type="dxa"/>
            <w:noWrap w:val="0"/>
            <w:vAlign w:val="center"/>
          </w:tcPr>
          <w:p w14:paraId="06F004FC">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固体废物</w:t>
            </w:r>
          </w:p>
        </w:tc>
        <w:tc>
          <w:tcPr>
            <w:tcW w:w="7487" w:type="dxa"/>
            <w:gridSpan w:val="4"/>
            <w:noWrap w:val="0"/>
            <w:vAlign w:val="center"/>
          </w:tcPr>
          <w:p w14:paraId="39A13731">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一般工业固体废物</w:t>
            </w:r>
            <w:r>
              <w:rPr>
                <w:rFonts w:hint="default"/>
                <w:color w:val="auto"/>
                <w:sz w:val="21"/>
                <w:szCs w:val="21"/>
                <w:highlight w:val="none"/>
              </w:rPr>
              <w:t>废过滤膜定期由厂家回收</w:t>
            </w:r>
            <w:r>
              <w:rPr>
                <w:rFonts w:hint="eastAsia"/>
                <w:color w:val="auto"/>
                <w:sz w:val="21"/>
                <w:szCs w:val="21"/>
                <w:highlight w:val="none"/>
                <w:lang w:eastAsia="zh-CN"/>
              </w:rPr>
              <w:t>，</w:t>
            </w:r>
            <w:r>
              <w:rPr>
                <w:rFonts w:hint="eastAsia"/>
                <w:color w:val="auto"/>
                <w:sz w:val="21"/>
                <w:szCs w:val="21"/>
                <w:highlight w:val="none"/>
                <w:lang w:val="en-US" w:eastAsia="zh-CN"/>
              </w:rPr>
              <w:t>废包装材料收集后外售，一般土样</w:t>
            </w:r>
            <w:r>
              <w:rPr>
                <w:rFonts w:hint="eastAsia"/>
                <w:color w:val="auto"/>
                <w:highlight w:val="none"/>
              </w:rPr>
              <w:t>；生活垃圾</w:t>
            </w:r>
            <w:r>
              <w:rPr>
                <w:rFonts w:hint="eastAsia"/>
                <w:color w:val="auto"/>
                <w:highlight w:val="none"/>
                <w:lang w:eastAsia="zh-CN"/>
              </w:rPr>
              <w:t>、</w:t>
            </w:r>
            <w:r>
              <w:rPr>
                <w:rFonts w:hint="eastAsia"/>
                <w:color w:val="auto"/>
                <w:highlight w:val="none"/>
                <w:lang w:val="en-US" w:eastAsia="zh-CN"/>
              </w:rPr>
              <w:t>不含危废废抹布</w:t>
            </w:r>
            <w:r>
              <w:rPr>
                <w:rFonts w:hint="eastAsia"/>
                <w:color w:val="auto"/>
                <w:highlight w:val="none"/>
              </w:rPr>
              <w:t>收集后由环卫部门清运</w:t>
            </w:r>
            <w:r>
              <w:rPr>
                <w:color w:val="auto"/>
                <w:highlight w:val="none"/>
              </w:rPr>
              <w:t>。</w:t>
            </w:r>
            <w:r>
              <w:rPr>
                <w:rFonts w:hint="eastAsia"/>
                <w:color w:val="auto"/>
                <w:sz w:val="21"/>
                <w:szCs w:val="21"/>
                <w:highlight w:val="none"/>
                <w:lang w:val="en-US" w:eastAsia="zh-CN"/>
              </w:rPr>
              <w:t>实验室废物（</w:t>
            </w:r>
            <w:r>
              <w:rPr>
                <w:rFonts w:hint="default"/>
                <w:color w:val="auto"/>
                <w:sz w:val="21"/>
                <w:szCs w:val="21"/>
                <w:highlight w:val="none"/>
              </w:rPr>
              <w:t>废酸碱、有机废液、重金属废液、</w:t>
            </w:r>
            <w:r>
              <w:rPr>
                <w:rFonts w:hint="eastAsia"/>
                <w:color w:val="auto"/>
                <w:sz w:val="21"/>
                <w:szCs w:val="21"/>
                <w:highlight w:val="none"/>
                <w:lang w:val="en-US" w:eastAsia="zh-CN"/>
              </w:rPr>
              <w:t>润洗水</w:t>
            </w:r>
            <w:r>
              <w:rPr>
                <w:rFonts w:hint="default"/>
                <w:color w:val="auto"/>
                <w:sz w:val="21"/>
                <w:szCs w:val="21"/>
                <w:highlight w:val="none"/>
              </w:rPr>
              <w:t>、废试剂、废试剂空瓶和实验废渣等，沾染试剂的废实验器皿、废手套</w:t>
            </w:r>
            <w:r>
              <w:rPr>
                <w:rFonts w:hint="eastAsia"/>
                <w:color w:val="auto"/>
                <w:sz w:val="21"/>
                <w:szCs w:val="21"/>
                <w:highlight w:val="none"/>
                <w:lang w:val="en-US" w:eastAsia="zh-CN"/>
              </w:rPr>
              <w:t>）</w:t>
            </w:r>
            <w:r>
              <w:rPr>
                <w:rFonts w:hint="eastAsia"/>
                <w:color w:val="auto"/>
                <w:sz w:val="21"/>
                <w:szCs w:val="21"/>
                <w:highlight w:val="none"/>
                <w:lang w:eastAsia="zh-CN"/>
              </w:rPr>
              <w:t>、废紫外线灯管、污水处理设施污泥、</w:t>
            </w:r>
            <w:r>
              <w:rPr>
                <w:rFonts w:hint="default"/>
                <w:color w:val="auto"/>
                <w:sz w:val="21"/>
                <w:szCs w:val="21"/>
                <w:highlight w:val="none"/>
              </w:rPr>
              <w:t>更换的废活性炭</w:t>
            </w:r>
            <w:r>
              <w:rPr>
                <w:rFonts w:hint="eastAsia"/>
                <w:color w:val="auto"/>
                <w:sz w:val="21"/>
                <w:szCs w:val="21"/>
                <w:highlight w:val="none"/>
                <w:lang w:eastAsia="zh-CN"/>
              </w:rPr>
              <w:t>、实验室剩余土壤样品（</w:t>
            </w:r>
            <w:r>
              <w:rPr>
                <w:rFonts w:hint="eastAsia"/>
                <w:color w:val="auto"/>
                <w:sz w:val="21"/>
                <w:szCs w:val="21"/>
                <w:highlight w:val="none"/>
                <w:lang w:val="en-US" w:eastAsia="zh-CN"/>
              </w:rPr>
              <w:t>涉重</w:t>
            </w:r>
            <w:r>
              <w:rPr>
                <w:rFonts w:hint="eastAsia"/>
                <w:color w:val="auto"/>
                <w:sz w:val="21"/>
                <w:szCs w:val="21"/>
                <w:highlight w:val="none"/>
                <w:lang w:eastAsia="zh-CN"/>
              </w:rPr>
              <w:t>）</w:t>
            </w:r>
            <w:r>
              <w:rPr>
                <w:rFonts w:hint="default"/>
                <w:color w:val="auto"/>
                <w:sz w:val="21"/>
                <w:szCs w:val="21"/>
                <w:highlight w:val="none"/>
              </w:rPr>
              <w:t>属于危险废物，在</w:t>
            </w:r>
            <w:r>
              <w:rPr>
                <w:rFonts w:hint="eastAsia"/>
                <w:color w:val="auto"/>
                <w:sz w:val="21"/>
                <w:szCs w:val="21"/>
                <w:highlight w:val="none"/>
                <w:lang w:val="en-US" w:eastAsia="zh-CN"/>
              </w:rPr>
              <w:t>租赁厂房一楼西侧</w:t>
            </w:r>
            <w:r>
              <w:rPr>
                <w:rFonts w:hint="default"/>
                <w:color w:val="auto"/>
                <w:sz w:val="21"/>
                <w:szCs w:val="21"/>
                <w:highlight w:val="none"/>
              </w:rPr>
              <w:t>设置5m</w:t>
            </w:r>
            <w:r>
              <w:rPr>
                <w:rFonts w:hint="default"/>
                <w:color w:val="auto"/>
                <w:sz w:val="21"/>
                <w:szCs w:val="21"/>
                <w:highlight w:val="none"/>
                <w:vertAlign w:val="superscript"/>
              </w:rPr>
              <w:t>2</w:t>
            </w:r>
            <w:r>
              <w:rPr>
                <w:rFonts w:hint="default"/>
                <w:color w:val="auto"/>
                <w:sz w:val="21"/>
                <w:szCs w:val="21"/>
                <w:highlight w:val="none"/>
              </w:rPr>
              <w:t>危废暂存间，对项目产生的危废进行暂存，委托有资质单位处置</w:t>
            </w:r>
            <w:r>
              <w:rPr>
                <w:rFonts w:hint="eastAsia"/>
                <w:color w:val="auto"/>
                <w:highlight w:val="none"/>
              </w:rPr>
              <w:t>。</w:t>
            </w:r>
          </w:p>
        </w:tc>
      </w:tr>
      <w:tr w14:paraId="5784F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0" w:type="dxa"/>
            <w:noWrap w:val="0"/>
            <w:vAlign w:val="center"/>
          </w:tcPr>
          <w:p w14:paraId="079FC1F2">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土壤及地</w:t>
            </w:r>
          </w:p>
          <w:p w14:paraId="39974D36">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下水污染防治措施</w:t>
            </w:r>
          </w:p>
        </w:tc>
        <w:tc>
          <w:tcPr>
            <w:tcW w:w="7487" w:type="dxa"/>
            <w:gridSpan w:val="4"/>
            <w:noWrap w:val="0"/>
            <w:vAlign w:val="center"/>
          </w:tcPr>
          <w:p w14:paraId="30BE6CF2">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val="en-US" w:eastAsia="zh-CN"/>
              </w:rPr>
              <w:t>/</w:t>
            </w:r>
          </w:p>
        </w:tc>
      </w:tr>
      <w:tr w14:paraId="4EEA0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00" w:type="dxa"/>
            <w:noWrap w:val="0"/>
            <w:vAlign w:val="center"/>
          </w:tcPr>
          <w:p w14:paraId="4E0EE98D">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生态保护</w:t>
            </w:r>
          </w:p>
          <w:p w14:paraId="5886D76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措施</w:t>
            </w:r>
          </w:p>
        </w:tc>
        <w:tc>
          <w:tcPr>
            <w:tcW w:w="7487" w:type="dxa"/>
            <w:gridSpan w:val="4"/>
            <w:noWrap w:val="0"/>
            <w:vAlign w:val="center"/>
          </w:tcPr>
          <w:p w14:paraId="058758F5">
            <w:pPr>
              <w:pStyle w:val="27"/>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rPr>
              <w:t>/</w:t>
            </w:r>
          </w:p>
        </w:tc>
      </w:tr>
      <w:tr w14:paraId="3A33A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00" w:type="dxa"/>
            <w:noWrap w:val="0"/>
            <w:vAlign w:val="center"/>
          </w:tcPr>
          <w:p w14:paraId="643A9B9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环境风险</w:t>
            </w:r>
          </w:p>
          <w:p w14:paraId="38BDAFC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防范措施</w:t>
            </w:r>
          </w:p>
        </w:tc>
        <w:tc>
          <w:tcPr>
            <w:tcW w:w="7487" w:type="dxa"/>
            <w:gridSpan w:val="4"/>
            <w:noWrap w:val="0"/>
            <w:vAlign w:val="center"/>
          </w:tcPr>
          <w:p w14:paraId="294857B1">
            <w:pPr>
              <w:keepNext w:val="0"/>
              <w:keepLines w:val="0"/>
              <w:widowControl/>
              <w:suppressLineNumbers w:val="0"/>
              <w:spacing w:before="0" w:beforeAutospacing="0" w:after="0" w:afterAutospacing="0" w:line="240" w:lineRule="auto"/>
              <w:ind w:left="0" w:leftChars="0" w:right="0" w:firstLine="0" w:firstLineChars="0"/>
              <w:jc w:val="left"/>
              <w:rPr>
                <w:rFonts w:hint="eastAsia"/>
                <w:color w:val="auto"/>
                <w:highlight w:val="none"/>
              </w:rPr>
            </w:pPr>
            <w:r>
              <w:rPr>
                <w:rFonts w:hint="default"/>
                <w:bCs/>
                <w:color w:val="auto"/>
                <w:sz w:val="21"/>
                <w:szCs w:val="21"/>
                <w:highlight w:val="none"/>
              </w:rPr>
              <w:t>风险物质贮存过程中应加强管理工作</w:t>
            </w:r>
            <w:r>
              <w:rPr>
                <w:rFonts w:hint="eastAsia"/>
                <w:color w:val="auto"/>
                <w:highlight w:val="none"/>
              </w:rPr>
              <w:t>；</w:t>
            </w:r>
            <w:r>
              <w:rPr>
                <w:rFonts w:hint="default"/>
                <w:bCs/>
                <w:color w:val="auto"/>
                <w:sz w:val="21"/>
                <w:szCs w:val="21"/>
                <w:highlight w:val="none"/>
              </w:rPr>
              <w:t>（2）若现场发生泄漏，应及时进行覆盖、吸收，使泄漏物得到安全可靠的处置，防止二次事故的发生，按环保的要求处理泄漏的风险物质。</w:t>
            </w:r>
            <w:r>
              <w:rPr>
                <w:rFonts w:hint="eastAsia"/>
                <w:bCs/>
                <w:color w:val="auto"/>
                <w:sz w:val="21"/>
                <w:szCs w:val="21"/>
                <w:highlight w:val="none"/>
                <w:lang w:eastAsia="zh-CN"/>
              </w:rPr>
              <w:t>（</w:t>
            </w:r>
            <w:r>
              <w:rPr>
                <w:rFonts w:hint="default"/>
                <w:bCs/>
                <w:color w:val="auto"/>
                <w:sz w:val="21"/>
                <w:szCs w:val="21"/>
                <w:highlight w:val="none"/>
              </w:rPr>
              <w:t>3）应急资源要重点做好堵漏工具和泄漏物料处理工具的配备及维修保护，个人应急防护及应急通信设备的维护，堵漏工具应包括粘贴式堵漏工具、阀门堵漏套具等（4）建设单位应设置应急救援队伍，应急救援队伍各人员要定岗定位，各岗位人员还必须有备份，出现事故时</w:t>
            </w:r>
            <w:r>
              <w:rPr>
                <w:rFonts w:hint="eastAsia"/>
                <w:bCs/>
                <w:color w:val="auto"/>
                <w:sz w:val="21"/>
                <w:szCs w:val="21"/>
                <w:highlight w:val="none"/>
                <w:lang w:eastAsia="zh-CN"/>
              </w:rPr>
              <w:t>依次</w:t>
            </w:r>
            <w:r>
              <w:rPr>
                <w:rFonts w:hint="default"/>
                <w:bCs/>
                <w:color w:val="auto"/>
                <w:sz w:val="21"/>
                <w:szCs w:val="21"/>
                <w:highlight w:val="none"/>
              </w:rPr>
              <w:t>上岗，保证事故发生后，能有人及时启动应急救援，防止恶性事故发生后无人操作。</w:t>
            </w:r>
          </w:p>
        </w:tc>
      </w:tr>
      <w:tr w14:paraId="003D1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0" w:type="dxa"/>
            <w:noWrap w:val="0"/>
            <w:vAlign w:val="center"/>
          </w:tcPr>
          <w:p w14:paraId="0DC8D9C4">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其他环境</w:t>
            </w:r>
          </w:p>
          <w:p w14:paraId="0E136CD8">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管理要求</w:t>
            </w:r>
          </w:p>
        </w:tc>
        <w:tc>
          <w:tcPr>
            <w:tcW w:w="7487" w:type="dxa"/>
            <w:gridSpan w:val="4"/>
            <w:noWrap w:val="0"/>
            <w:vAlign w:val="center"/>
          </w:tcPr>
          <w:p w14:paraId="56E8273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）项目环保竣工验收：建设单位应根据环保竣工验收相关要求，自主开展相关工作</w:t>
            </w:r>
            <w:r>
              <w:rPr>
                <w:rFonts w:hint="eastAsia"/>
                <w:color w:val="auto"/>
                <w:highlight w:val="none"/>
                <w:lang w:eastAsia="zh-CN"/>
              </w:rPr>
              <w:t>，</w:t>
            </w:r>
            <w:r>
              <w:rPr>
                <w:rFonts w:hint="eastAsia"/>
                <w:color w:val="auto"/>
                <w:highlight w:val="none"/>
              </w:rPr>
              <w:t>在项目筹备、设计和施工建设不同阶段，均应严格执行</w:t>
            </w:r>
            <w:r>
              <w:rPr>
                <w:rFonts w:hint="eastAsia"/>
                <w:color w:val="auto"/>
                <w:highlight w:val="none"/>
                <w:lang w:eastAsia="zh-CN"/>
              </w:rPr>
              <w:t>“</w:t>
            </w:r>
            <w:r>
              <w:rPr>
                <w:rFonts w:hint="eastAsia"/>
                <w:color w:val="auto"/>
                <w:highlight w:val="none"/>
              </w:rPr>
              <w:t>三同时</w:t>
            </w:r>
            <w:r>
              <w:rPr>
                <w:rFonts w:hint="eastAsia"/>
                <w:color w:val="auto"/>
                <w:highlight w:val="none"/>
                <w:lang w:eastAsia="zh-CN"/>
              </w:rPr>
              <w:t>”</w:t>
            </w:r>
            <w:r>
              <w:rPr>
                <w:rFonts w:hint="eastAsia"/>
                <w:color w:val="auto"/>
                <w:highlight w:val="none"/>
              </w:rPr>
              <w:t>制度，确保污染处理设施能够与生产工艺设施</w:t>
            </w:r>
            <w:r>
              <w:rPr>
                <w:rFonts w:hint="eastAsia"/>
                <w:color w:val="auto"/>
                <w:highlight w:val="none"/>
                <w:lang w:eastAsia="zh-CN"/>
              </w:rPr>
              <w:t>“</w:t>
            </w:r>
            <w:r>
              <w:rPr>
                <w:rFonts w:hint="eastAsia"/>
                <w:color w:val="auto"/>
                <w:highlight w:val="none"/>
              </w:rPr>
              <w:t>同时设计、同时施工、同时竣工</w:t>
            </w:r>
            <w:r>
              <w:rPr>
                <w:rFonts w:hint="eastAsia"/>
                <w:color w:val="auto"/>
                <w:highlight w:val="none"/>
                <w:lang w:eastAsia="zh-CN"/>
              </w:rPr>
              <w:t>”</w:t>
            </w:r>
            <w:r>
              <w:rPr>
                <w:rFonts w:hint="eastAsia"/>
                <w:color w:val="auto"/>
                <w:highlight w:val="none"/>
              </w:rPr>
              <w:t>。</w:t>
            </w:r>
          </w:p>
          <w:p w14:paraId="6F961FA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color w:val="auto"/>
                <w:highlight w:val="none"/>
              </w:rPr>
            </w:pPr>
            <w:r>
              <w:rPr>
                <w:rFonts w:hint="eastAsia"/>
                <w:color w:val="auto"/>
                <w:highlight w:val="none"/>
              </w:rPr>
              <w:t>建设项目配套建设的环境保护设施经验收合格，方可投入生产或者使用，未经验收或者验收不合格的，不得投入生产或者使用。</w:t>
            </w:r>
          </w:p>
          <w:p w14:paraId="372C6E8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）建设单位应严格落实《关于开展排放口规范化整治工作的通知》（环发</w:t>
            </w:r>
            <w:r>
              <w:rPr>
                <w:rFonts w:hint="eastAsia"/>
                <w:color w:val="auto"/>
                <w:highlight w:val="none"/>
                <w:lang w:eastAsia="zh-CN"/>
              </w:rPr>
              <w:t>〔</w:t>
            </w:r>
            <w:r>
              <w:rPr>
                <w:rFonts w:hint="eastAsia"/>
                <w:color w:val="auto"/>
                <w:highlight w:val="none"/>
              </w:rPr>
              <w:t>1999</w:t>
            </w:r>
            <w:r>
              <w:rPr>
                <w:rFonts w:hint="eastAsia"/>
                <w:color w:val="auto"/>
                <w:highlight w:val="none"/>
                <w:lang w:eastAsia="zh-CN"/>
              </w:rPr>
              <w:t>〕</w:t>
            </w:r>
            <w:r>
              <w:rPr>
                <w:rFonts w:hint="eastAsia"/>
                <w:color w:val="auto"/>
                <w:highlight w:val="none"/>
              </w:rPr>
              <w:t>24号）、《排污口规范化整治技术要求》（环监</w:t>
            </w:r>
            <w:r>
              <w:rPr>
                <w:rFonts w:hint="eastAsia"/>
                <w:color w:val="auto"/>
                <w:highlight w:val="none"/>
                <w:lang w:eastAsia="zh-CN"/>
              </w:rPr>
              <w:t>〔1996〕470号</w:t>
            </w:r>
            <w:r>
              <w:rPr>
                <w:rFonts w:hint="eastAsia"/>
                <w:color w:val="auto"/>
                <w:highlight w:val="none"/>
              </w:rPr>
              <w:t>）、《安徽省污染源排放口规范化整治管理办法》（环法函〔2005〕114号）等文件要求，按规定设置排放口。</w:t>
            </w:r>
          </w:p>
          <w:p w14:paraId="4DB8C13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健全污染治理设施管理制度</w:t>
            </w:r>
          </w:p>
          <w:p w14:paraId="37A304C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rPr>
              <w:t>建立健全污染治理设施的运行、检修、维护保养的作业规程和管理制度，将污染治理设施的管理与生产经营管理一同纳入公司日常管理工作的范畴，落实责任人，建立</w:t>
            </w:r>
            <w:r>
              <w:rPr>
                <w:rFonts w:hint="eastAsia"/>
                <w:color w:val="auto"/>
                <w:highlight w:val="none"/>
                <w:lang w:eastAsia="zh-CN"/>
              </w:rPr>
              <w:t>管理台账</w:t>
            </w:r>
            <w:r>
              <w:rPr>
                <w:rFonts w:hint="eastAsia"/>
                <w:color w:val="auto"/>
                <w:highlight w:val="none"/>
              </w:rPr>
              <w:t>。避免擅自拆除或闲置现有的污染处理设施现象的发生，严禁故意不正常使用污染处理设施。</w:t>
            </w:r>
          </w:p>
          <w:p w14:paraId="030FF81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建立环境目标管理责任制和奖惩条例</w:t>
            </w:r>
          </w:p>
          <w:p w14:paraId="174824F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34D6DA1A">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tc>
      </w:tr>
    </w:tbl>
    <w:p w14:paraId="5EE2AF16">
      <w:pPr>
        <w:jc w:val="center"/>
        <w:outlineLvl w:val="0"/>
        <w:rPr>
          <w:rStyle w:val="29"/>
          <w:color w:val="auto"/>
          <w:highlight w:val="none"/>
        </w:rPr>
      </w:pPr>
      <w:r>
        <w:rPr>
          <w:rFonts w:ascii="Times New Roman" w:hAnsi="Times New Roman"/>
          <w:snapToGrid w:val="0"/>
          <w:color w:val="auto"/>
          <w:sz w:val="21"/>
          <w:szCs w:val="21"/>
          <w:highlight w:val="none"/>
        </w:rPr>
        <w:br w:type="page"/>
      </w:r>
      <w:r>
        <w:rPr>
          <w:rStyle w:val="29"/>
          <w:color w:val="auto"/>
          <w:highlight w:val="none"/>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F1BA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BAB960A">
            <w:pPr>
              <w:keepNext w:val="0"/>
              <w:keepLines w:val="0"/>
              <w:suppressLineNumbers w:val="0"/>
              <w:bidi w:val="0"/>
              <w:spacing w:before="0" w:beforeAutospacing="0" w:after="0" w:afterAutospacing="0"/>
              <w:ind w:left="0" w:right="0"/>
              <w:jc w:val="both"/>
              <w:rPr>
                <w:rFonts w:hint="default"/>
                <w:color w:val="auto"/>
                <w:highlight w:val="none"/>
              </w:rPr>
            </w:pPr>
            <w:r>
              <w:rPr>
                <w:rFonts w:hint="eastAsia"/>
                <w:color w:val="auto"/>
                <w:highlight w:val="none"/>
                <w:lang w:val="en-US" w:eastAsia="zh-CN"/>
              </w:rPr>
              <w:t>安徽环晟环保科技有限公司</w:t>
            </w:r>
            <w:r>
              <w:rPr>
                <w:rFonts w:hint="default"/>
                <w:color w:val="auto"/>
                <w:highlight w:val="none"/>
              </w:rPr>
              <w:t>环境检测</w:t>
            </w:r>
            <w:r>
              <w:rPr>
                <w:rFonts w:hint="eastAsia"/>
                <w:color w:val="auto"/>
                <w:highlight w:val="none"/>
                <w:lang w:val="en-US" w:eastAsia="zh-CN"/>
              </w:rPr>
              <w:t>实验室</w:t>
            </w:r>
            <w:r>
              <w:rPr>
                <w:rFonts w:hint="default"/>
                <w:color w:val="auto"/>
                <w:highlight w:val="none"/>
              </w:rPr>
              <w:t>项目选址于</w:t>
            </w:r>
            <w:r>
              <w:rPr>
                <w:rFonts w:hint="eastAsia"/>
                <w:color w:val="auto"/>
                <w:highlight w:val="none"/>
              </w:rPr>
              <w:t>淮南</w:t>
            </w:r>
            <w:r>
              <w:rPr>
                <w:rFonts w:hint="eastAsia"/>
                <w:color w:val="auto"/>
                <w:highlight w:val="none"/>
                <w:lang w:val="en-US" w:eastAsia="zh-CN"/>
              </w:rPr>
              <w:t>高新技术产业开发区</w:t>
            </w:r>
            <w:r>
              <w:rPr>
                <w:rFonts w:hint="default"/>
                <w:color w:val="auto"/>
                <w:highlight w:val="none"/>
              </w:rPr>
              <w:t>，符合国家及地方产业政策，选址符合用地规划要求；项目生产过程中产生的污染在采取有效的治理措施之后，对周围环境影响较小，不会改变当地环境质量现状；同时本项目对周边环境产生的影响较小，事故风险水平可被接受。因此，从环境影响评价角度出发，该项目在坚持</w:t>
            </w:r>
            <w:r>
              <w:rPr>
                <w:rFonts w:hint="eastAsia"/>
                <w:color w:val="auto"/>
                <w:highlight w:val="none"/>
                <w:lang w:eastAsia="zh-CN"/>
              </w:rPr>
              <w:t>“</w:t>
            </w:r>
            <w:r>
              <w:rPr>
                <w:rFonts w:hint="default"/>
                <w:color w:val="auto"/>
                <w:highlight w:val="none"/>
              </w:rPr>
              <w:t>三同时</w:t>
            </w:r>
            <w:r>
              <w:rPr>
                <w:rFonts w:hint="eastAsia"/>
                <w:color w:val="auto"/>
                <w:highlight w:val="none"/>
                <w:lang w:eastAsia="zh-CN"/>
              </w:rPr>
              <w:t>”</w:t>
            </w:r>
            <w:r>
              <w:rPr>
                <w:rFonts w:hint="default"/>
                <w:color w:val="auto"/>
                <w:highlight w:val="none"/>
              </w:rPr>
              <w:t>原则并按照本报告中提出的各项环保措施治理后是可行的。</w:t>
            </w:r>
          </w:p>
        </w:tc>
      </w:tr>
    </w:tbl>
    <w:p w14:paraId="7DB38868">
      <w:pPr>
        <w:rPr>
          <w:color w:val="auto"/>
          <w:highlight w:val="none"/>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2BC68A6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eastAsia" w:ascii="Times New Roman" w:hAnsi="Times New Roman" w:eastAsia="黑体"/>
          <w:snapToGrid w:val="0"/>
          <w:color w:val="auto"/>
          <w:sz w:val="32"/>
          <w:szCs w:val="32"/>
          <w:highlight w:val="none"/>
          <w:lang w:val="en-US" w:eastAsia="zh-CN"/>
        </w:rPr>
      </w:pPr>
      <w:r>
        <w:rPr>
          <w:rFonts w:ascii="Times New Roman" w:hAnsi="Times New Roman" w:eastAsia="黑体"/>
          <w:snapToGrid w:val="0"/>
          <w:color w:val="auto"/>
          <w:sz w:val="32"/>
          <w:szCs w:val="32"/>
          <w:highlight w:val="none"/>
        </w:rPr>
        <w:t>附表</w:t>
      </w:r>
      <w:r>
        <w:rPr>
          <w:rFonts w:hint="eastAsia" w:ascii="Times New Roman" w:hAnsi="Times New Roman" w:eastAsia="黑体"/>
          <w:snapToGrid w:val="0"/>
          <w:color w:val="auto"/>
          <w:sz w:val="32"/>
          <w:szCs w:val="32"/>
          <w:highlight w:val="none"/>
          <w:lang w:val="en-US" w:eastAsia="zh-CN"/>
        </w:rPr>
        <w:t>1</w:t>
      </w:r>
    </w:p>
    <w:p w14:paraId="45A682F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tLeast"/>
        <w:ind w:firstLine="0" w:firstLineChars="0"/>
        <w:jc w:val="center"/>
        <w:textAlignment w:val="auto"/>
        <w:outlineLvl w:val="0"/>
        <w:rPr>
          <w:rFonts w:ascii="Times New Roman" w:hAnsi="Times New Roman" w:eastAsia="方正小标宋_GBK"/>
          <w:snapToGrid w:val="0"/>
          <w:color w:val="auto"/>
          <w:sz w:val="38"/>
          <w:szCs w:val="38"/>
          <w:highlight w:val="none"/>
        </w:rPr>
      </w:pPr>
      <w:r>
        <w:rPr>
          <w:rFonts w:ascii="Times New Roman" w:hAnsi="Times New Roman" w:eastAsia="方正小标宋_GBK"/>
          <w:snapToGrid w:val="0"/>
          <w:color w:val="auto"/>
          <w:sz w:val="38"/>
          <w:szCs w:val="38"/>
          <w:highlight w:val="none"/>
        </w:rPr>
        <w:t>建设项目污染物排放量汇总表</w:t>
      </w:r>
    </w:p>
    <w:tbl>
      <w:tblPr>
        <w:tblStyle w:val="18"/>
        <w:tblW w:w="143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695"/>
        <w:gridCol w:w="1530"/>
        <w:gridCol w:w="1276"/>
        <w:gridCol w:w="1701"/>
        <w:gridCol w:w="1559"/>
        <w:gridCol w:w="1634"/>
        <w:gridCol w:w="1930"/>
        <w:gridCol w:w="1514"/>
      </w:tblGrid>
      <w:tr w14:paraId="20EB6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tcBorders>
              <w:tl2br w:val="single" w:color="auto" w:sz="4" w:space="0"/>
            </w:tcBorders>
            <w:noWrap w:val="0"/>
            <w:tcMar>
              <w:left w:w="28" w:type="dxa"/>
              <w:right w:w="28" w:type="dxa"/>
            </w:tcMar>
            <w:vAlign w:val="center"/>
          </w:tcPr>
          <w:p w14:paraId="601D3A40">
            <w:pPr>
              <w:pStyle w:val="27"/>
              <w:keepNext w:val="0"/>
              <w:keepLines w:val="0"/>
              <w:suppressLineNumbers w:val="0"/>
              <w:bidi w:val="0"/>
              <w:spacing w:before="0" w:beforeAutospacing="0" w:after="0" w:afterAutospacing="0"/>
              <w:ind w:left="0" w:right="0"/>
              <w:jc w:val="right"/>
              <w:rPr>
                <w:b/>
                <w:bCs/>
                <w:color w:val="auto"/>
                <w:highlight w:val="none"/>
                <w:lang w:val="en-US" w:eastAsia="zh-CN"/>
              </w:rPr>
            </w:pPr>
            <w:r>
              <w:rPr>
                <w:b/>
                <w:bCs/>
                <w:color w:val="auto"/>
                <w:highlight w:val="none"/>
                <w:lang w:val="en-US" w:eastAsia="zh-CN"/>
              </w:rPr>
              <w:t>项目</w:t>
            </w:r>
          </w:p>
          <w:p w14:paraId="1AC0B257">
            <w:pPr>
              <w:pStyle w:val="27"/>
              <w:keepNext w:val="0"/>
              <w:keepLines w:val="0"/>
              <w:suppressLineNumbers w:val="0"/>
              <w:bidi w:val="0"/>
              <w:spacing w:before="0" w:beforeAutospacing="0" w:after="0" w:afterAutospacing="0"/>
              <w:ind w:left="0" w:right="0"/>
              <w:jc w:val="left"/>
              <w:rPr>
                <w:b/>
                <w:bCs/>
                <w:color w:val="auto"/>
                <w:highlight w:val="none"/>
                <w:lang w:val="en-US" w:eastAsia="zh-CN"/>
              </w:rPr>
            </w:pPr>
            <w:r>
              <w:rPr>
                <w:b/>
                <w:bCs/>
                <w:color w:val="auto"/>
                <w:highlight w:val="none"/>
                <w:lang w:val="en-US" w:eastAsia="zh-CN"/>
              </w:rPr>
              <w:t>分类</w:t>
            </w:r>
          </w:p>
        </w:tc>
        <w:tc>
          <w:tcPr>
            <w:tcW w:w="1695" w:type="dxa"/>
            <w:noWrap w:val="0"/>
            <w:tcMar>
              <w:left w:w="28" w:type="dxa"/>
              <w:right w:w="28" w:type="dxa"/>
            </w:tcMar>
            <w:vAlign w:val="center"/>
          </w:tcPr>
          <w:p w14:paraId="60D88D4E">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污染物名称</w:t>
            </w:r>
          </w:p>
        </w:tc>
        <w:tc>
          <w:tcPr>
            <w:tcW w:w="1530" w:type="dxa"/>
            <w:noWrap w:val="0"/>
            <w:tcMar>
              <w:left w:w="28" w:type="dxa"/>
              <w:right w:w="28" w:type="dxa"/>
            </w:tcMar>
            <w:vAlign w:val="center"/>
          </w:tcPr>
          <w:p w14:paraId="3C7642A6">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现有工程排放量（固体废物产生量）</w:t>
            </w:r>
            <w:r>
              <w:rPr>
                <w:b/>
                <w:bCs/>
                <w:color w:val="auto"/>
                <w:highlight w:val="none"/>
                <w:lang w:val="en-US" w:eastAsia="zh-CN"/>
              </w:rPr>
              <w:fldChar w:fldCharType="begin"/>
            </w:r>
            <w:r>
              <w:rPr>
                <w:b/>
                <w:bCs/>
                <w:color w:val="auto"/>
                <w:highlight w:val="none"/>
                <w:lang w:val="en-US" w:eastAsia="zh-CN"/>
              </w:rPr>
              <w:instrText xml:space="preserve"> = 1 \* GB3 \* MERGEFORMAT </w:instrText>
            </w:r>
            <w:r>
              <w:rPr>
                <w:b/>
                <w:bCs/>
                <w:color w:val="auto"/>
                <w:highlight w:val="none"/>
                <w:lang w:val="en-US" w:eastAsia="zh-CN"/>
              </w:rPr>
              <w:fldChar w:fldCharType="separate"/>
            </w:r>
            <w:r>
              <w:rPr>
                <w:b/>
                <w:bCs/>
                <w:color w:val="auto"/>
                <w:highlight w:val="none"/>
                <w:lang w:val="en-US" w:eastAsia="zh-CN"/>
              </w:rPr>
              <w:t>①</w:t>
            </w:r>
            <w:r>
              <w:rPr>
                <w:b/>
                <w:bCs/>
                <w:color w:val="auto"/>
                <w:highlight w:val="none"/>
                <w:lang w:val="en-US" w:eastAsia="zh-CN"/>
              </w:rPr>
              <w:fldChar w:fldCharType="end"/>
            </w:r>
          </w:p>
        </w:tc>
        <w:tc>
          <w:tcPr>
            <w:tcW w:w="1276" w:type="dxa"/>
            <w:noWrap w:val="0"/>
            <w:tcMar>
              <w:left w:w="28" w:type="dxa"/>
              <w:right w:w="28" w:type="dxa"/>
            </w:tcMar>
            <w:vAlign w:val="center"/>
          </w:tcPr>
          <w:p w14:paraId="6AAEC8BE">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现有工程许可排放量</w:t>
            </w:r>
          </w:p>
          <w:p w14:paraId="0649AF7B">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fldChar w:fldCharType="begin"/>
            </w:r>
            <w:r>
              <w:rPr>
                <w:b/>
                <w:bCs/>
                <w:color w:val="auto"/>
                <w:highlight w:val="none"/>
                <w:lang w:val="en-US" w:eastAsia="zh-CN"/>
              </w:rPr>
              <w:instrText xml:space="preserve"> = 2 \* GB3 \* MERGEFORMAT </w:instrText>
            </w:r>
            <w:r>
              <w:rPr>
                <w:b/>
                <w:bCs/>
                <w:color w:val="auto"/>
                <w:highlight w:val="none"/>
                <w:lang w:val="en-US" w:eastAsia="zh-CN"/>
              </w:rPr>
              <w:fldChar w:fldCharType="separate"/>
            </w:r>
            <w:r>
              <w:rPr>
                <w:b/>
                <w:bCs/>
                <w:color w:val="auto"/>
                <w:highlight w:val="none"/>
                <w:lang w:val="en-US" w:eastAsia="zh-CN"/>
              </w:rPr>
              <w:t>②</w:t>
            </w:r>
            <w:r>
              <w:rPr>
                <w:b/>
                <w:bCs/>
                <w:color w:val="auto"/>
                <w:highlight w:val="none"/>
                <w:lang w:val="en-US" w:eastAsia="zh-CN"/>
              </w:rPr>
              <w:fldChar w:fldCharType="end"/>
            </w:r>
          </w:p>
        </w:tc>
        <w:tc>
          <w:tcPr>
            <w:tcW w:w="1701" w:type="dxa"/>
            <w:noWrap w:val="0"/>
            <w:tcMar>
              <w:left w:w="28" w:type="dxa"/>
              <w:right w:w="28" w:type="dxa"/>
            </w:tcMar>
            <w:vAlign w:val="center"/>
          </w:tcPr>
          <w:p w14:paraId="6B7AD6E4">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在建工程排放量（固体废物产生量）</w:t>
            </w:r>
            <w:r>
              <w:rPr>
                <w:b/>
                <w:bCs/>
                <w:color w:val="auto"/>
                <w:highlight w:val="none"/>
                <w:lang w:val="en-US" w:eastAsia="zh-CN"/>
              </w:rPr>
              <w:fldChar w:fldCharType="begin"/>
            </w:r>
            <w:r>
              <w:rPr>
                <w:b/>
                <w:bCs/>
                <w:color w:val="auto"/>
                <w:highlight w:val="none"/>
                <w:lang w:val="en-US" w:eastAsia="zh-CN"/>
              </w:rPr>
              <w:instrText xml:space="preserve"> = 3 \* GB3 \* MERGEFORMAT </w:instrText>
            </w:r>
            <w:r>
              <w:rPr>
                <w:b/>
                <w:bCs/>
                <w:color w:val="auto"/>
                <w:highlight w:val="none"/>
                <w:lang w:val="en-US" w:eastAsia="zh-CN"/>
              </w:rPr>
              <w:fldChar w:fldCharType="separate"/>
            </w:r>
            <w:r>
              <w:rPr>
                <w:b/>
                <w:bCs/>
                <w:color w:val="auto"/>
                <w:highlight w:val="none"/>
                <w:lang w:val="en-US" w:eastAsia="zh-CN"/>
              </w:rPr>
              <w:t>③</w:t>
            </w:r>
            <w:r>
              <w:rPr>
                <w:b/>
                <w:bCs/>
                <w:color w:val="auto"/>
                <w:highlight w:val="none"/>
                <w:lang w:val="en-US" w:eastAsia="zh-CN"/>
              </w:rPr>
              <w:fldChar w:fldCharType="end"/>
            </w:r>
          </w:p>
        </w:tc>
        <w:tc>
          <w:tcPr>
            <w:tcW w:w="1559" w:type="dxa"/>
            <w:noWrap w:val="0"/>
            <w:tcMar>
              <w:left w:w="28" w:type="dxa"/>
              <w:right w:w="28" w:type="dxa"/>
            </w:tcMar>
            <w:vAlign w:val="center"/>
          </w:tcPr>
          <w:p w14:paraId="16EFC4AF">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本项目排放量（固体废物产生量）</w:t>
            </w:r>
            <w:r>
              <w:rPr>
                <w:b/>
                <w:bCs/>
                <w:color w:val="auto"/>
                <w:highlight w:val="none"/>
                <w:lang w:val="en-US" w:eastAsia="zh-CN"/>
              </w:rPr>
              <w:fldChar w:fldCharType="begin"/>
            </w:r>
            <w:r>
              <w:rPr>
                <w:b/>
                <w:bCs/>
                <w:color w:val="auto"/>
                <w:highlight w:val="none"/>
                <w:lang w:val="en-US" w:eastAsia="zh-CN"/>
              </w:rPr>
              <w:instrText xml:space="preserve"> = 4 \* GB3 \* MERGEFORMAT </w:instrText>
            </w:r>
            <w:r>
              <w:rPr>
                <w:b/>
                <w:bCs/>
                <w:color w:val="auto"/>
                <w:highlight w:val="none"/>
                <w:lang w:val="en-US" w:eastAsia="zh-CN"/>
              </w:rPr>
              <w:fldChar w:fldCharType="separate"/>
            </w:r>
            <w:r>
              <w:rPr>
                <w:b/>
                <w:bCs/>
                <w:color w:val="auto"/>
                <w:highlight w:val="none"/>
                <w:lang w:val="en-US" w:eastAsia="zh-CN"/>
              </w:rPr>
              <w:t>④</w:t>
            </w:r>
            <w:r>
              <w:rPr>
                <w:b/>
                <w:bCs/>
                <w:color w:val="auto"/>
                <w:highlight w:val="none"/>
                <w:lang w:val="en-US" w:eastAsia="zh-CN"/>
              </w:rPr>
              <w:fldChar w:fldCharType="end"/>
            </w:r>
          </w:p>
        </w:tc>
        <w:tc>
          <w:tcPr>
            <w:tcW w:w="1634" w:type="dxa"/>
            <w:noWrap w:val="0"/>
            <w:tcMar>
              <w:left w:w="28" w:type="dxa"/>
              <w:right w:w="28" w:type="dxa"/>
            </w:tcMar>
            <w:vAlign w:val="center"/>
          </w:tcPr>
          <w:p w14:paraId="798A32F6">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以新带老削减量（新建项目不填）</w:t>
            </w:r>
            <w:r>
              <w:rPr>
                <w:b/>
                <w:bCs/>
                <w:color w:val="auto"/>
                <w:highlight w:val="none"/>
                <w:lang w:val="en-US" w:eastAsia="zh-CN"/>
              </w:rPr>
              <w:fldChar w:fldCharType="begin"/>
            </w:r>
            <w:r>
              <w:rPr>
                <w:b/>
                <w:bCs/>
                <w:color w:val="auto"/>
                <w:highlight w:val="none"/>
                <w:lang w:val="en-US" w:eastAsia="zh-CN"/>
              </w:rPr>
              <w:instrText xml:space="preserve"> = 5 \* GB3 \* MERGEFORMAT </w:instrText>
            </w:r>
            <w:r>
              <w:rPr>
                <w:b/>
                <w:bCs/>
                <w:color w:val="auto"/>
                <w:highlight w:val="none"/>
                <w:lang w:val="en-US" w:eastAsia="zh-CN"/>
              </w:rPr>
              <w:fldChar w:fldCharType="separate"/>
            </w:r>
            <w:r>
              <w:rPr>
                <w:b/>
                <w:bCs/>
                <w:color w:val="auto"/>
                <w:highlight w:val="none"/>
                <w:lang w:val="en-US" w:eastAsia="zh-CN"/>
              </w:rPr>
              <w:t>⑤</w:t>
            </w:r>
            <w:r>
              <w:rPr>
                <w:b/>
                <w:bCs/>
                <w:color w:val="auto"/>
                <w:highlight w:val="none"/>
                <w:lang w:val="en-US" w:eastAsia="zh-CN"/>
              </w:rPr>
              <w:fldChar w:fldCharType="end"/>
            </w:r>
          </w:p>
        </w:tc>
        <w:tc>
          <w:tcPr>
            <w:tcW w:w="1930" w:type="dxa"/>
            <w:noWrap w:val="0"/>
            <w:tcMar>
              <w:left w:w="28" w:type="dxa"/>
              <w:right w:w="28" w:type="dxa"/>
            </w:tcMar>
            <w:vAlign w:val="center"/>
          </w:tcPr>
          <w:p w14:paraId="6D4F15AD">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本项目建成后全厂排放量（固体废物产生量）</w:t>
            </w:r>
            <w:r>
              <w:rPr>
                <w:b/>
                <w:bCs/>
                <w:color w:val="auto"/>
                <w:highlight w:val="none"/>
                <w:lang w:val="en-US" w:eastAsia="zh-CN"/>
              </w:rPr>
              <w:fldChar w:fldCharType="begin"/>
            </w:r>
            <w:r>
              <w:rPr>
                <w:b/>
                <w:bCs/>
                <w:color w:val="auto"/>
                <w:highlight w:val="none"/>
                <w:lang w:val="en-US" w:eastAsia="zh-CN"/>
              </w:rPr>
              <w:instrText xml:space="preserve"> = 6 \* GB3 \* MERGEFORMAT </w:instrText>
            </w:r>
            <w:r>
              <w:rPr>
                <w:b/>
                <w:bCs/>
                <w:color w:val="auto"/>
                <w:highlight w:val="none"/>
                <w:lang w:val="en-US" w:eastAsia="zh-CN"/>
              </w:rPr>
              <w:fldChar w:fldCharType="separate"/>
            </w:r>
            <w:r>
              <w:rPr>
                <w:b/>
                <w:bCs/>
                <w:color w:val="auto"/>
                <w:highlight w:val="none"/>
                <w:lang w:val="en-US" w:eastAsia="zh-CN"/>
              </w:rPr>
              <w:t>⑥</w:t>
            </w:r>
            <w:r>
              <w:rPr>
                <w:b/>
                <w:bCs/>
                <w:color w:val="auto"/>
                <w:highlight w:val="none"/>
                <w:lang w:val="en-US" w:eastAsia="zh-CN"/>
              </w:rPr>
              <w:fldChar w:fldCharType="end"/>
            </w:r>
          </w:p>
        </w:tc>
        <w:tc>
          <w:tcPr>
            <w:tcW w:w="1514" w:type="dxa"/>
            <w:noWrap w:val="0"/>
            <w:tcMar>
              <w:left w:w="28" w:type="dxa"/>
              <w:right w:w="28" w:type="dxa"/>
            </w:tcMar>
            <w:vAlign w:val="center"/>
          </w:tcPr>
          <w:p w14:paraId="203CCD47">
            <w:pPr>
              <w:pStyle w:val="27"/>
              <w:keepNext w:val="0"/>
              <w:keepLines w:val="0"/>
              <w:suppressLineNumbers w:val="0"/>
              <w:bidi w:val="0"/>
              <w:spacing w:before="0" w:beforeAutospacing="0" w:after="0" w:afterAutospacing="0"/>
              <w:ind w:left="0" w:right="0"/>
              <w:rPr>
                <w:b/>
                <w:bCs/>
                <w:color w:val="auto"/>
                <w:highlight w:val="none"/>
                <w:lang w:val="en-US" w:eastAsia="zh-CN"/>
              </w:rPr>
            </w:pPr>
            <w:r>
              <w:rPr>
                <w:b/>
                <w:bCs/>
                <w:color w:val="auto"/>
                <w:highlight w:val="none"/>
                <w:lang w:val="en-US" w:eastAsia="zh-CN"/>
              </w:rPr>
              <w:t>变化量</w:t>
            </w:r>
            <w:r>
              <w:rPr>
                <w:b/>
                <w:bCs/>
                <w:color w:val="auto"/>
                <w:highlight w:val="none"/>
                <w:lang w:val="en-US" w:eastAsia="zh-CN"/>
              </w:rPr>
              <w:fldChar w:fldCharType="begin"/>
            </w:r>
            <w:r>
              <w:rPr>
                <w:b/>
                <w:bCs/>
                <w:color w:val="auto"/>
                <w:highlight w:val="none"/>
                <w:lang w:val="en-US" w:eastAsia="zh-CN"/>
              </w:rPr>
              <w:instrText xml:space="preserve"> = 7 \* GB3 \* MERGEFORMAT </w:instrText>
            </w:r>
            <w:r>
              <w:rPr>
                <w:b/>
                <w:bCs/>
                <w:color w:val="auto"/>
                <w:highlight w:val="none"/>
                <w:lang w:val="en-US" w:eastAsia="zh-CN"/>
              </w:rPr>
              <w:fldChar w:fldCharType="separate"/>
            </w:r>
            <w:r>
              <w:rPr>
                <w:b/>
                <w:bCs/>
                <w:color w:val="auto"/>
                <w:highlight w:val="none"/>
                <w:lang w:val="en-US" w:eastAsia="zh-CN"/>
              </w:rPr>
              <w:t>⑦</w:t>
            </w:r>
            <w:r>
              <w:rPr>
                <w:b/>
                <w:bCs/>
                <w:color w:val="auto"/>
                <w:highlight w:val="none"/>
                <w:lang w:val="en-US" w:eastAsia="zh-CN"/>
              </w:rPr>
              <w:fldChar w:fldCharType="end"/>
            </w:r>
          </w:p>
        </w:tc>
      </w:tr>
      <w:tr w14:paraId="5C62B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restart"/>
            <w:noWrap w:val="0"/>
            <w:vAlign w:val="center"/>
          </w:tcPr>
          <w:p w14:paraId="30A9247D">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废气</w:t>
            </w:r>
          </w:p>
        </w:tc>
        <w:tc>
          <w:tcPr>
            <w:tcW w:w="1695" w:type="dxa"/>
            <w:noWrap w:val="0"/>
            <w:vAlign w:val="center"/>
          </w:tcPr>
          <w:p w14:paraId="4C7F67FD">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非甲烷总烃</w:t>
            </w:r>
          </w:p>
        </w:tc>
        <w:tc>
          <w:tcPr>
            <w:tcW w:w="1530" w:type="dxa"/>
            <w:noWrap w:val="0"/>
            <w:vAlign w:val="center"/>
          </w:tcPr>
          <w:p w14:paraId="54A49CA5">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6161617E">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45E8A0F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77B4727E">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0.005516</w:t>
            </w:r>
            <w:r>
              <w:rPr>
                <w:rFonts w:hint="eastAsia"/>
                <w:color w:val="auto"/>
                <w:highlight w:val="none"/>
                <w:lang w:val="en-US" w:eastAsia="zh-CN"/>
              </w:rPr>
              <w:t>t/a</w:t>
            </w:r>
          </w:p>
        </w:tc>
        <w:tc>
          <w:tcPr>
            <w:tcW w:w="1634" w:type="dxa"/>
            <w:noWrap w:val="0"/>
            <w:vAlign w:val="center"/>
          </w:tcPr>
          <w:p w14:paraId="408E8ED0">
            <w:pPr>
              <w:pStyle w:val="27"/>
              <w:keepNext w:val="0"/>
              <w:keepLines w:val="0"/>
              <w:suppressLineNumbers w:val="0"/>
              <w:bidi w:val="0"/>
              <w:spacing w:before="0" w:beforeAutospacing="0" w:after="0" w:afterAutospacing="0"/>
              <w:ind w:left="0" w:right="0"/>
              <w:rPr>
                <w:color w:val="auto"/>
                <w:highlight w:val="none"/>
                <w:lang w:val="en-US" w:eastAsia="zh-CN"/>
              </w:rPr>
            </w:pPr>
            <w:r>
              <w:rPr>
                <w:rFonts w:hint="eastAsia"/>
                <w:color w:val="auto"/>
                <w:highlight w:val="none"/>
                <w:lang w:val="en-US" w:eastAsia="zh-CN"/>
              </w:rPr>
              <w:t>/</w:t>
            </w:r>
          </w:p>
        </w:tc>
        <w:tc>
          <w:tcPr>
            <w:tcW w:w="1930" w:type="dxa"/>
            <w:noWrap w:val="0"/>
            <w:vAlign w:val="center"/>
          </w:tcPr>
          <w:p w14:paraId="76897334">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ascii="Times New Roman" w:hAnsi="Times New Roman" w:eastAsia="宋体" w:cs="Times New Roman"/>
                <w:color w:val="auto"/>
                <w:highlight w:val="none"/>
                <w:lang w:val="en-US" w:eastAsia="zh-CN"/>
              </w:rPr>
              <w:t>0.005516</w:t>
            </w:r>
            <w:r>
              <w:rPr>
                <w:rFonts w:hint="eastAsia"/>
                <w:color w:val="auto"/>
                <w:highlight w:val="none"/>
                <w:lang w:val="en-US" w:eastAsia="zh-CN"/>
              </w:rPr>
              <w:t>t/a</w:t>
            </w:r>
          </w:p>
        </w:tc>
        <w:tc>
          <w:tcPr>
            <w:tcW w:w="1514" w:type="dxa"/>
            <w:noWrap w:val="0"/>
            <w:vAlign w:val="center"/>
          </w:tcPr>
          <w:p w14:paraId="3CCF0A9D">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val="en-US" w:eastAsia="zh-CN"/>
              </w:rPr>
            </w:pPr>
            <w:r>
              <w:rPr>
                <w:rFonts w:hint="eastAsia"/>
                <w:color w:val="auto"/>
                <w:highlight w:val="none"/>
              </w:rPr>
              <w:t>+</w:t>
            </w:r>
            <w:r>
              <w:rPr>
                <w:rFonts w:hint="eastAsia" w:ascii="Times New Roman" w:hAnsi="Times New Roman" w:eastAsia="宋体" w:cs="Times New Roman"/>
                <w:color w:val="auto"/>
                <w:highlight w:val="none"/>
                <w:lang w:val="en-US" w:eastAsia="zh-CN"/>
              </w:rPr>
              <w:t>0.005516</w:t>
            </w:r>
            <w:r>
              <w:rPr>
                <w:rFonts w:hint="eastAsia"/>
                <w:color w:val="auto"/>
                <w:highlight w:val="none"/>
                <w:lang w:val="en-US" w:eastAsia="zh-CN"/>
              </w:rPr>
              <w:t>t/a</w:t>
            </w:r>
          </w:p>
        </w:tc>
      </w:tr>
      <w:tr w14:paraId="5EFA3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37302EE2">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457B5EE2">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颗粒物</w:t>
            </w:r>
          </w:p>
        </w:tc>
        <w:tc>
          <w:tcPr>
            <w:tcW w:w="1530" w:type="dxa"/>
            <w:noWrap w:val="0"/>
            <w:vAlign w:val="center"/>
          </w:tcPr>
          <w:p w14:paraId="49C86A37">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05FA8DA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4F730D5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440E94BF">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0.003488</w:t>
            </w:r>
            <w:r>
              <w:rPr>
                <w:rFonts w:hint="eastAsia"/>
                <w:color w:val="auto"/>
                <w:highlight w:val="none"/>
                <w:lang w:val="en-US" w:eastAsia="zh-CN"/>
              </w:rPr>
              <w:t>t/a</w:t>
            </w:r>
          </w:p>
        </w:tc>
        <w:tc>
          <w:tcPr>
            <w:tcW w:w="1634" w:type="dxa"/>
            <w:noWrap w:val="0"/>
            <w:vAlign w:val="center"/>
          </w:tcPr>
          <w:p w14:paraId="4DC0A8ED">
            <w:pPr>
              <w:pStyle w:val="27"/>
              <w:keepNext w:val="0"/>
              <w:keepLines w:val="0"/>
              <w:suppressLineNumbers w:val="0"/>
              <w:bidi w:val="0"/>
              <w:spacing w:before="0" w:beforeAutospacing="0" w:after="0" w:afterAutospacing="0"/>
              <w:ind w:left="0" w:right="0"/>
              <w:rPr>
                <w:color w:val="auto"/>
                <w:highlight w:val="none"/>
                <w:lang w:val="en-US" w:eastAsia="zh-CN"/>
              </w:rPr>
            </w:pPr>
            <w:r>
              <w:rPr>
                <w:rFonts w:hint="eastAsia"/>
                <w:color w:val="auto"/>
                <w:highlight w:val="none"/>
                <w:lang w:val="en-US" w:eastAsia="zh-CN"/>
              </w:rPr>
              <w:t>/</w:t>
            </w:r>
          </w:p>
        </w:tc>
        <w:tc>
          <w:tcPr>
            <w:tcW w:w="1930" w:type="dxa"/>
            <w:noWrap w:val="0"/>
            <w:vAlign w:val="center"/>
          </w:tcPr>
          <w:p w14:paraId="75089AB1">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eastAsia="zh-CN"/>
              </w:rPr>
            </w:pPr>
            <w:r>
              <w:rPr>
                <w:rFonts w:hint="eastAsia" w:ascii="Times New Roman" w:hAnsi="Times New Roman" w:eastAsia="宋体" w:cs="Times New Roman"/>
                <w:color w:val="auto"/>
                <w:highlight w:val="none"/>
                <w:lang w:val="en-US" w:eastAsia="zh-CN"/>
              </w:rPr>
              <w:t>0.003488</w:t>
            </w:r>
            <w:r>
              <w:rPr>
                <w:rFonts w:hint="eastAsia"/>
                <w:color w:val="auto"/>
                <w:highlight w:val="none"/>
                <w:lang w:val="en-US" w:eastAsia="zh-CN"/>
              </w:rPr>
              <w:t>t/a</w:t>
            </w:r>
          </w:p>
        </w:tc>
        <w:tc>
          <w:tcPr>
            <w:tcW w:w="1514" w:type="dxa"/>
            <w:noWrap w:val="0"/>
            <w:vAlign w:val="center"/>
          </w:tcPr>
          <w:p w14:paraId="6C42A310">
            <w:pPr>
              <w:pStyle w:val="27"/>
              <w:keepNext w:val="0"/>
              <w:keepLines w:val="0"/>
              <w:suppressLineNumbers w:val="0"/>
              <w:bidi w:val="0"/>
              <w:spacing w:before="0" w:beforeAutospacing="0" w:after="0" w:afterAutospacing="0"/>
              <w:ind w:left="0" w:leftChars="0" w:right="0" w:rightChars="0" w:firstLine="0" w:firstLineChars="0"/>
              <w:rPr>
                <w:rFonts w:hint="eastAsia" w:eastAsia="宋体"/>
                <w:color w:val="auto"/>
                <w:highlight w:val="none"/>
                <w:lang w:eastAsia="zh-CN"/>
              </w:rPr>
            </w:pPr>
            <w:r>
              <w:rPr>
                <w:rFonts w:hint="eastAsia"/>
                <w:color w:val="auto"/>
                <w:highlight w:val="none"/>
              </w:rPr>
              <w:t>+</w:t>
            </w:r>
            <w:r>
              <w:rPr>
                <w:rFonts w:hint="eastAsia" w:ascii="Times New Roman" w:hAnsi="Times New Roman" w:eastAsia="宋体" w:cs="Times New Roman"/>
                <w:color w:val="auto"/>
                <w:highlight w:val="none"/>
                <w:lang w:val="en-US" w:eastAsia="zh-CN"/>
              </w:rPr>
              <w:t>0.003488</w:t>
            </w:r>
            <w:r>
              <w:rPr>
                <w:rFonts w:hint="eastAsia"/>
                <w:color w:val="auto"/>
                <w:highlight w:val="none"/>
                <w:lang w:val="en-US" w:eastAsia="zh-CN"/>
              </w:rPr>
              <w:t>t/a</w:t>
            </w:r>
          </w:p>
        </w:tc>
      </w:tr>
      <w:tr w14:paraId="1EF75947">
        <w:tblPrEx>
          <w:tblCellMar>
            <w:top w:w="0" w:type="dxa"/>
            <w:left w:w="108" w:type="dxa"/>
            <w:bottom w:w="0" w:type="dxa"/>
            <w:right w:w="108" w:type="dxa"/>
          </w:tblCellMar>
        </w:tblPrEx>
        <w:trPr>
          <w:trHeight w:val="90" w:hRule="atLeast"/>
          <w:jc w:val="center"/>
        </w:trPr>
        <w:tc>
          <w:tcPr>
            <w:tcW w:w="1481" w:type="dxa"/>
            <w:vMerge w:val="continue"/>
            <w:noWrap w:val="0"/>
            <w:vAlign w:val="center"/>
          </w:tcPr>
          <w:p w14:paraId="6D4DF7E6">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4951FB8D">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氯化氢</w:t>
            </w:r>
          </w:p>
        </w:tc>
        <w:tc>
          <w:tcPr>
            <w:tcW w:w="1530" w:type="dxa"/>
            <w:noWrap w:val="0"/>
            <w:vAlign w:val="center"/>
          </w:tcPr>
          <w:p w14:paraId="3AA78D6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0279087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23DC464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5CC1C9B8">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0.00143</w:t>
            </w:r>
            <w:r>
              <w:rPr>
                <w:rFonts w:hint="eastAsia"/>
                <w:color w:val="auto"/>
                <w:highlight w:val="none"/>
                <w:lang w:val="en-US" w:eastAsia="zh-CN"/>
              </w:rPr>
              <w:t>t/a</w:t>
            </w:r>
          </w:p>
        </w:tc>
        <w:tc>
          <w:tcPr>
            <w:tcW w:w="1634" w:type="dxa"/>
            <w:noWrap w:val="0"/>
            <w:vAlign w:val="center"/>
          </w:tcPr>
          <w:p w14:paraId="26C6FFBA">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930" w:type="dxa"/>
            <w:noWrap w:val="0"/>
            <w:vAlign w:val="center"/>
          </w:tcPr>
          <w:p w14:paraId="1FA97C22">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ascii="Times New Roman" w:hAnsi="Times New Roman" w:eastAsia="宋体" w:cs="Times New Roman"/>
                <w:color w:val="auto"/>
                <w:highlight w:val="none"/>
                <w:lang w:val="en-US" w:eastAsia="zh-CN"/>
              </w:rPr>
              <w:t>0.00143</w:t>
            </w:r>
            <w:r>
              <w:rPr>
                <w:rFonts w:hint="eastAsia"/>
                <w:color w:val="auto"/>
                <w:highlight w:val="none"/>
                <w:lang w:val="en-US" w:eastAsia="zh-CN"/>
              </w:rPr>
              <w:t>t/a</w:t>
            </w:r>
          </w:p>
        </w:tc>
        <w:tc>
          <w:tcPr>
            <w:tcW w:w="1514" w:type="dxa"/>
            <w:noWrap w:val="0"/>
            <w:vAlign w:val="center"/>
          </w:tcPr>
          <w:p w14:paraId="567C507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r>
              <w:rPr>
                <w:rFonts w:hint="eastAsia" w:ascii="Times New Roman" w:hAnsi="Times New Roman" w:eastAsia="宋体" w:cs="Times New Roman"/>
                <w:color w:val="auto"/>
                <w:highlight w:val="none"/>
                <w:lang w:val="en-US" w:eastAsia="zh-CN"/>
              </w:rPr>
              <w:t>0.00143</w:t>
            </w:r>
            <w:r>
              <w:rPr>
                <w:rFonts w:hint="eastAsia"/>
                <w:color w:val="auto"/>
                <w:highlight w:val="none"/>
                <w:lang w:val="en-US" w:eastAsia="zh-CN"/>
              </w:rPr>
              <w:t>t/a</w:t>
            </w:r>
          </w:p>
        </w:tc>
      </w:tr>
      <w:tr w14:paraId="1CB23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34F93A10">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769FC557">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硫酸雾</w:t>
            </w:r>
          </w:p>
        </w:tc>
        <w:tc>
          <w:tcPr>
            <w:tcW w:w="1530" w:type="dxa"/>
            <w:noWrap w:val="0"/>
            <w:vAlign w:val="center"/>
          </w:tcPr>
          <w:p w14:paraId="6F0DAC1C">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6131D3B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7E315D0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43DFDA25">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0.00027</w:t>
            </w:r>
            <w:r>
              <w:rPr>
                <w:rFonts w:hint="eastAsia"/>
                <w:color w:val="auto"/>
                <w:highlight w:val="none"/>
                <w:lang w:val="en-US" w:eastAsia="zh-CN"/>
              </w:rPr>
              <w:t>t/a</w:t>
            </w:r>
          </w:p>
        </w:tc>
        <w:tc>
          <w:tcPr>
            <w:tcW w:w="1634" w:type="dxa"/>
            <w:noWrap w:val="0"/>
            <w:vAlign w:val="center"/>
          </w:tcPr>
          <w:p w14:paraId="09F875C6">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930" w:type="dxa"/>
            <w:noWrap w:val="0"/>
            <w:vAlign w:val="center"/>
          </w:tcPr>
          <w:p w14:paraId="6BC81BD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ascii="Times New Roman" w:hAnsi="Times New Roman" w:eastAsia="宋体" w:cs="Times New Roman"/>
                <w:color w:val="auto"/>
                <w:highlight w:val="none"/>
                <w:lang w:val="en-US" w:eastAsia="zh-CN"/>
              </w:rPr>
              <w:t>0.00027</w:t>
            </w:r>
            <w:r>
              <w:rPr>
                <w:rFonts w:hint="eastAsia"/>
                <w:color w:val="auto"/>
                <w:highlight w:val="none"/>
                <w:lang w:val="en-US" w:eastAsia="zh-CN"/>
              </w:rPr>
              <w:t>t/a</w:t>
            </w:r>
          </w:p>
        </w:tc>
        <w:tc>
          <w:tcPr>
            <w:tcW w:w="1514" w:type="dxa"/>
            <w:noWrap w:val="0"/>
            <w:vAlign w:val="center"/>
          </w:tcPr>
          <w:p w14:paraId="1F4D942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r>
              <w:rPr>
                <w:rFonts w:hint="eastAsia" w:ascii="Times New Roman" w:hAnsi="Times New Roman" w:eastAsia="宋体" w:cs="Times New Roman"/>
                <w:color w:val="auto"/>
                <w:highlight w:val="none"/>
                <w:lang w:val="en-US" w:eastAsia="zh-CN"/>
              </w:rPr>
              <w:t>0.00027</w:t>
            </w:r>
            <w:r>
              <w:rPr>
                <w:rFonts w:hint="eastAsia"/>
                <w:color w:val="auto"/>
                <w:highlight w:val="none"/>
                <w:lang w:val="en-US" w:eastAsia="zh-CN"/>
              </w:rPr>
              <w:t>t/a</w:t>
            </w:r>
          </w:p>
        </w:tc>
      </w:tr>
      <w:tr w14:paraId="47D33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10D33C8B">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4DBFAD4A">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氨</w:t>
            </w:r>
          </w:p>
        </w:tc>
        <w:tc>
          <w:tcPr>
            <w:tcW w:w="1530" w:type="dxa"/>
            <w:noWrap w:val="0"/>
            <w:vAlign w:val="center"/>
          </w:tcPr>
          <w:p w14:paraId="525B6A8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6B36301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157AE20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36FAC150">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0.00125</w:t>
            </w:r>
            <w:r>
              <w:rPr>
                <w:rFonts w:hint="eastAsia"/>
                <w:color w:val="auto"/>
                <w:highlight w:val="none"/>
                <w:lang w:val="en-US" w:eastAsia="zh-CN"/>
              </w:rPr>
              <w:t>t/a</w:t>
            </w:r>
          </w:p>
        </w:tc>
        <w:tc>
          <w:tcPr>
            <w:tcW w:w="1634" w:type="dxa"/>
            <w:noWrap w:val="0"/>
            <w:vAlign w:val="center"/>
          </w:tcPr>
          <w:p w14:paraId="77A3943B">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930" w:type="dxa"/>
            <w:noWrap w:val="0"/>
            <w:vAlign w:val="center"/>
          </w:tcPr>
          <w:p w14:paraId="4A09DDF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ascii="Times New Roman" w:hAnsi="Times New Roman" w:eastAsia="宋体" w:cs="Times New Roman"/>
                <w:color w:val="auto"/>
                <w:highlight w:val="none"/>
                <w:lang w:val="en-US" w:eastAsia="zh-CN"/>
              </w:rPr>
              <w:t>0.00125</w:t>
            </w:r>
            <w:r>
              <w:rPr>
                <w:rFonts w:hint="eastAsia"/>
                <w:color w:val="auto"/>
                <w:highlight w:val="none"/>
                <w:lang w:val="en-US" w:eastAsia="zh-CN"/>
              </w:rPr>
              <w:t>t/a</w:t>
            </w:r>
          </w:p>
        </w:tc>
        <w:tc>
          <w:tcPr>
            <w:tcW w:w="1514" w:type="dxa"/>
            <w:noWrap w:val="0"/>
            <w:vAlign w:val="center"/>
          </w:tcPr>
          <w:p w14:paraId="61C75EF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r>
              <w:rPr>
                <w:rFonts w:hint="eastAsia" w:ascii="Times New Roman" w:hAnsi="Times New Roman" w:eastAsia="宋体" w:cs="Times New Roman"/>
                <w:color w:val="auto"/>
                <w:highlight w:val="none"/>
                <w:lang w:val="en-US" w:eastAsia="zh-CN"/>
              </w:rPr>
              <w:t>0.00125</w:t>
            </w:r>
            <w:r>
              <w:rPr>
                <w:rFonts w:hint="eastAsia"/>
                <w:color w:val="auto"/>
                <w:highlight w:val="none"/>
                <w:lang w:val="en-US" w:eastAsia="zh-CN"/>
              </w:rPr>
              <w:t>t/a</w:t>
            </w:r>
          </w:p>
        </w:tc>
      </w:tr>
      <w:tr w14:paraId="246A0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34B614CD">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651B67D9">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氮氧化物</w:t>
            </w:r>
          </w:p>
        </w:tc>
        <w:tc>
          <w:tcPr>
            <w:tcW w:w="1530" w:type="dxa"/>
            <w:noWrap w:val="0"/>
            <w:vAlign w:val="center"/>
          </w:tcPr>
          <w:p w14:paraId="6E7A0B1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58FE71E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75374E9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7E756E18">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0.00067</w:t>
            </w:r>
            <w:r>
              <w:rPr>
                <w:rFonts w:hint="eastAsia"/>
                <w:color w:val="auto"/>
                <w:highlight w:val="none"/>
                <w:lang w:val="en-US" w:eastAsia="zh-CN"/>
              </w:rPr>
              <w:t>t/a</w:t>
            </w:r>
          </w:p>
        </w:tc>
        <w:tc>
          <w:tcPr>
            <w:tcW w:w="1634" w:type="dxa"/>
            <w:noWrap w:val="0"/>
            <w:vAlign w:val="center"/>
          </w:tcPr>
          <w:p w14:paraId="7294F802">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930" w:type="dxa"/>
            <w:noWrap w:val="0"/>
            <w:vAlign w:val="center"/>
          </w:tcPr>
          <w:p w14:paraId="3B7DB3B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ascii="Times New Roman" w:hAnsi="Times New Roman" w:eastAsia="宋体" w:cs="Times New Roman"/>
                <w:color w:val="auto"/>
                <w:highlight w:val="none"/>
                <w:lang w:val="en-US" w:eastAsia="zh-CN"/>
              </w:rPr>
              <w:t>0.00067</w:t>
            </w:r>
            <w:r>
              <w:rPr>
                <w:rFonts w:hint="eastAsia"/>
                <w:color w:val="auto"/>
                <w:highlight w:val="none"/>
                <w:lang w:val="en-US" w:eastAsia="zh-CN"/>
              </w:rPr>
              <w:t>t/a</w:t>
            </w:r>
          </w:p>
        </w:tc>
        <w:tc>
          <w:tcPr>
            <w:tcW w:w="1514" w:type="dxa"/>
            <w:noWrap w:val="0"/>
            <w:vAlign w:val="center"/>
          </w:tcPr>
          <w:p w14:paraId="304FE508">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r>
              <w:rPr>
                <w:rFonts w:hint="eastAsia" w:ascii="Times New Roman" w:hAnsi="Times New Roman" w:eastAsia="宋体" w:cs="Times New Roman"/>
                <w:color w:val="auto"/>
                <w:highlight w:val="none"/>
                <w:lang w:val="en-US" w:eastAsia="zh-CN"/>
              </w:rPr>
              <w:t>0.00067</w:t>
            </w:r>
            <w:r>
              <w:rPr>
                <w:rFonts w:hint="eastAsia"/>
                <w:color w:val="auto"/>
                <w:highlight w:val="none"/>
                <w:lang w:val="en-US" w:eastAsia="zh-CN"/>
              </w:rPr>
              <w:t>t/a</w:t>
            </w:r>
          </w:p>
        </w:tc>
      </w:tr>
      <w:tr w14:paraId="7FA3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4C6BE90F">
            <w:pPr>
              <w:pStyle w:val="27"/>
              <w:keepNext w:val="0"/>
              <w:keepLines w:val="0"/>
              <w:suppressLineNumbers w:val="0"/>
              <w:bidi w:val="0"/>
              <w:spacing w:before="0" w:beforeAutospacing="0" w:after="0" w:afterAutospacing="0"/>
              <w:ind w:left="0" w:right="0"/>
              <w:rPr>
                <w:color w:val="auto"/>
                <w:highlight w:val="none"/>
              </w:rPr>
            </w:pPr>
          </w:p>
        </w:tc>
        <w:tc>
          <w:tcPr>
            <w:tcW w:w="1695" w:type="dxa"/>
            <w:tcBorders>
              <w:bottom w:val="single" w:color="auto" w:sz="4" w:space="0"/>
            </w:tcBorders>
            <w:noWrap w:val="0"/>
            <w:vAlign w:val="center"/>
          </w:tcPr>
          <w:p w14:paraId="5E417849">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甲醛</w:t>
            </w:r>
          </w:p>
        </w:tc>
        <w:tc>
          <w:tcPr>
            <w:tcW w:w="1530" w:type="dxa"/>
            <w:noWrap w:val="0"/>
            <w:vAlign w:val="center"/>
          </w:tcPr>
          <w:p w14:paraId="6320C76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789EB78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400AC0A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0314869B">
            <w:pPr>
              <w:pStyle w:val="2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0.0008075</w:t>
            </w:r>
            <w:r>
              <w:rPr>
                <w:rFonts w:hint="eastAsia"/>
                <w:color w:val="auto"/>
                <w:highlight w:val="none"/>
                <w:lang w:val="en-US" w:eastAsia="zh-CN"/>
              </w:rPr>
              <w:t>t/a</w:t>
            </w:r>
          </w:p>
        </w:tc>
        <w:tc>
          <w:tcPr>
            <w:tcW w:w="1634" w:type="dxa"/>
            <w:noWrap w:val="0"/>
            <w:vAlign w:val="center"/>
          </w:tcPr>
          <w:p w14:paraId="2D5B21FA">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930" w:type="dxa"/>
            <w:noWrap w:val="0"/>
            <w:vAlign w:val="center"/>
          </w:tcPr>
          <w:p w14:paraId="2A3E3C4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ascii="Times New Roman" w:hAnsi="Times New Roman" w:eastAsia="宋体" w:cs="Times New Roman"/>
                <w:color w:val="auto"/>
                <w:highlight w:val="none"/>
                <w:lang w:val="en-US" w:eastAsia="zh-CN"/>
              </w:rPr>
              <w:t>0.0008075</w:t>
            </w:r>
            <w:r>
              <w:rPr>
                <w:rFonts w:hint="eastAsia"/>
                <w:color w:val="auto"/>
                <w:highlight w:val="none"/>
                <w:lang w:val="en-US" w:eastAsia="zh-CN"/>
              </w:rPr>
              <w:t>t/a</w:t>
            </w:r>
          </w:p>
        </w:tc>
        <w:tc>
          <w:tcPr>
            <w:tcW w:w="1514" w:type="dxa"/>
            <w:noWrap w:val="0"/>
            <w:vAlign w:val="center"/>
          </w:tcPr>
          <w:p w14:paraId="56F083F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r>
              <w:rPr>
                <w:rFonts w:hint="eastAsia" w:ascii="Times New Roman" w:hAnsi="Times New Roman" w:eastAsia="宋体" w:cs="Times New Roman"/>
                <w:color w:val="auto"/>
                <w:highlight w:val="none"/>
                <w:lang w:val="en-US" w:eastAsia="zh-CN"/>
              </w:rPr>
              <w:t>0.0008075</w:t>
            </w:r>
            <w:r>
              <w:rPr>
                <w:rFonts w:hint="eastAsia"/>
                <w:color w:val="auto"/>
                <w:highlight w:val="none"/>
                <w:lang w:val="en-US" w:eastAsia="zh-CN"/>
              </w:rPr>
              <w:t>t/a</w:t>
            </w:r>
          </w:p>
        </w:tc>
      </w:tr>
      <w:tr w14:paraId="18021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restart"/>
            <w:noWrap w:val="0"/>
            <w:vAlign w:val="center"/>
          </w:tcPr>
          <w:p w14:paraId="58A252E6">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废水</w:t>
            </w:r>
          </w:p>
        </w:tc>
        <w:tc>
          <w:tcPr>
            <w:tcW w:w="1695" w:type="dxa"/>
            <w:tcBorders>
              <w:top w:val="single" w:color="auto" w:sz="4" w:space="0"/>
            </w:tcBorders>
            <w:noWrap w:val="0"/>
            <w:vAlign w:val="center"/>
          </w:tcPr>
          <w:p w14:paraId="1E36B3D1">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水量</w:t>
            </w:r>
          </w:p>
        </w:tc>
        <w:tc>
          <w:tcPr>
            <w:tcW w:w="1530" w:type="dxa"/>
            <w:noWrap w:val="0"/>
            <w:vAlign w:val="center"/>
          </w:tcPr>
          <w:p w14:paraId="6917E072">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1872F71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3E7C37A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7082B177">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1585.325t/a</w:t>
            </w:r>
          </w:p>
        </w:tc>
        <w:tc>
          <w:tcPr>
            <w:tcW w:w="1634" w:type="dxa"/>
            <w:noWrap w:val="0"/>
            <w:vAlign w:val="center"/>
          </w:tcPr>
          <w:p w14:paraId="13331081">
            <w:pPr>
              <w:pStyle w:val="27"/>
              <w:keepNext w:val="0"/>
              <w:keepLines w:val="0"/>
              <w:suppressLineNumbers w:val="0"/>
              <w:bidi w:val="0"/>
              <w:spacing w:before="0" w:beforeAutospacing="0" w:after="0" w:afterAutospacing="0"/>
              <w:ind w:left="0" w:right="0"/>
              <w:rPr>
                <w:color w:val="auto"/>
                <w:highlight w:val="none"/>
                <w:lang w:val="en-US" w:eastAsia="zh-CN"/>
              </w:rPr>
            </w:pPr>
          </w:p>
        </w:tc>
        <w:tc>
          <w:tcPr>
            <w:tcW w:w="1930" w:type="dxa"/>
            <w:noWrap w:val="0"/>
            <w:vAlign w:val="center"/>
          </w:tcPr>
          <w:p w14:paraId="242030B4">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1585.325t/a</w:t>
            </w:r>
          </w:p>
        </w:tc>
        <w:tc>
          <w:tcPr>
            <w:tcW w:w="1514" w:type="dxa"/>
            <w:noWrap w:val="0"/>
            <w:vAlign w:val="center"/>
          </w:tcPr>
          <w:p w14:paraId="4A9499BC">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1585.325t/a</w:t>
            </w:r>
          </w:p>
        </w:tc>
      </w:tr>
      <w:tr w14:paraId="4C9D0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34B1B7A8">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129B7233">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COD</w:t>
            </w:r>
          </w:p>
        </w:tc>
        <w:tc>
          <w:tcPr>
            <w:tcW w:w="1530" w:type="dxa"/>
            <w:noWrap w:val="0"/>
            <w:vAlign w:val="center"/>
          </w:tcPr>
          <w:p w14:paraId="4F35A2F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2167574D">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2A8B7AEC">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436EA8AB">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0.492t/a</w:t>
            </w:r>
          </w:p>
        </w:tc>
        <w:tc>
          <w:tcPr>
            <w:tcW w:w="1634" w:type="dxa"/>
            <w:noWrap w:val="0"/>
            <w:vAlign w:val="center"/>
          </w:tcPr>
          <w:p w14:paraId="755DA690">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1930" w:type="dxa"/>
            <w:noWrap w:val="0"/>
            <w:vAlign w:val="center"/>
          </w:tcPr>
          <w:p w14:paraId="24B01B21">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0.492t/a</w:t>
            </w:r>
          </w:p>
        </w:tc>
        <w:tc>
          <w:tcPr>
            <w:tcW w:w="1514" w:type="dxa"/>
            <w:noWrap w:val="0"/>
            <w:vAlign w:val="center"/>
          </w:tcPr>
          <w:p w14:paraId="395F60B8">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0.492t/a</w:t>
            </w:r>
          </w:p>
        </w:tc>
      </w:tr>
      <w:tr w14:paraId="66640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0A14C9F9">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33A0FA0D">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BOD</w:t>
            </w:r>
            <w:r>
              <w:rPr>
                <w:rFonts w:hint="eastAsia"/>
                <w:color w:val="auto"/>
                <w:highlight w:val="none"/>
                <w:vertAlign w:val="subscript"/>
              </w:rPr>
              <w:t>5</w:t>
            </w:r>
          </w:p>
        </w:tc>
        <w:tc>
          <w:tcPr>
            <w:tcW w:w="1530" w:type="dxa"/>
            <w:noWrap w:val="0"/>
            <w:vAlign w:val="center"/>
          </w:tcPr>
          <w:p w14:paraId="46EC1CD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760FA8F6">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5ACE8D1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213EA3A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224t/a</w:t>
            </w:r>
          </w:p>
        </w:tc>
        <w:tc>
          <w:tcPr>
            <w:tcW w:w="1634" w:type="dxa"/>
            <w:noWrap w:val="0"/>
            <w:vAlign w:val="center"/>
          </w:tcPr>
          <w:p w14:paraId="5F5C92D1">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w:t>
            </w:r>
          </w:p>
        </w:tc>
        <w:tc>
          <w:tcPr>
            <w:tcW w:w="1930" w:type="dxa"/>
            <w:noWrap w:val="0"/>
            <w:vAlign w:val="center"/>
          </w:tcPr>
          <w:p w14:paraId="131D7AD9">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224t/a</w:t>
            </w:r>
          </w:p>
        </w:tc>
        <w:tc>
          <w:tcPr>
            <w:tcW w:w="1514" w:type="dxa"/>
            <w:noWrap w:val="0"/>
            <w:vAlign w:val="center"/>
          </w:tcPr>
          <w:p w14:paraId="2914AC0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224t/a</w:t>
            </w:r>
          </w:p>
        </w:tc>
      </w:tr>
      <w:tr w14:paraId="4B8BD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1F9DFF8D">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6FAF66AF">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NH</w:t>
            </w:r>
            <w:r>
              <w:rPr>
                <w:color w:val="auto"/>
                <w:highlight w:val="none"/>
                <w:vertAlign w:val="subscript"/>
              </w:rPr>
              <w:t>3</w:t>
            </w:r>
            <w:r>
              <w:rPr>
                <w:color w:val="auto"/>
                <w:highlight w:val="none"/>
              </w:rPr>
              <w:t>-N</w:t>
            </w:r>
          </w:p>
        </w:tc>
        <w:tc>
          <w:tcPr>
            <w:tcW w:w="1530" w:type="dxa"/>
            <w:noWrap w:val="0"/>
            <w:vAlign w:val="center"/>
          </w:tcPr>
          <w:p w14:paraId="6CF9976D">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2C7A33F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4062ACB0">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7E49429F">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39t/a</w:t>
            </w:r>
          </w:p>
        </w:tc>
        <w:tc>
          <w:tcPr>
            <w:tcW w:w="1634" w:type="dxa"/>
            <w:noWrap w:val="0"/>
            <w:vAlign w:val="center"/>
          </w:tcPr>
          <w:p w14:paraId="4174A1D8">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930" w:type="dxa"/>
            <w:noWrap w:val="0"/>
            <w:vAlign w:val="center"/>
          </w:tcPr>
          <w:p w14:paraId="58F4FF29">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41t/a</w:t>
            </w:r>
          </w:p>
        </w:tc>
        <w:tc>
          <w:tcPr>
            <w:tcW w:w="1514" w:type="dxa"/>
            <w:noWrap w:val="0"/>
            <w:vAlign w:val="center"/>
          </w:tcPr>
          <w:p w14:paraId="5DEB0512">
            <w:pPr>
              <w:pStyle w:val="2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rPr>
              <w:t>+0.0</w:t>
            </w:r>
            <w:r>
              <w:rPr>
                <w:rFonts w:hint="eastAsia"/>
                <w:color w:val="auto"/>
                <w:highlight w:val="none"/>
                <w:lang w:val="en-US" w:eastAsia="zh-CN"/>
              </w:rPr>
              <w:t>41t/a</w:t>
            </w:r>
          </w:p>
        </w:tc>
      </w:tr>
      <w:tr w14:paraId="74DAA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46B7F8FE">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7CDB19B4">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SS</w:t>
            </w:r>
          </w:p>
        </w:tc>
        <w:tc>
          <w:tcPr>
            <w:tcW w:w="1530" w:type="dxa"/>
            <w:noWrap w:val="0"/>
            <w:vAlign w:val="center"/>
          </w:tcPr>
          <w:p w14:paraId="485447F9">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7259C69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6C75C4B1">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31F07195">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296t/a</w:t>
            </w:r>
          </w:p>
        </w:tc>
        <w:tc>
          <w:tcPr>
            <w:tcW w:w="1634" w:type="dxa"/>
            <w:noWrap w:val="0"/>
            <w:vAlign w:val="center"/>
          </w:tcPr>
          <w:p w14:paraId="382DBFA7">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930" w:type="dxa"/>
            <w:noWrap w:val="0"/>
            <w:vAlign w:val="center"/>
          </w:tcPr>
          <w:p w14:paraId="364D3A92">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296t/a</w:t>
            </w:r>
          </w:p>
        </w:tc>
        <w:tc>
          <w:tcPr>
            <w:tcW w:w="1514" w:type="dxa"/>
            <w:noWrap w:val="0"/>
            <w:vAlign w:val="center"/>
          </w:tcPr>
          <w:p w14:paraId="2E9B598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296t/a</w:t>
            </w:r>
          </w:p>
        </w:tc>
      </w:tr>
      <w:tr w14:paraId="0458B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6055C8FA">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346DF931">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TP</w:t>
            </w:r>
          </w:p>
        </w:tc>
        <w:tc>
          <w:tcPr>
            <w:tcW w:w="1530" w:type="dxa"/>
            <w:noWrap w:val="0"/>
            <w:vAlign w:val="center"/>
          </w:tcPr>
          <w:p w14:paraId="147CF1E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0C6A5CBC">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51D8A0E2">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7CF350D3">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0.006t/a</w:t>
            </w:r>
          </w:p>
        </w:tc>
        <w:tc>
          <w:tcPr>
            <w:tcW w:w="1634" w:type="dxa"/>
            <w:noWrap w:val="0"/>
            <w:vAlign w:val="center"/>
          </w:tcPr>
          <w:p w14:paraId="11D78129">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930" w:type="dxa"/>
            <w:noWrap w:val="0"/>
            <w:vAlign w:val="center"/>
          </w:tcPr>
          <w:p w14:paraId="53F90028">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0.006t/a</w:t>
            </w:r>
          </w:p>
        </w:tc>
        <w:tc>
          <w:tcPr>
            <w:tcW w:w="1514" w:type="dxa"/>
            <w:noWrap w:val="0"/>
            <w:vAlign w:val="center"/>
          </w:tcPr>
          <w:p w14:paraId="2AC34E9D">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+0.006t/a</w:t>
            </w:r>
          </w:p>
        </w:tc>
      </w:tr>
      <w:tr w14:paraId="50A9B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restart"/>
            <w:noWrap w:val="0"/>
            <w:vAlign w:val="center"/>
          </w:tcPr>
          <w:p w14:paraId="0D2E1265">
            <w:pPr>
              <w:pStyle w:val="27"/>
              <w:keepNext w:val="0"/>
              <w:keepLines w:val="0"/>
              <w:suppressLineNumbers w:val="0"/>
              <w:bidi w:val="0"/>
              <w:spacing w:before="0" w:beforeAutospacing="0" w:after="0" w:afterAutospacing="0"/>
              <w:ind w:left="0" w:right="0"/>
              <w:rPr>
                <w:color w:val="auto"/>
                <w:highlight w:val="none"/>
              </w:rPr>
            </w:pPr>
            <w:r>
              <w:rPr>
                <w:color w:val="auto"/>
                <w:highlight w:val="none"/>
              </w:rPr>
              <w:t>一般工业固体废物</w:t>
            </w:r>
          </w:p>
        </w:tc>
        <w:tc>
          <w:tcPr>
            <w:tcW w:w="1695" w:type="dxa"/>
            <w:noWrap w:val="0"/>
            <w:vAlign w:val="center"/>
          </w:tcPr>
          <w:p w14:paraId="1DADAFB3">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rPr>
              <w:t>废过滤膜</w:t>
            </w:r>
          </w:p>
        </w:tc>
        <w:tc>
          <w:tcPr>
            <w:tcW w:w="1530" w:type="dxa"/>
            <w:noWrap w:val="0"/>
            <w:vAlign w:val="center"/>
          </w:tcPr>
          <w:p w14:paraId="71834594">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6B9B055B">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44937F6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52E4DA4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0.05t/a</w:t>
            </w:r>
          </w:p>
        </w:tc>
        <w:tc>
          <w:tcPr>
            <w:tcW w:w="1634" w:type="dxa"/>
            <w:noWrap w:val="0"/>
            <w:vAlign w:val="center"/>
          </w:tcPr>
          <w:p w14:paraId="064F4B1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930" w:type="dxa"/>
            <w:noWrap w:val="0"/>
            <w:vAlign w:val="center"/>
          </w:tcPr>
          <w:p w14:paraId="175387B7">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0.05t/a</w:t>
            </w:r>
          </w:p>
        </w:tc>
        <w:tc>
          <w:tcPr>
            <w:tcW w:w="1514" w:type="dxa"/>
            <w:noWrap w:val="0"/>
            <w:vAlign w:val="center"/>
          </w:tcPr>
          <w:p w14:paraId="339EEC90">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0.05t/a</w:t>
            </w:r>
          </w:p>
        </w:tc>
      </w:tr>
      <w:tr w14:paraId="7C771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3857A28C">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3600D7E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一般土样</w:t>
            </w:r>
          </w:p>
        </w:tc>
        <w:tc>
          <w:tcPr>
            <w:tcW w:w="1530" w:type="dxa"/>
            <w:noWrap w:val="0"/>
            <w:vAlign w:val="center"/>
          </w:tcPr>
          <w:p w14:paraId="6B42738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4A14976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3CBE5389">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4AA1A3AC">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0.23t/a</w:t>
            </w:r>
          </w:p>
        </w:tc>
        <w:tc>
          <w:tcPr>
            <w:tcW w:w="1634" w:type="dxa"/>
            <w:noWrap w:val="0"/>
            <w:vAlign w:val="center"/>
          </w:tcPr>
          <w:p w14:paraId="79D872A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1096E171">
            <w:pPr>
              <w:pStyle w:val="27"/>
              <w:keepNext w:val="0"/>
              <w:keepLines w:val="0"/>
              <w:suppressLineNumbers w:val="0"/>
              <w:bidi w:val="0"/>
              <w:spacing w:before="0" w:beforeAutospacing="0" w:after="0" w:afterAutospacing="0"/>
              <w:ind w:left="0" w:leftChars="0" w:right="0" w:rightChars="0" w:firstLine="0" w:firstLineChars="0"/>
              <w:rPr>
                <w:rFonts w:hint="default" w:eastAsia="宋体"/>
                <w:color w:val="auto"/>
                <w:highlight w:val="none"/>
                <w:lang w:val="en-US" w:eastAsia="zh-CN"/>
              </w:rPr>
            </w:pPr>
            <w:r>
              <w:rPr>
                <w:rFonts w:hint="eastAsia"/>
                <w:color w:val="auto"/>
                <w:highlight w:val="none"/>
                <w:lang w:val="en-US" w:eastAsia="zh-CN"/>
              </w:rPr>
              <w:t>0.23t/a</w:t>
            </w:r>
          </w:p>
        </w:tc>
        <w:tc>
          <w:tcPr>
            <w:tcW w:w="1514" w:type="dxa"/>
            <w:noWrap w:val="0"/>
            <w:vAlign w:val="center"/>
          </w:tcPr>
          <w:p w14:paraId="6E57D25E">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0.23t/a</w:t>
            </w:r>
          </w:p>
        </w:tc>
      </w:tr>
      <w:tr w14:paraId="0E0FB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5DBB8F4F">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4FC3596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default"/>
                <w:color w:val="auto"/>
                <w:highlight w:val="none"/>
              </w:rPr>
              <w:t>不沾染危化品的废包装</w:t>
            </w:r>
          </w:p>
        </w:tc>
        <w:tc>
          <w:tcPr>
            <w:tcW w:w="1530" w:type="dxa"/>
            <w:noWrap w:val="0"/>
            <w:vAlign w:val="center"/>
          </w:tcPr>
          <w:p w14:paraId="05CD903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2EDB39D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5AA7E0D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063A1DFF">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0.1t/a</w:t>
            </w:r>
          </w:p>
        </w:tc>
        <w:tc>
          <w:tcPr>
            <w:tcW w:w="1634" w:type="dxa"/>
            <w:noWrap w:val="0"/>
            <w:vAlign w:val="center"/>
          </w:tcPr>
          <w:p w14:paraId="09E74DF8">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24EBADC6">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0.1t/a</w:t>
            </w:r>
          </w:p>
        </w:tc>
        <w:tc>
          <w:tcPr>
            <w:tcW w:w="1514" w:type="dxa"/>
            <w:noWrap w:val="0"/>
            <w:vAlign w:val="center"/>
          </w:tcPr>
          <w:p w14:paraId="0325EB18">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0.1t/a</w:t>
            </w:r>
          </w:p>
        </w:tc>
      </w:tr>
      <w:tr w14:paraId="56F4D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50C69C05">
            <w:pPr>
              <w:pStyle w:val="27"/>
              <w:keepNext w:val="0"/>
              <w:keepLines w:val="0"/>
              <w:suppressLineNumbers w:val="0"/>
              <w:bidi w:val="0"/>
              <w:spacing w:before="0" w:beforeAutospacing="0" w:after="0" w:afterAutospacing="0"/>
              <w:ind w:left="0" w:right="0"/>
              <w:rPr>
                <w:color w:val="auto"/>
                <w:highlight w:val="none"/>
              </w:rPr>
            </w:pPr>
          </w:p>
        </w:tc>
        <w:tc>
          <w:tcPr>
            <w:tcW w:w="1695" w:type="dxa"/>
            <w:noWrap w:val="0"/>
            <w:vAlign w:val="center"/>
          </w:tcPr>
          <w:p w14:paraId="06689E50">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生活垃圾</w:t>
            </w:r>
          </w:p>
        </w:tc>
        <w:tc>
          <w:tcPr>
            <w:tcW w:w="1530" w:type="dxa"/>
            <w:noWrap w:val="0"/>
            <w:vAlign w:val="center"/>
          </w:tcPr>
          <w:p w14:paraId="290F2A5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18A4F6E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41C40DBA">
            <w:pPr>
              <w:pStyle w:val="27"/>
              <w:keepNext w:val="0"/>
              <w:keepLines w:val="0"/>
              <w:suppressLineNumbers w:val="0"/>
              <w:bidi w:val="0"/>
              <w:spacing w:before="0" w:beforeAutospacing="0" w:after="0" w:afterAutospacing="0"/>
              <w:ind w:left="0" w:right="0"/>
              <w:rPr>
                <w:rFonts w:hint="eastAsia"/>
                <w:color w:val="auto"/>
                <w:highlight w:val="none"/>
              </w:rPr>
            </w:pPr>
          </w:p>
        </w:tc>
        <w:tc>
          <w:tcPr>
            <w:tcW w:w="1559" w:type="dxa"/>
            <w:noWrap w:val="0"/>
            <w:vAlign w:val="center"/>
          </w:tcPr>
          <w:p w14:paraId="4454844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6t/a</w:t>
            </w:r>
          </w:p>
        </w:tc>
        <w:tc>
          <w:tcPr>
            <w:tcW w:w="1634" w:type="dxa"/>
            <w:noWrap w:val="0"/>
            <w:vAlign w:val="center"/>
          </w:tcPr>
          <w:p w14:paraId="1BBCB92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5080B57A">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6t/a</w:t>
            </w:r>
          </w:p>
        </w:tc>
        <w:tc>
          <w:tcPr>
            <w:tcW w:w="1514" w:type="dxa"/>
            <w:noWrap w:val="0"/>
            <w:vAlign w:val="center"/>
          </w:tcPr>
          <w:p w14:paraId="004C96E3">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6t/a</w:t>
            </w:r>
          </w:p>
        </w:tc>
      </w:tr>
      <w:tr w14:paraId="19261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restart"/>
            <w:noWrap w:val="0"/>
            <w:vAlign w:val="center"/>
          </w:tcPr>
          <w:p w14:paraId="6C0B7EFA">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危险废物</w:t>
            </w:r>
          </w:p>
        </w:tc>
        <w:tc>
          <w:tcPr>
            <w:tcW w:w="1695" w:type="dxa"/>
            <w:noWrap w:val="0"/>
            <w:vAlign w:val="center"/>
          </w:tcPr>
          <w:p w14:paraId="1384AE2B">
            <w:pPr>
              <w:pStyle w:val="27"/>
              <w:keepNext w:val="0"/>
              <w:keepLines w:val="0"/>
              <w:suppressLineNumbers w:val="0"/>
              <w:bidi w:val="0"/>
              <w:spacing w:before="0" w:beforeAutospacing="0" w:after="0" w:afterAutospacing="0"/>
              <w:ind w:left="0" w:leftChars="0" w:right="0" w:rightChars="0" w:firstLine="0" w:firstLineChars="0"/>
              <w:rPr>
                <w:color w:val="auto"/>
                <w:highlight w:val="none"/>
              </w:rPr>
            </w:pPr>
            <w:r>
              <w:rPr>
                <w:rFonts w:hint="eastAsia"/>
                <w:color w:val="auto"/>
                <w:highlight w:val="none"/>
                <w:lang w:val="en-US" w:eastAsia="zh-CN"/>
              </w:rPr>
              <w:t>实验室废物</w:t>
            </w:r>
          </w:p>
        </w:tc>
        <w:tc>
          <w:tcPr>
            <w:tcW w:w="1530" w:type="dxa"/>
            <w:noWrap w:val="0"/>
            <w:vAlign w:val="center"/>
          </w:tcPr>
          <w:p w14:paraId="50A89573">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276" w:type="dxa"/>
            <w:noWrap w:val="0"/>
            <w:vAlign w:val="center"/>
          </w:tcPr>
          <w:p w14:paraId="057E5342">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701" w:type="dxa"/>
            <w:noWrap w:val="0"/>
            <w:vAlign w:val="center"/>
          </w:tcPr>
          <w:p w14:paraId="22B3CAC8">
            <w:pPr>
              <w:pStyle w:val="27"/>
              <w:keepNext w:val="0"/>
              <w:keepLines w:val="0"/>
              <w:suppressLineNumbers w:val="0"/>
              <w:bidi w:val="0"/>
              <w:spacing w:before="0" w:beforeAutospacing="0" w:after="0" w:afterAutospacing="0"/>
              <w:ind w:left="0" w:right="0"/>
              <w:rPr>
                <w:color w:val="auto"/>
                <w:highlight w:val="none"/>
              </w:rPr>
            </w:pPr>
            <w:r>
              <w:rPr>
                <w:rFonts w:hint="eastAsia"/>
                <w:color w:val="auto"/>
                <w:highlight w:val="none"/>
              </w:rPr>
              <w:t>/</w:t>
            </w:r>
          </w:p>
        </w:tc>
        <w:tc>
          <w:tcPr>
            <w:tcW w:w="1559" w:type="dxa"/>
            <w:noWrap w:val="0"/>
            <w:vAlign w:val="center"/>
          </w:tcPr>
          <w:p w14:paraId="0EFCAF22">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2.035t/a</w:t>
            </w:r>
          </w:p>
        </w:tc>
        <w:tc>
          <w:tcPr>
            <w:tcW w:w="1634" w:type="dxa"/>
            <w:noWrap w:val="0"/>
            <w:vAlign w:val="center"/>
          </w:tcPr>
          <w:p w14:paraId="6301CB21">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930" w:type="dxa"/>
            <w:noWrap w:val="0"/>
            <w:vAlign w:val="center"/>
          </w:tcPr>
          <w:p w14:paraId="40585AD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2.035t/a</w:t>
            </w:r>
          </w:p>
        </w:tc>
        <w:tc>
          <w:tcPr>
            <w:tcW w:w="1514" w:type="dxa"/>
            <w:noWrap w:val="0"/>
            <w:vAlign w:val="center"/>
          </w:tcPr>
          <w:p w14:paraId="796B018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2.035t/a</w:t>
            </w:r>
          </w:p>
        </w:tc>
      </w:tr>
      <w:tr w14:paraId="43A1A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6598E107">
            <w:pPr>
              <w:pStyle w:val="27"/>
              <w:keepNext w:val="0"/>
              <w:keepLines w:val="0"/>
              <w:suppressLineNumbers w:val="0"/>
              <w:bidi w:val="0"/>
              <w:spacing w:before="0" w:beforeAutospacing="0" w:after="0" w:afterAutospacing="0"/>
              <w:ind w:left="0" w:right="0"/>
              <w:rPr>
                <w:rFonts w:hint="eastAsia"/>
                <w:color w:val="auto"/>
                <w:highlight w:val="none"/>
              </w:rPr>
            </w:pPr>
          </w:p>
        </w:tc>
        <w:tc>
          <w:tcPr>
            <w:tcW w:w="1695" w:type="dxa"/>
            <w:noWrap w:val="0"/>
            <w:vAlign w:val="center"/>
          </w:tcPr>
          <w:p w14:paraId="15FA55A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color w:val="auto"/>
                <w:highlight w:val="none"/>
              </w:rPr>
              <w:t>废活性炭</w:t>
            </w:r>
          </w:p>
        </w:tc>
        <w:tc>
          <w:tcPr>
            <w:tcW w:w="1530" w:type="dxa"/>
            <w:noWrap w:val="0"/>
            <w:vAlign w:val="center"/>
          </w:tcPr>
          <w:p w14:paraId="66B2A842">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6004D69F">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602A80EA">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p>
        </w:tc>
        <w:tc>
          <w:tcPr>
            <w:tcW w:w="1559" w:type="dxa"/>
            <w:noWrap w:val="0"/>
            <w:vAlign w:val="center"/>
          </w:tcPr>
          <w:p w14:paraId="0FB84924">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0.16t/a</w:t>
            </w:r>
          </w:p>
        </w:tc>
        <w:tc>
          <w:tcPr>
            <w:tcW w:w="1634" w:type="dxa"/>
            <w:noWrap w:val="0"/>
            <w:vAlign w:val="center"/>
          </w:tcPr>
          <w:p w14:paraId="6905C071">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3CD9067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0.16t/a</w:t>
            </w:r>
          </w:p>
        </w:tc>
        <w:tc>
          <w:tcPr>
            <w:tcW w:w="1514" w:type="dxa"/>
            <w:noWrap w:val="0"/>
            <w:vAlign w:val="center"/>
          </w:tcPr>
          <w:p w14:paraId="66CE62FC">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0.16t/a</w:t>
            </w:r>
          </w:p>
        </w:tc>
      </w:tr>
      <w:tr w14:paraId="7642D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5153B5F4">
            <w:pPr>
              <w:pStyle w:val="27"/>
              <w:keepNext w:val="0"/>
              <w:keepLines w:val="0"/>
              <w:suppressLineNumbers w:val="0"/>
              <w:bidi w:val="0"/>
              <w:spacing w:before="0" w:beforeAutospacing="0" w:after="0" w:afterAutospacing="0"/>
              <w:ind w:left="0" w:right="0"/>
              <w:rPr>
                <w:rFonts w:hint="eastAsia"/>
                <w:color w:val="auto"/>
                <w:highlight w:val="none"/>
              </w:rPr>
            </w:pPr>
          </w:p>
        </w:tc>
        <w:tc>
          <w:tcPr>
            <w:tcW w:w="1695" w:type="dxa"/>
            <w:noWrap w:val="0"/>
            <w:vAlign w:val="center"/>
          </w:tcPr>
          <w:p w14:paraId="08F15B13">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废紫外线灯管</w:t>
            </w:r>
          </w:p>
        </w:tc>
        <w:tc>
          <w:tcPr>
            <w:tcW w:w="1530" w:type="dxa"/>
            <w:noWrap w:val="0"/>
            <w:vAlign w:val="center"/>
          </w:tcPr>
          <w:p w14:paraId="29E360E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127CDF2D">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09B217BB">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031E8475">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0.0009t/a</w:t>
            </w:r>
          </w:p>
        </w:tc>
        <w:tc>
          <w:tcPr>
            <w:tcW w:w="1634" w:type="dxa"/>
            <w:noWrap w:val="0"/>
            <w:vAlign w:val="center"/>
          </w:tcPr>
          <w:p w14:paraId="0BCB085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36256524">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0.0009t/a</w:t>
            </w:r>
          </w:p>
        </w:tc>
        <w:tc>
          <w:tcPr>
            <w:tcW w:w="1514" w:type="dxa"/>
            <w:noWrap w:val="0"/>
            <w:vAlign w:val="center"/>
          </w:tcPr>
          <w:p w14:paraId="2209C07B">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0.0009t/a</w:t>
            </w:r>
          </w:p>
        </w:tc>
      </w:tr>
      <w:tr w14:paraId="4EE4F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1E48F100">
            <w:pPr>
              <w:pStyle w:val="27"/>
              <w:keepNext w:val="0"/>
              <w:keepLines w:val="0"/>
              <w:suppressLineNumbers w:val="0"/>
              <w:bidi w:val="0"/>
              <w:spacing w:before="0" w:beforeAutospacing="0" w:after="0" w:afterAutospacing="0"/>
              <w:ind w:left="0" w:right="0"/>
              <w:rPr>
                <w:rFonts w:hint="eastAsia"/>
                <w:color w:val="auto"/>
                <w:highlight w:val="none"/>
              </w:rPr>
            </w:pPr>
          </w:p>
        </w:tc>
        <w:tc>
          <w:tcPr>
            <w:tcW w:w="1695" w:type="dxa"/>
            <w:noWrap w:val="0"/>
            <w:vAlign w:val="center"/>
          </w:tcPr>
          <w:p w14:paraId="636794F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污泥</w:t>
            </w:r>
          </w:p>
        </w:tc>
        <w:tc>
          <w:tcPr>
            <w:tcW w:w="1530" w:type="dxa"/>
            <w:noWrap w:val="0"/>
            <w:vAlign w:val="center"/>
          </w:tcPr>
          <w:p w14:paraId="766E36EC">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0886A14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4E4D997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6C7556AE">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0.02t/a</w:t>
            </w:r>
          </w:p>
        </w:tc>
        <w:tc>
          <w:tcPr>
            <w:tcW w:w="1634" w:type="dxa"/>
            <w:noWrap w:val="0"/>
            <w:vAlign w:val="center"/>
          </w:tcPr>
          <w:p w14:paraId="4736CC90">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4A04D954">
            <w:pPr>
              <w:pStyle w:val="27"/>
              <w:keepNext w:val="0"/>
              <w:keepLines w:val="0"/>
              <w:suppressLineNumbers w:val="0"/>
              <w:bidi w:val="0"/>
              <w:spacing w:before="0" w:beforeAutospacing="0" w:after="0" w:afterAutospacing="0"/>
              <w:ind w:left="0" w:leftChars="0" w:right="0" w:rightChars="0" w:firstLine="0" w:firstLineChars="0"/>
              <w:rPr>
                <w:rFonts w:hint="eastAsia"/>
                <w:b/>
                <w:bCs/>
                <w:color w:val="auto"/>
                <w:highlight w:val="none"/>
                <w:lang w:val="en-US" w:eastAsia="zh-CN"/>
              </w:rPr>
            </w:pPr>
            <w:r>
              <w:rPr>
                <w:rFonts w:hint="eastAsia"/>
                <w:color w:val="auto"/>
                <w:highlight w:val="none"/>
                <w:lang w:val="en-US" w:eastAsia="zh-CN"/>
              </w:rPr>
              <w:t>0.02t/a</w:t>
            </w:r>
          </w:p>
        </w:tc>
        <w:tc>
          <w:tcPr>
            <w:tcW w:w="1514" w:type="dxa"/>
            <w:noWrap w:val="0"/>
            <w:vAlign w:val="center"/>
          </w:tcPr>
          <w:p w14:paraId="566CCFE8">
            <w:pPr>
              <w:pStyle w:val="2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0.02t/a</w:t>
            </w:r>
          </w:p>
        </w:tc>
      </w:tr>
      <w:tr w14:paraId="4EB78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1" w:type="dxa"/>
            <w:vMerge w:val="continue"/>
            <w:noWrap w:val="0"/>
            <w:vAlign w:val="center"/>
          </w:tcPr>
          <w:p w14:paraId="522F5A88">
            <w:pPr>
              <w:pStyle w:val="27"/>
              <w:keepNext w:val="0"/>
              <w:keepLines w:val="0"/>
              <w:suppressLineNumbers w:val="0"/>
              <w:bidi w:val="0"/>
              <w:spacing w:before="0" w:beforeAutospacing="0" w:after="0" w:afterAutospacing="0"/>
              <w:ind w:left="0" w:right="0"/>
              <w:rPr>
                <w:rFonts w:hint="eastAsia"/>
                <w:color w:val="auto"/>
                <w:highlight w:val="none"/>
              </w:rPr>
            </w:pPr>
          </w:p>
        </w:tc>
        <w:tc>
          <w:tcPr>
            <w:tcW w:w="1695" w:type="dxa"/>
            <w:noWrap w:val="0"/>
            <w:vAlign w:val="center"/>
          </w:tcPr>
          <w:p w14:paraId="3514D2E5">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剩余土壤样品</w:t>
            </w:r>
          </w:p>
        </w:tc>
        <w:tc>
          <w:tcPr>
            <w:tcW w:w="1530" w:type="dxa"/>
            <w:noWrap w:val="0"/>
            <w:vAlign w:val="center"/>
          </w:tcPr>
          <w:p w14:paraId="216EC257">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276" w:type="dxa"/>
            <w:noWrap w:val="0"/>
            <w:vAlign w:val="center"/>
          </w:tcPr>
          <w:p w14:paraId="5321300D">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701" w:type="dxa"/>
            <w:noWrap w:val="0"/>
            <w:vAlign w:val="center"/>
          </w:tcPr>
          <w:p w14:paraId="19B78FED">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559" w:type="dxa"/>
            <w:noWrap w:val="0"/>
            <w:vAlign w:val="center"/>
          </w:tcPr>
          <w:p w14:paraId="370B5CB2">
            <w:pPr>
              <w:pStyle w:val="2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0.026t/a</w:t>
            </w:r>
          </w:p>
        </w:tc>
        <w:tc>
          <w:tcPr>
            <w:tcW w:w="1634" w:type="dxa"/>
            <w:noWrap w:val="0"/>
            <w:vAlign w:val="center"/>
          </w:tcPr>
          <w:p w14:paraId="3462A47E">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rPr>
              <w:t>/</w:t>
            </w:r>
          </w:p>
        </w:tc>
        <w:tc>
          <w:tcPr>
            <w:tcW w:w="1930" w:type="dxa"/>
            <w:noWrap w:val="0"/>
            <w:vAlign w:val="center"/>
          </w:tcPr>
          <w:p w14:paraId="72DFBFFC">
            <w:pPr>
              <w:pStyle w:val="27"/>
              <w:keepNext w:val="0"/>
              <w:keepLines w:val="0"/>
              <w:suppressLineNumbers w:val="0"/>
              <w:bidi w:val="0"/>
              <w:spacing w:before="0" w:beforeAutospacing="0" w:after="0" w:afterAutospacing="0"/>
              <w:ind w:left="0" w:leftChars="0" w:right="0" w:rightChars="0" w:firstLine="0" w:firstLineChars="0"/>
              <w:rPr>
                <w:rFonts w:hint="eastAsia"/>
                <w:color w:val="auto"/>
                <w:highlight w:val="none"/>
              </w:rPr>
            </w:pPr>
            <w:r>
              <w:rPr>
                <w:rFonts w:hint="eastAsia"/>
                <w:color w:val="auto"/>
                <w:highlight w:val="none"/>
                <w:lang w:val="en-US" w:eastAsia="zh-CN"/>
              </w:rPr>
              <w:t>0.026t/a</w:t>
            </w:r>
          </w:p>
        </w:tc>
        <w:tc>
          <w:tcPr>
            <w:tcW w:w="1514" w:type="dxa"/>
            <w:noWrap w:val="0"/>
            <w:vAlign w:val="center"/>
          </w:tcPr>
          <w:p w14:paraId="0C95FDBE">
            <w:pPr>
              <w:pStyle w:val="27"/>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eastAsia"/>
                <w:color w:val="auto"/>
                <w:highlight w:val="none"/>
                <w:lang w:val="en-US" w:eastAsia="zh-CN"/>
              </w:rPr>
              <w:t>0.026t/a</w:t>
            </w:r>
          </w:p>
        </w:tc>
      </w:tr>
    </w:tbl>
    <w:p w14:paraId="15A0FC75">
      <w:pPr>
        <w:spacing w:line="360" w:lineRule="auto"/>
        <w:ind w:left="0" w:leftChars="0" w:firstLine="0" w:firstLineChars="0"/>
        <w:rPr>
          <w:snapToGrid w:val="0"/>
          <w:color w:val="auto"/>
          <w:spacing w:val="-6"/>
          <w:kern w:val="21"/>
          <w:sz w:val="21"/>
          <w:szCs w:val="18"/>
          <w:highlight w:val="none"/>
        </w:rPr>
      </w:pPr>
      <w:r>
        <w:rPr>
          <w:snapToGrid w:val="0"/>
          <w:color w:val="auto"/>
          <w:kern w:val="21"/>
          <w:sz w:val="21"/>
          <w:szCs w:val="18"/>
          <w:highlight w:val="none"/>
        </w:rPr>
        <w:t>注：</w:t>
      </w:r>
      <w:r>
        <w:rPr>
          <w:snapToGrid w:val="0"/>
          <w:color w:val="auto"/>
          <w:spacing w:val="-16"/>
          <w:kern w:val="21"/>
          <w:sz w:val="21"/>
          <w:szCs w:val="18"/>
          <w:highlight w:val="none"/>
        </w:rPr>
        <w:fldChar w:fldCharType="begin"/>
      </w:r>
      <w:r>
        <w:rPr>
          <w:snapToGrid w:val="0"/>
          <w:color w:val="auto"/>
          <w:spacing w:val="-16"/>
          <w:kern w:val="21"/>
          <w:sz w:val="21"/>
          <w:szCs w:val="18"/>
          <w:highlight w:val="none"/>
        </w:rPr>
        <w:instrText xml:space="preserve"> = 6 \* GB3 \* MERGEFORMAT </w:instrText>
      </w:r>
      <w:r>
        <w:rPr>
          <w:snapToGrid w:val="0"/>
          <w:color w:val="auto"/>
          <w:spacing w:val="-16"/>
          <w:kern w:val="21"/>
          <w:sz w:val="21"/>
          <w:szCs w:val="18"/>
          <w:highlight w:val="none"/>
        </w:rPr>
        <w:fldChar w:fldCharType="separate"/>
      </w:r>
      <w:r>
        <w:rPr>
          <w:rFonts w:hint="eastAsia" w:ascii="宋体" w:hAnsi="宋体" w:cs="宋体"/>
          <w:color w:val="auto"/>
          <w:sz w:val="21"/>
          <w:szCs w:val="18"/>
          <w:highlight w:val="none"/>
        </w:rPr>
        <w:t>⑥</w:t>
      </w:r>
      <w:r>
        <w:rPr>
          <w:snapToGrid w:val="0"/>
          <w:color w:val="auto"/>
          <w:spacing w:val="-16"/>
          <w:kern w:val="21"/>
          <w:sz w:val="21"/>
          <w:szCs w:val="18"/>
          <w:highlight w:val="none"/>
        </w:rPr>
        <w:fldChar w:fldCharType="end"/>
      </w:r>
      <w:r>
        <w:rPr>
          <w:snapToGrid w:val="0"/>
          <w:color w:val="auto"/>
          <w:spacing w:val="-16"/>
          <w:kern w:val="21"/>
          <w:sz w:val="21"/>
          <w:szCs w:val="18"/>
          <w:highlight w:val="none"/>
        </w:rPr>
        <w:t>=</w:t>
      </w:r>
      <w:r>
        <w:rPr>
          <w:snapToGrid w:val="0"/>
          <w:color w:val="auto"/>
          <w:spacing w:val="-6"/>
          <w:kern w:val="21"/>
          <w:sz w:val="21"/>
          <w:szCs w:val="18"/>
          <w:highlight w:val="none"/>
        </w:rPr>
        <w:fldChar w:fldCharType="begin"/>
      </w:r>
      <w:r>
        <w:rPr>
          <w:snapToGrid w:val="0"/>
          <w:color w:val="auto"/>
          <w:spacing w:val="-6"/>
          <w:kern w:val="21"/>
          <w:sz w:val="21"/>
          <w:szCs w:val="18"/>
          <w:highlight w:val="none"/>
        </w:rPr>
        <w:instrText xml:space="preserve"> = 1 \* GB3 \* MERGEFORMAT </w:instrText>
      </w:r>
      <w:r>
        <w:rPr>
          <w:snapToGrid w:val="0"/>
          <w:color w:val="auto"/>
          <w:spacing w:val="-6"/>
          <w:kern w:val="21"/>
          <w:sz w:val="21"/>
          <w:szCs w:val="18"/>
          <w:highlight w:val="none"/>
        </w:rPr>
        <w:fldChar w:fldCharType="separate"/>
      </w:r>
      <w:r>
        <w:rPr>
          <w:rFonts w:hint="eastAsia" w:ascii="宋体" w:hAnsi="宋体" w:cs="宋体"/>
          <w:color w:val="auto"/>
          <w:sz w:val="21"/>
          <w:szCs w:val="18"/>
          <w:highlight w:val="none"/>
        </w:rPr>
        <w:t>①</w:t>
      </w:r>
      <w:r>
        <w:rPr>
          <w:snapToGrid w:val="0"/>
          <w:color w:val="auto"/>
          <w:spacing w:val="-6"/>
          <w:kern w:val="21"/>
          <w:sz w:val="21"/>
          <w:szCs w:val="18"/>
          <w:highlight w:val="none"/>
        </w:rPr>
        <w:fldChar w:fldCharType="end"/>
      </w:r>
      <w:r>
        <w:rPr>
          <w:snapToGrid w:val="0"/>
          <w:color w:val="auto"/>
          <w:spacing w:val="-6"/>
          <w:kern w:val="21"/>
          <w:sz w:val="21"/>
          <w:szCs w:val="18"/>
          <w:highlight w:val="none"/>
        </w:rPr>
        <w:t>+</w:t>
      </w:r>
      <w:r>
        <w:rPr>
          <w:snapToGrid w:val="0"/>
          <w:color w:val="auto"/>
          <w:spacing w:val="-6"/>
          <w:kern w:val="21"/>
          <w:sz w:val="21"/>
          <w:szCs w:val="18"/>
          <w:highlight w:val="none"/>
        </w:rPr>
        <w:fldChar w:fldCharType="begin"/>
      </w:r>
      <w:r>
        <w:rPr>
          <w:snapToGrid w:val="0"/>
          <w:color w:val="auto"/>
          <w:spacing w:val="-6"/>
          <w:kern w:val="21"/>
          <w:sz w:val="21"/>
          <w:szCs w:val="18"/>
          <w:highlight w:val="none"/>
        </w:rPr>
        <w:instrText xml:space="preserve"> = 3 \* GB3 \* MERGEFORMAT </w:instrText>
      </w:r>
      <w:r>
        <w:rPr>
          <w:snapToGrid w:val="0"/>
          <w:color w:val="auto"/>
          <w:spacing w:val="-6"/>
          <w:kern w:val="21"/>
          <w:sz w:val="21"/>
          <w:szCs w:val="18"/>
          <w:highlight w:val="none"/>
        </w:rPr>
        <w:fldChar w:fldCharType="separate"/>
      </w:r>
      <w:r>
        <w:rPr>
          <w:rFonts w:hint="eastAsia" w:ascii="宋体" w:hAnsi="宋体" w:cs="宋体"/>
          <w:color w:val="auto"/>
          <w:sz w:val="21"/>
          <w:szCs w:val="18"/>
          <w:highlight w:val="none"/>
        </w:rPr>
        <w:t>③</w:t>
      </w:r>
      <w:r>
        <w:rPr>
          <w:snapToGrid w:val="0"/>
          <w:color w:val="auto"/>
          <w:spacing w:val="-6"/>
          <w:kern w:val="21"/>
          <w:sz w:val="21"/>
          <w:szCs w:val="18"/>
          <w:highlight w:val="none"/>
        </w:rPr>
        <w:fldChar w:fldCharType="end"/>
      </w:r>
      <w:r>
        <w:rPr>
          <w:snapToGrid w:val="0"/>
          <w:color w:val="auto"/>
          <w:spacing w:val="-6"/>
          <w:kern w:val="21"/>
          <w:sz w:val="21"/>
          <w:szCs w:val="18"/>
          <w:highlight w:val="none"/>
        </w:rPr>
        <w:t>+</w:t>
      </w:r>
      <w:r>
        <w:rPr>
          <w:snapToGrid w:val="0"/>
          <w:color w:val="auto"/>
          <w:spacing w:val="-6"/>
          <w:kern w:val="21"/>
          <w:sz w:val="21"/>
          <w:szCs w:val="18"/>
          <w:highlight w:val="none"/>
        </w:rPr>
        <w:fldChar w:fldCharType="begin"/>
      </w:r>
      <w:r>
        <w:rPr>
          <w:snapToGrid w:val="0"/>
          <w:color w:val="auto"/>
          <w:spacing w:val="-6"/>
          <w:kern w:val="21"/>
          <w:sz w:val="21"/>
          <w:szCs w:val="18"/>
          <w:highlight w:val="none"/>
        </w:rPr>
        <w:instrText xml:space="preserve"> = 4 \* GB3 \* MERGEFORMAT </w:instrText>
      </w:r>
      <w:r>
        <w:rPr>
          <w:snapToGrid w:val="0"/>
          <w:color w:val="auto"/>
          <w:spacing w:val="-6"/>
          <w:kern w:val="21"/>
          <w:sz w:val="21"/>
          <w:szCs w:val="18"/>
          <w:highlight w:val="none"/>
        </w:rPr>
        <w:fldChar w:fldCharType="separate"/>
      </w:r>
      <w:r>
        <w:rPr>
          <w:rFonts w:hint="eastAsia" w:ascii="宋体" w:hAnsi="宋体" w:cs="宋体"/>
          <w:color w:val="auto"/>
          <w:sz w:val="21"/>
          <w:szCs w:val="18"/>
          <w:highlight w:val="none"/>
        </w:rPr>
        <w:t>④</w:t>
      </w:r>
      <w:r>
        <w:rPr>
          <w:snapToGrid w:val="0"/>
          <w:color w:val="auto"/>
          <w:spacing w:val="-6"/>
          <w:kern w:val="21"/>
          <w:sz w:val="21"/>
          <w:szCs w:val="18"/>
          <w:highlight w:val="none"/>
        </w:rPr>
        <w:fldChar w:fldCharType="end"/>
      </w:r>
      <w:r>
        <w:rPr>
          <w:snapToGrid w:val="0"/>
          <w:color w:val="auto"/>
          <w:spacing w:val="-6"/>
          <w:kern w:val="21"/>
          <w:sz w:val="21"/>
          <w:szCs w:val="18"/>
          <w:highlight w:val="none"/>
        </w:rPr>
        <w:t>-</w:t>
      </w:r>
      <w:r>
        <w:rPr>
          <w:snapToGrid w:val="0"/>
          <w:color w:val="auto"/>
          <w:spacing w:val="-16"/>
          <w:kern w:val="21"/>
          <w:sz w:val="21"/>
          <w:szCs w:val="18"/>
          <w:highlight w:val="none"/>
        </w:rPr>
        <w:fldChar w:fldCharType="begin"/>
      </w:r>
      <w:r>
        <w:rPr>
          <w:snapToGrid w:val="0"/>
          <w:color w:val="auto"/>
          <w:spacing w:val="-16"/>
          <w:kern w:val="21"/>
          <w:sz w:val="21"/>
          <w:szCs w:val="18"/>
          <w:highlight w:val="none"/>
        </w:rPr>
        <w:instrText xml:space="preserve"> = 5 \* GB3 \* MERGEFORMAT </w:instrText>
      </w:r>
      <w:r>
        <w:rPr>
          <w:snapToGrid w:val="0"/>
          <w:color w:val="auto"/>
          <w:spacing w:val="-16"/>
          <w:kern w:val="21"/>
          <w:sz w:val="21"/>
          <w:szCs w:val="18"/>
          <w:highlight w:val="none"/>
        </w:rPr>
        <w:fldChar w:fldCharType="separate"/>
      </w:r>
      <w:r>
        <w:rPr>
          <w:rFonts w:hint="eastAsia" w:ascii="宋体" w:hAnsi="宋体" w:cs="宋体"/>
          <w:color w:val="auto"/>
          <w:sz w:val="21"/>
          <w:szCs w:val="18"/>
          <w:highlight w:val="none"/>
        </w:rPr>
        <w:t>⑤</w:t>
      </w:r>
      <w:r>
        <w:rPr>
          <w:snapToGrid w:val="0"/>
          <w:color w:val="auto"/>
          <w:spacing w:val="-16"/>
          <w:kern w:val="21"/>
          <w:sz w:val="21"/>
          <w:szCs w:val="18"/>
          <w:highlight w:val="none"/>
        </w:rPr>
        <w:fldChar w:fldCharType="end"/>
      </w:r>
      <w:r>
        <w:rPr>
          <w:snapToGrid w:val="0"/>
          <w:color w:val="auto"/>
          <w:spacing w:val="-16"/>
          <w:kern w:val="21"/>
          <w:sz w:val="21"/>
          <w:szCs w:val="18"/>
          <w:highlight w:val="none"/>
        </w:rPr>
        <w:t>；</w:t>
      </w:r>
      <w:r>
        <w:rPr>
          <w:snapToGrid w:val="0"/>
          <w:color w:val="auto"/>
          <w:spacing w:val="-6"/>
          <w:kern w:val="21"/>
          <w:sz w:val="21"/>
          <w:szCs w:val="18"/>
          <w:highlight w:val="none"/>
        </w:rPr>
        <w:fldChar w:fldCharType="begin"/>
      </w:r>
      <w:r>
        <w:rPr>
          <w:snapToGrid w:val="0"/>
          <w:color w:val="auto"/>
          <w:spacing w:val="-6"/>
          <w:kern w:val="21"/>
          <w:sz w:val="21"/>
          <w:szCs w:val="18"/>
          <w:highlight w:val="none"/>
        </w:rPr>
        <w:instrText xml:space="preserve"> = 7 \* GB3 \* MERGEFORMAT </w:instrText>
      </w:r>
      <w:r>
        <w:rPr>
          <w:snapToGrid w:val="0"/>
          <w:color w:val="auto"/>
          <w:spacing w:val="-6"/>
          <w:kern w:val="21"/>
          <w:sz w:val="21"/>
          <w:szCs w:val="18"/>
          <w:highlight w:val="none"/>
        </w:rPr>
        <w:fldChar w:fldCharType="separate"/>
      </w:r>
      <w:r>
        <w:rPr>
          <w:rFonts w:hint="eastAsia" w:ascii="宋体" w:hAnsi="宋体" w:cs="宋体"/>
          <w:color w:val="auto"/>
          <w:sz w:val="21"/>
          <w:szCs w:val="18"/>
          <w:highlight w:val="none"/>
        </w:rPr>
        <w:t>⑦</w:t>
      </w:r>
      <w:r>
        <w:rPr>
          <w:snapToGrid w:val="0"/>
          <w:color w:val="auto"/>
          <w:spacing w:val="-6"/>
          <w:kern w:val="21"/>
          <w:sz w:val="21"/>
          <w:szCs w:val="18"/>
          <w:highlight w:val="none"/>
        </w:rPr>
        <w:fldChar w:fldCharType="end"/>
      </w:r>
      <w:r>
        <w:rPr>
          <w:snapToGrid w:val="0"/>
          <w:color w:val="auto"/>
          <w:spacing w:val="-6"/>
          <w:kern w:val="21"/>
          <w:sz w:val="21"/>
          <w:szCs w:val="18"/>
          <w:highlight w:val="none"/>
        </w:rPr>
        <w:t>=</w:t>
      </w:r>
      <w:r>
        <w:rPr>
          <w:snapToGrid w:val="0"/>
          <w:color w:val="auto"/>
          <w:spacing w:val="-16"/>
          <w:kern w:val="21"/>
          <w:sz w:val="21"/>
          <w:szCs w:val="18"/>
          <w:highlight w:val="none"/>
        </w:rPr>
        <w:fldChar w:fldCharType="begin"/>
      </w:r>
      <w:r>
        <w:rPr>
          <w:snapToGrid w:val="0"/>
          <w:color w:val="auto"/>
          <w:spacing w:val="-16"/>
          <w:kern w:val="21"/>
          <w:sz w:val="21"/>
          <w:szCs w:val="18"/>
          <w:highlight w:val="none"/>
        </w:rPr>
        <w:instrText xml:space="preserve"> = 6 \* GB3 \* MERGEFORMAT </w:instrText>
      </w:r>
      <w:r>
        <w:rPr>
          <w:snapToGrid w:val="0"/>
          <w:color w:val="auto"/>
          <w:spacing w:val="-16"/>
          <w:kern w:val="21"/>
          <w:sz w:val="21"/>
          <w:szCs w:val="18"/>
          <w:highlight w:val="none"/>
        </w:rPr>
        <w:fldChar w:fldCharType="separate"/>
      </w:r>
      <w:r>
        <w:rPr>
          <w:rFonts w:hint="eastAsia" w:ascii="宋体" w:hAnsi="宋体" w:cs="宋体"/>
          <w:color w:val="auto"/>
          <w:sz w:val="21"/>
          <w:szCs w:val="18"/>
          <w:highlight w:val="none"/>
        </w:rPr>
        <w:t>⑥</w:t>
      </w:r>
      <w:r>
        <w:rPr>
          <w:snapToGrid w:val="0"/>
          <w:color w:val="auto"/>
          <w:spacing w:val="-16"/>
          <w:kern w:val="21"/>
          <w:sz w:val="21"/>
          <w:szCs w:val="18"/>
          <w:highlight w:val="none"/>
        </w:rPr>
        <w:fldChar w:fldCharType="end"/>
      </w:r>
      <w:r>
        <w:rPr>
          <w:snapToGrid w:val="0"/>
          <w:color w:val="auto"/>
          <w:spacing w:val="-16"/>
          <w:kern w:val="21"/>
          <w:sz w:val="21"/>
          <w:szCs w:val="18"/>
          <w:highlight w:val="none"/>
        </w:rPr>
        <w:t>-</w:t>
      </w:r>
      <w:r>
        <w:rPr>
          <w:snapToGrid w:val="0"/>
          <w:color w:val="auto"/>
          <w:spacing w:val="-6"/>
          <w:kern w:val="21"/>
          <w:sz w:val="21"/>
          <w:szCs w:val="18"/>
          <w:highlight w:val="none"/>
        </w:rPr>
        <w:fldChar w:fldCharType="begin"/>
      </w:r>
      <w:r>
        <w:rPr>
          <w:snapToGrid w:val="0"/>
          <w:color w:val="auto"/>
          <w:spacing w:val="-6"/>
          <w:kern w:val="21"/>
          <w:sz w:val="21"/>
          <w:szCs w:val="18"/>
          <w:highlight w:val="none"/>
        </w:rPr>
        <w:instrText xml:space="preserve"> = 1 \* GB3 \* MERGEFORMAT </w:instrText>
      </w:r>
      <w:r>
        <w:rPr>
          <w:snapToGrid w:val="0"/>
          <w:color w:val="auto"/>
          <w:spacing w:val="-6"/>
          <w:kern w:val="21"/>
          <w:sz w:val="21"/>
          <w:szCs w:val="18"/>
          <w:highlight w:val="none"/>
        </w:rPr>
        <w:fldChar w:fldCharType="separate"/>
      </w:r>
      <w:r>
        <w:rPr>
          <w:rFonts w:hint="eastAsia" w:ascii="宋体" w:hAnsi="宋体" w:cs="宋体"/>
          <w:color w:val="auto"/>
          <w:sz w:val="21"/>
          <w:szCs w:val="18"/>
          <w:highlight w:val="none"/>
        </w:rPr>
        <w:t>①</w:t>
      </w:r>
      <w:r>
        <w:rPr>
          <w:snapToGrid w:val="0"/>
          <w:color w:val="auto"/>
          <w:spacing w:val="-6"/>
          <w:kern w:val="21"/>
          <w:sz w:val="21"/>
          <w:szCs w:val="18"/>
          <w:highlight w:val="none"/>
        </w:rPr>
        <w:fldChar w:fldCharType="end"/>
      </w:r>
    </w:p>
    <w:sectPr>
      <w:footerReference r:id="rId7"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5D66B1-C11C-43E2-9457-3BEF0DCF17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33A7AABC-B2A1-4E4B-85C2-E10895D5DD7B}"/>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3" w:fontKey="{3D342170-EE7E-4AE6-B6E0-A4E594579B16}"/>
  </w:font>
  <w:font w:name="楷体">
    <w:panose1 w:val="02010609060101010101"/>
    <w:charset w:val="86"/>
    <w:family w:val="auto"/>
    <w:pitch w:val="default"/>
    <w:sig w:usb0="800002BF" w:usb1="38CF7CFA" w:usb2="00000016" w:usb3="00000000" w:csb0="00040001" w:csb1="00000000"/>
    <w:embedRegular r:id="rId4" w:fontKey="{87F4F388-9AEF-4360-A12B-B5AE686E5A1B}"/>
  </w:font>
  <w:font w:name="Wingdings 2">
    <w:panose1 w:val="05020102010507070707"/>
    <w:charset w:val="02"/>
    <w:family w:val="roman"/>
    <w:pitch w:val="default"/>
    <w:sig w:usb0="00000000" w:usb1="00000000" w:usb2="00000000" w:usb3="00000000" w:csb0="80000000" w:csb1="00000000"/>
    <w:embedRegular r:id="rId5" w:fontKey="{9EE28704-964B-4285-B755-03DDB44C5574}"/>
  </w:font>
  <w:font w:name="WPSEMBED1">
    <w:panose1 w:val="02000000000000000000"/>
    <w:charset w:val="86"/>
    <w:family w:val="auto"/>
    <w:pitch w:val="default"/>
    <w:sig w:usb0="A00002BF" w:usb1="38CF7CFA" w:usb2="00082016" w:usb3="00000000" w:csb0="00040001" w:csb1="00000000"/>
  </w:font>
  <w:font w:name="WPSEMBED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C467">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0236">
    <w:pPr>
      <w:framePr w:wrap="around" w:vAnchor="text" w:hAnchor="margin" w:xAlign="outside" w:y="1"/>
      <w:tabs>
        <w:tab w:val="center" w:pos="4153"/>
        <w:tab w:val="right" w:pos="8306"/>
      </w:tabs>
      <w:ind w:left="0" w:leftChars="0" w:firstLine="0" w:firstLineChars="0"/>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60</w:t>
    </w:r>
    <w:r>
      <w:rPr>
        <w:rFonts w:ascii="宋体" w:hAnsi="宋体"/>
        <w:sz w:val="26"/>
        <w:szCs w:val="26"/>
      </w:rPr>
      <w:fldChar w:fldCharType="end"/>
    </w:r>
    <w:r>
      <w:rPr>
        <w:rFonts w:hint="eastAsia" w:ascii="宋体" w:hAnsi="宋体"/>
        <w:sz w:val="28"/>
        <w:szCs w:val="28"/>
      </w:rPr>
      <w:t>—</w:t>
    </w:r>
  </w:p>
  <w:p w14:paraId="7A9C4199">
    <w:pPr>
      <w:tabs>
        <w:tab w:val="center" w:pos="4153"/>
        <w:tab w:val="right" w:pos="8306"/>
      </w:tabs>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D960A">
    <w:pPr>
      <w:framePr w:wrap="around" w:vAnchor="text" w:hAnchor="margin" w:xAlign="outside" w:y="1"/>
      <w:tabs>
        <w:tab w:val="center" w:pos="4153"/>
        <w:tab w:val="right" w:pos="8306"/>
      </w:tabs>
      <w:rPr>
        <w:rFonts w:ascii="宋体" w:hAnsi="宋体"/>
        <w:sz w:val="28"/>
        <w:szCs w:val="28"/>
      </w:rPr>
    </w:pPr>
    <w:r>
      <w:rPr>
        <w:rFonts w:hint="eastAsia" w:ascii="宋体" w:hAnsi="宋体"/>
        <w:sz w:val="28"/>
        <w:szCs w:val="28"/>
      </w:rPr>
      <w:t>—</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62</w:t>
    </w:r>
    <w:r>
      <w:rPr>
        <w:rFonts w:ascii="宋体" w:hAnsi="宋体"/>
        <w:sz w:val="26"/>
        <w:szCs w:val="26"/>
      </w:rPr>
      <w:fldChar w:fldCharType="end"/>
    </w:r>
    <w:r>
      <w:rPr>
        <w:rFonts w:hint="eastAsia" w:ascii="宋体" w:hAnsi="宋体"/>
        <w:sz w:val="28"/>
        <w:szCs w:val="28"/>
      </w:rPr>
      <w:t>—</w:t>
    </w:r>
  </w:p>
  <w:p w14:paraId="229B3BB2">
    <w:pPr>
      <w:tabs>
        <w:tab w:val="center" w:pos="4153"/>
        <w:tab w:val="right" w:pos="8306"/>
      </w:tabs>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4"/>
      <w:suff w:val="space"/>
      <w:lvlText w:val="%1.%2"/>
      <w:lvlJc w:val="left"/>
      <w:pPr>
        <w:ind w:left="1417"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4644885D"/>
    <w:multiLevelType w:val="singleLevel"/>
    <w:tmpl w:val="4644885D"/>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2">
    <w:nsid w:val="7B4A2615"/>
    <w:multiLevelType w:val="multilevel"/>
    <w:tmpl w:val="7B4A2615"/>
    <w:lvl w:ilvl="0" w:tentative="0">
      <w:start w:val="0"/>
      <w:numFmt w:val="chineseCountingThousand"/>
      <w:lvlText w:val="第%1章"/>
      <w:lvlJc w:val="left"/>
      <w:pPr>
        <w:ind w:left="420" w:hanging="420"/>
      </w:pPr>
      <w:rPr>
        <w:rFonts w:hint="default"/>
        <w:sz w:val="44"/>
        <w:szCs w:val="44"/>
      </w:rPr>
    </w:lvl>
    <w:lvl w:ilvl="1" w:tentative="0">
      <w:start w:val="1"/>
      <w:numFmt w:val="decimal"/>
      <w:isLgl/>
      <w:lvlText w:val="%1.%2"/>
      <w:lvlJc w:val="left"/>
      <w:pPr>
        <w:ind w:left="0" w:firstLine="0"/>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0" w:firstLine="0"/>
      </w:pPr>
      <w:rPr>
        <w:rFonts w:hint="eastAsia"/>
      </w:rPr>
    </w:lvl>
    <w:lvl w:ilvl="4" w:tentative="0">
      <w:start w:val="1"/>
      <w:numFmt w:val="decimal"/>
      <w:lvlRestart w:val="2"/>
      <w:pStyle w:val="16"/>
      <w:isLgl/>
      <w:lvlText w:val="表%1.%2-%5"/>
      <w:lvlJc w:val="center"/>
      <w:pPr>
        <w:ind w:left="0" w:firstLine="0"/>
      </w:pPr>
      <w:rPr>
        <w:rFonts w:hint="default" w:ascii="Times New Roman" w:hAnsi="Times New Roman" w:cs="Times New Roman"/>
        <w:b/>
        <w:i w:val="0"/>
        <w:color w:val="auto"/>
        <w:lang w:val="en-US"/>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xZDI1NTVmZDkyYjQyM2FlYmUwNzMzZTUxYzZiYWIifQ=="/>
  </w:docVars>
  <w:rsids>
    <w:rsidRoot w:val="00172A27"/>
    <w:rsid w:val="0000414B"/>
    <w:rsid w:val="000060B3"/>
    <w:rsid w:val="000252E7"/>
    <w:rsid w:val="000271D3"/>
    <w:rsid w:val="00027C8C"/>
    <w:rsid w:val="000349C5"/>
    <w:rsid w:val="00040E61"/>
    <w:rsid w:val="0004364B"/>
    <w:rsid w:val="000450D9"/>
    <w:rsid w:val="000460EF"/>
    <w:rsid w:val="0004640C"/>
    <w:rsid w:val="00050196"/>
    <w:rsid w:val="00057E44"/>
    <w:rsid w:val="000618A7"/>
    <w:rsid w:val="00061B1F"/>
    <w:rsid w:val="000627D8"/>
    <w:rsid w:val="000667ED"/>
    <w:rsid w:val="0007015C"/>
    <w:rsid w:val="000726DE"/>
    <w:rsid w:val="000733C4"/>
    <w:rsid w:val="00074783"/>
    <w:rsid w:val="0008070B"/>
    <w:rsid w:val="00080869"/>
    <w:rsid w:val="000810AC"/>
    <w:rsid w:val="00081A02"/>
    <w:rsid w:val="0008217D"/>
    <w:rsid w:val="00082231"/>
    <w:rsid w:val="00086A21"/>
    <w:rsid w:val="00092D38"/>
    <w:rsid w:val="0009377B"/>
    <w:rsid w:val="000949EE"/>
    <w:rsid w:val="000A1E02"/>
    <w:rsid w:val="000A20C9"/>
    <w:rsid w:val="000A25C0"/>
    <w:rsid w:val="000A3586"/>
    <w:rsid w:val="000A49B9"/>
    <w:rsid w:val="000A58DE"/>
    <w:rsid w:val="000B058F"/>
    <w:rsid w:val="000B0A82"/>
    <w:rsid w:val="000B4467"/>
    <w:rsid w:val="000B4DB9"/>
    <w:rsid w:val="000B65C3"/>
    <w:rsid w:val="000C09AC"/>
    <w:rsid w:val="000C2C25"/>
    <w:rsid w:val="000C767F"/>
    <w:rsid w:val="000D1764"/>
    <w:rsid w:val="000D2A85"/>
    <w:rsid w:val="000D5A44"/>
    <w:rsid w:val="000D6337"/>
    <w:rsid w:val="000D6BD8"/>
    <w:rsid w:val="000E1F2C"/>
    <w:rsid w:val="000E2A76"/>
    <w:rsid w:val="000E3569"/>
    <w:rsid w:val="000E3ED2"/>
    <w:rsid w:val="000F230B"/>
    <w:rsid w:val="000F29A6"/>
    <w:rsid w:val="000F573E"/>
    <w:rsid w:val="000F6990"/>
    <w:rsid w:val="00102B96"/>
    <w:rsid w:val="00106A71"/>
    <w:rsid w:val="0010757C"/>
    <w:rsid w:val="00107A40"/>
    <w:rsid w:val="00122354"/>
    <w:rsid w:val="00122555"/>
    <w:rsid w:val="001231AF"/>
    <w:rsid w:val="00131746"/>
    <w:rsid w:val="00131F42"/>
    <w:rsid w:val="00132050"/>
    <w:rsid w:val="00134867"/>
    <w:rsid w:val="001357F1"/>
    <w:rsid w:val="00137878"/>
    <w:rsid w:val="00137CF0"/>
    <w:rsid w:val="00140FA8"/>
    <w:rsid w:val="00142FEB"/>
    <w:rsid w:val="001439E9"/>
    <w:rsid w:val="00143A2D"/>
    <w:rsid w:val="00145A41"/>
    <w:rsid w:val="00151675"/>
    <w:rsid w:val="00155D48"/>
    <w:rsid w:val="00157435"/>
    <w:rsid w:val="001636D7"/>
    <w:rsid w:val="00165EB4"/>
    <w:rsid w:val="0016754E"/>
    <w:rsid w:val="001700D3"/>
    <w:rsid w:val="00172186"/>
    <w:rsid w:val="00172EF3"/>
    <w:rsid w:val="0017504D"/>
    <w:rsid w:val="00175F8B"/>
    <w:rsid w:val="0017671A"/>
    <w:rsid w:val="00177422"/>
    <w:rsid w:val="0018139D"/>
    <w:rsid w:val="00181870"/>
    <w:rsid w:val="00184590"/>
    <w:rsid w:val="00184821"/>
    <w:rsid w:val="00185A75"/>
    <w:rsid w:val="00187058"/>
    <w:rsid w:val="001870D1"/>
    <w:rsid w:val="0018781E"/>
    <w:rsid w:val="001901C5"/>
    <w:rsid w:val="0019262D"/>
    <w:rsid w:val="00192E40"/>
    <w:rsid w:val="001A1B35"/>
    <w:rsid w:val="001A48A2"/>
    <w:rsid w:val="001A4A60"/>
    <w:rsid w:val="001A4B57"/>
    <w:rsid w:val="001A6F61"/>
    <w:rsid w:val="001B07C7"/>
    <w:rsid w:val="001B2F2E"/>
    <w:rsid w:val="001B48DD"/>
    <w:rsid w:val="001B5F14"/>
    <w:rsid w:val="001B72B8"/>
    <w:rsid w:val="001C1178"/>
    <w:rsid w:val="001C15B2"/>
    <w:rsid w:val="001C2007"/>
    <w:rsid w:val="001C4A7B"/>
    <w:rsid w:val="001C69B3"/>
    <w:rsid w:val="001D2484"/>
    <w:rsid w:val="001D5595"/>
    <w:rsid w:val="001D7874"/>
    <w:rsid w:val="001D7F22"/>
    <w:rsid w:val="001E0D66"/>
    <w:rsid w:val="001E4DD8"/>
    <w:rsid w:val="001E7D89"/>
    <w:rsid w:val="001F0F17"/>
    <w:rsid w:val="001F3347"/>
    <w:rsid w:val="001F493F"/>
    <w:rsid w:val="001F49C5"/>
    <w:rsid w:val="001F5264"/>
    <w:rsid w:val="001F69E4"/>
    <w:rsid w:val="002016C5"/>
    <w:rsid w:val="00205FCB"/>
    <w:rsid w:val="002064BE"/>
    <w:rsid w:val="00206CC3"/>
    <w:rsid w:val="00207FD4"/>
    <w:rsid w:val="00211891"/>
    <w:rsid w:val="002125B4"/>
    <w:rsid w:val="002155B8"/>
    <w:rsid w:val="00216B64"/>
    <w:rsid w:val="00217D6F"/>
    <w:rsid w:val="00220E3B"/>
    <w:rsid w:val="00221BA2"/>
    <w:rsid w:val="00221F34"/>
    <w:rsid w:val="0022256C"/>
    <w:rsid w:val="00224839"/>
    <w:rsid w:val="002249B2"/>
    <w:rsid w:val="00226574"/>
    <w:rsid w:val="002278EC"/>
    <w:rsid w:val="002305C7"/>
    <w:rsid w:val="0023237A"/>
    <w:rsid w:val="0023280E"/>
    <w:rsid w:val="002366B0"/>
    <w:rsid w:val="002377D1"/>
    <w:rsid w:val="002428E1"/>
    <w:rsid w:val="002506BC"/>
    <w:rsid w:val="002522A6"/>
    <w:rsid w:val="00252F0E"/>
    <w:rsid w:val="00254345"/>
    <w:rsid w:val="002556C0"/>
    <w:rsid w:val="00257AAB"/>
    <w:rsid w:val="00262B29"/>
    <w:rsid w:val="00264557"/>
    <w:rsid w:val="00267708"/>
    <w:rsid w:val="00276BBE"/>
    <w:rsid w:val="002805AB"/>
    <w:rsid w:val="00284204"/>
    <w:rsid w:val="00284BA0"/>
    <w:rsid w:val="00285003"/>
    <w:rsid w:val="0028503B"/>
    <w:rsid w:val="00291773"/>
    <w:rsid w:val="00294194"/>
    <w:rsid w:val="00294FD2"/>
    <w:rsid w:val="0029734A"/>
    <w:rsid w:val="002A168C"/>
    <w:rsid w:val="002A3DC7"/>
    <w:rsid w:val="002B019B"/>
    <w:rsid w:val="002B09FD"/>
    <w:rsid w:val="002B23F8"/>
    <w:rsid w:val="002B287B"/>
    <w:rsid w:val="002B31FB"/>
    <w:rsid w:val="002B385E"/>
    <w:rsid w:val="002B49E2"/>
    <w:rsid w:val="002B4D2D"/>
    <w:rsid w:val="002B7B00"/>
    <w:rsid w:val="002B7C44"/>
    <w:rsid w:val="002C2B17"/>
    <w:rsid w:val="002C4C0D"/>
    <w:rsid w:val="002D0022"/>
    <w:rsid w:val="002D0917"/>
    <w:rsid w:val="002D0A1B"/>
    <w:rsid w:val="002D215C"/>
    <w:rsid w:val="002D21DE"/>
    <w:rsid w:val="002D3DD0"/>
    <w:rsid w:val="002E1F3A"/>
    <w:rsid w:val="002E298A"/>
    <w:rsid w:val="002F13D8"/>
    <w:rsid w:val="002F2DEB"/>
    <w:rsid w:val="002F3AD7"/>
    <w:rsid w:val="002F3B1F"/>
    <w:rsid w:val="00301978"/>
    <w:rsid w:val="00302A9F"/>
    <w:rsid w:val="0030332C"/>
    <w:rsid w:val="00304D83"/>
    <w:rsid w:val="003051C2"/>
    <w:rsid w:val="00312296"/>
    <w:rsid w:val="003139A7"/>
    <w:rsid w:val="00314F0E"/>
    <w:rsid w:val="00320170"/>
    <w:rsid w:val="003208A1"/>
    <w:rsid w:val="00321D8E"/>
    <w:rsid w:val="00322A68"/>
    <w:rsid w:val="00325928"/>
    <w:rsid w:val="00326221"/>
    <w:rsid w:val="00326A72"/>
    <w:rsid w:val="00332863"/>
    <w:rsid w:val="0033684D"/>
    <w:rsid w:val="00337B42"/>
    <w:rsid w:val="00340BA1"/>
    <w:rsid w:val="00341B42"/>
    <w:rsid w:val="003422B2"/>
    <w:rsid w:val="0034348F"/>
    <w:rsid w:val="0034574E"/>
    <w:rsid w:val="00350FD0"/>
    <w:rsid w:val="00356653"/>
    <w:rsid w:val="0035686E"/>
    <w:rsid w:val="00356B3C"/>
    <w:rsid w:val="00356E45"/>
    <w:rsid w:val="0035743F"/>
    <w:rsid w:val="00357800"/>
    <w:rsid w:val="00357BE2"/>
    <w:rsid w:val="00360F56"/>
    <w:rsid w:val="0036170C"/>
    <w:rsid w:val="00366E0F"/>
    <w:rsid w:val="00370ECA"/>
    <w:rsid w:val="00371E93"/>
    <w:rsid w:val="003728A1"/>
    <w:rsid w:val="00373858"/>
    <w:rsid w:val="00373950"/>
    <w:rsid w:val="00375D9C"/>
    <w:rsid w:val="00377295"/>
    <w:rsid w:val="00381A72"/>
    <w:rsid w:val="00384676"/>
    <w:rsid w:val="00390857"/>
    <w:rsid w:val="00393664"/>
    <w:rsid w:val="00393BC8"/>
    <w:rsid w:val="003A1B07"/>
    <w:rsid w:val="003A24E4"/>
    <w:rsid w:val="003A4BF3"/>
    <w:rsid w:val="003A7352"/>
    <w:rsid w:val="003B0EFA"/>
    <w:rsid w:val="003B34D7"/>
    <w:rsid w:val="003B420D"/>
    <w:rsid w:val="003B6A73"/>
    <w:rsid w:val="003B76CC"/>
    <w:rsid w:val="003C1041"/>
    <w:rsid w:val="003C19A7"/>
    <w:rsid w:val="003C3A22"/>
    <w:rsid w:val="003C67CB"/>
    <w:rsid w:val="003C6C16"/>
    <w:rsid w:val="003C6ECB"/>
    <w:rsid w:val="003C7C57"/>
    <w:rsid w:val="003D023D"/>
    <w:rsid w:val="003D02E0"/>
    <w:rsid w:val="003D067D"/>
    <w:rsid w:val="003D1399"/>
    <w:rsid w:val="003D794D"/>
    <w:rsid w:val="003E3058"/>
    <w:rsid w:val="003E35BA"/>
    <w:rsid w:val="003E5389"/>
    <w:rsid w:val="003E76A9"/>
    <w:rsid w:val="003F0809"/>
    <w:rsid w:val="003F19A0"/>
    <w:rsid w:val="003F689D"/>
    <w:rsid w:val="003F6A8C"/>
    <w:rsid w:val="003F755C"/>
    <w:rsid w:val="004029E8"/>
    <w:rsid w:val="00406DD0"/>
    <w:rsid w:val="00406F01"/>
    <w:rsid w:val="00410CC9"/>
    <w:rsid w:val="00410E64"/>
    <w:rsid w:val="0041315E"/>
    <w:rsid w:val="00414219"/>
    <w:rsid w:val="004142C1"/>
    <w:rsid w:val="004149CA"/>
    <w:rsid w:val="00415244"/>
    <w:rsid w:val="00415551"/>
    <w:rsid w:val="004155F7"/>
    <w:rsid w:val="00416D50"/>
    <w:rsid w:val="00416FD5"/>
    <w:rsid w:val="00417772"/>
    <w:rsid w:val="00420E6A"/>
    <w:rsid w:val="00422E6F"/>
    <w:rsid w:val="00425A9E"/>
    <w:rsid w:val="00426D6B"/>
    <w:rsid w:val="00430E4D"/>
    <w:rsid w:val="00431E6C"/>
    <w:rsid w:val="00433CE7"/>
    <w:rsid w:val="00433FAF"/>
    <w:rsid w:val="00434954"/>
    <w:rsid w:val="00437218"/>
    <w:rsid w:val="00440655"/>
    <w:rsid w:val="004423C8"/>
    <w:rsid w:val="004426ED"/>
    <w:rsid w:val="00443D9A"/>
    <w:rsid w:val="00445302"/>
    <w:rsid w:val="00452738"/>
    <w:rsid w:val="0045583D"/>
    <w:rsid w:val="00456091"/>
    <w:rsid w:val="0046094B"/>
    <w:rsid w:val="004625A9"/>
    <w:rsid w:val="00464095"/>
    <w:rsid w:val="00466321"/>
    <w:rsid w:val="00484B9B"/>
    <w:rsid w:val="004855F6"/>
    <w:rsid w:val="0048661E"/>
    <w:rsid w:val="004901FF"/>
    <w:rsid w:val="00494670"/>
    <w:rsid w:val="004A3209"/>
    <w:rsid w:val="004A3441"/>
    <w:rsid w:val="004A3823"/>
    <w:rsid w:val="004A39F4"/>
    <w:rsid w:val="004B25F0"/>
    <w:rsid w:val="004B400B"/>
    <w:rsid w:val="004B59A3"/>
    <w:rsid w:val="004C31E4"/>
    <w:rsid w:val="004C41E9"/>
    <w:rsid w:val="004C4224"/>
    <w:rsid w:val="004C5D72"/>
    <w:rsid w:val="004D1ACD"/>
    <w:rsid w:val="004D266B"/>
    <w:rsid w:val="004E04EF"/>
    <w:rsid w:val="004E05CD"/>
    <w:rsid w:val="004E228E"/>
    <w:rsid w:val="004E4436"/>
    <w:rsid w:val="004E658F"/>
    <w:rsid w:val="004E6946"/>
    <w:rsid w:val="004F1AD8"/>
    <w:rsid w:val="004F2957"/>
    <w:rsid w:val="004F3EEB"/>
    <w:rsid w:val="0050099B"/>
    <w:rsid w:val="005039CB"/>
    <w:rsid w:val="005040FD"/>
    <w:rsid w:val="0050558F"/>
    <w:rsid w:val="00506286"/>
    <w:rsid w:val="00507CAB"/>
    <w:rsid w:val="00510226"/>
    <w:rsid w:val="00510813"/>
    <w:rsid w:val="00510FE1"/>
    <w:rsid w:val="005116E7"/>
    <w:rsid w:val="00511990"/>
    <w:rsid w:val="00511DE0"/>
    <w:rsid w:val="00512450"/>
    <w:rsid w:val="005134FD"/>
    <w:rsid w:val="00514870"/>
    <w:rsid w:val="00514B9B"/>
    <w:rsid w:val="00517F02"/>
    <w:rsid w:val="00522A8B"/>
    <w:rsid w:val="00524303"/>
    <w:rsid w:val="005258A2"/>
    <w:rsid w:val="00526A78"/>
    <w:rsid w:val="00526E12"/>
    <w:rsid w:val="0053496A"/>
    <w:rsid w:val="005349EB"/>
    <w:rsid w:val="00536017"/>
    <w:rsid w:val="005401AE"/>
    <w:rsid w:val="00542E07"/>
    <w:rsid w:val="00544AB8"/>
    <w:rsid w:val="00545424"/>
    <w:rsid w:val="00545566"/>
    <w:rsid w:val="00550B00"/>
    <w:rsid w:val="00551289"/>
    <w:rsid w:val="00552548"/>
    <w:rsid w:val="00553FB0"/>
    <w:rsid w:val="00554A7B"/>
    <w:rsid w:val="0055572C"/>
    <w:rsid w:val="0056106A"/>
    <w:rsid w:val="00561121"/>
    <w:rsid w:val="0056361A"/>
    <w:rsid w:val="00564056"/>
    <w:rsid w:val="005642AD"/>
    <w:rsid w:val="00565507"/>
    <w:rsid w:val="00566D38"/>
    <w:rsid w:val="005675A9"/>
    <w:rsid w:val="00567DA9"/>
    <w:rsid w:val="005720AE"/>
    <w:rsid w:val="005728EC"/>
    <w:rsid w:val="00572FDB"/>
    <w:rsid w:val="005778F8"/>
    <w:rsid w:val="00580E83"/>
    <w:rsid w:val="00581158"/>
    <w:rsid w:val="005812DB"/>
    <w:rsid w:val="00584971"/>
    <w:rsid w:val="00587B26"/>
    <w:rsid w:val="00594D77"/>
    <w:rsid w:val="005969E4"/>
    <w:rsid w:val="005977FC"/>
    <w:rsid w:val="005A06B7"/>
    <w:rsid w:val="005A1759"/>
    <w:rsid w:val="005A293E"/>
    <w:rsid w:val="005A68A7"/>
    <w:rsid w:val="005B6765"/>
    <w:rsid w:val="005B7B83"/>
    <w:rsid w:val="005C17D4"/>
    <w:rsid w:val="005C469C"/>
    <w:rsid w:val="005C60BA"/>
    <w:rsid w:val="005C6775"/>
    <w:rsid w:val="005C7586"/>
    <w:rsid w:val="005D28C4"/>
    <w:rsid w:val="005D3656"/>
    <w:rsid w:val="005D36AB"/>
    <w:rsid w:val="005D5F12"/>
    <w:rsid w:val="005E1BC3"/>
    <w:rsid w:val="005E1FC4"/>
    <w:rsid w:val="005E43BA"/>
    <w:rsid w:val="005F7F8E"/>
    <w:rsid w:val="005F7FBC"/>
    <w:rsid w:val="006005F7"/>
    <w:rsid w:val="006020FA"/>
    <w:rsid w:val="00604628"/>
    <w:rsid w:val="00605883"/>
    <w:rsid w:val="00605EA6"/>
    <w:rsid w:val="0060656E"/>
    <w:rsid w:val="00606CDA"/>
    <w:rsid w:val="00607835"/>
    <w:rsid w:val="0061009E"/>
    <w:rsid w:val="00616DAD"/>
    <w:rsid w:val="00617CC3"/>
    <w:rsid w:val="00626B60"/>
    <w:rsid w:val="0063068D"/>
    <w:rsid w:val="006377A6"/>
    <w:rsid w:val="00637A3D"/>
    <w:rsid w:val="006411EF"/>
    <w:rsid w:val="00641523"/>
    <w:rsid w:val="00642FBB"/>
    <w:rsid w:val="00646305"/>
    <w:rsid w:val="00646777"/>
    <w:rsid w:val="00655876"/>
    <w:rsid w:val="00662180"/>
    <w:rsid w:val="0067063A"/>
    <w:rsid w:val="00670B4D"/>
    <w:rsid w:val="006748B8"/>
    <w:rsid w:val="00675CBD"/>
    <w:rsid w:val="006775C3"/>
    <w:rsid w:val="00683E1F"/>
    <w:rsid w:val="006845E4"/>
    <w:rsid w:val="0069290A"/>
    <w:rsid w:val="0069399A"/>
    <w:rsid w:val="00693A2F"/>
    <w:rsid w:val="00696C4C"/>
    <w:rsid w:val="0069775A"/>
    <w:rsid w:val="00697813"/>
    <w:rsid w:val="006A2F3C"/>
    <w:rsid w:val="006A3AC5"/>
    <w:rsid w:val="006A3EE8"/>
    <w:rsid w:val="006A6A51"/>
    <w:rsid w:val="006A72BF"/>
    <w:rsid w:val="006B03F2"/>
    <w:rsid w:val="006B17EA"/>
    <w:rsid w:val="006B2217"/>
    <w:rsid w:val="006B37DC"/>
    <w:rsid w:val="006B4F68"/>
    <w:rsid w:val="006B6F71"/>
    <w:rsid w:val="006C0592"/>
    <w:rsid w:val="006C272E"/>
    <w:rsid w:val="006C50BD"/>
    <w:rsid w:val="006C5479"/>
    <w:rsid w:val="006C5691"/>
    <w:rsid w:val="006D13B5"/>
    <w:rsid w:val="006D2E12"/>
    <w:rsid w:val="006D6844"/>
    <w:rsid w:val="006E12FF"/>
    <w:rsid w:val="006E15B4"/>
    <w:rsid w:val="006E316F"/>
    <w:rsid w:val="006E607E"/>
    <w:rsid w:val="006F5FB5"/>
    <w:rsid w:val="006F6FE7"/>
    <w:rsid w:val="006F7F9C"/>
    <w:rsid w:val="00703F8D"/>
    <w:rsid w:val="00706C5D"/>
    <w:rsid w:val="00711A03"/>
    <w:rsid w:val="00712571"/>
    <w:rsid w:val="00713430"/>
    <w:rsid w:val="007140A9"/>
    <w:rsid w:val="00722B55"/>
    <w:rsid w:val="00724B52"/>
    <w:rsid w:val="00725E21"/>
    <w:rsid w:val="00726164"/>
    <w:rsid w:val="00731B13"/>
    <w:rsid w:val="0073287A"/>
    <w:rsid w:val="00732922"/>
    <w:rsid w:val="00733258"/>
    <w:rsid w:val="00734CDE"/>
    <w:rsid w:val="00735A8C"/>
    <w:rsid w:val="00735D4D"/>
    <w:rsid w:val="00736A4D"/>
    <w:rsid w:val="00740DAF"/>
    <w:rsid w:val="00745545"/>
    <w:rsid w:val="00746DAE"/>
    <w:rsid w:val="00746F79"/>
    <w:rsid w:val="0075162E"/>
    <w:rsid w:val="00753A21"/>
    <w:rsid w:val="00754034"/>
    <w:rsid w:val="00756556"/>
    <w:rsid w:val="00756A4E"/>
    <w:rsid w:val="007618C4"/>
    <w:rsid w:val="0076474F"/>
    <w:rsid w:val="00767980"/>
    <w:rsid w:val="00770B19"/>
    <w:rsid w:val="00771D93"/>
    <w:rsid w:val="00773964"/>
    <w:rsid w:val="0077463F"/>
    <w:rsid w:val="00781EB7"/>
    <w:rsid w:val="00782F12"/>
    <w:rsid w:val="007836EA"/>
    <w:rsid w:val="00784CDA"/>
    <w:rsid w:val="007906C4"/>
    <w:rsid w:val="00793CBA"/>
    <w:rsid w:val="007940EA"/>
    <w:rsid w:val="00794EC5"/>
    <w:rsid w:val="007967E8"/>
    <w:rsid w:val="00796DAD"/>
    <w:rsid w:val="007A0952"/>
    <w:rsid w:val="007A2170"/>
    <w:rsid w:val="007A22BF"/>
    <w:rsid w:val="007A3323"/>
    <w:rsid w:val="007A3D28"/>
    <w:rsid w:val="007A7C6C"/>
    <w:rsid w:val="007B2B3D"/>
    <w:rsid w:val="007B364E"/>
    <w:rsid w:val="007B38AB"/>
    <w:rsid w:val="007B4489"/>
    <w:rsid w:val="007B72B8"/>
    <w:rsid w:val="007B7A58"/>
    <w:rsid w:val="007C21B5"/>
    <w:rsid w:val="007D205A"/>
    <w:rsid w:val="007D706F"/>
    <w:rsid w:val="007D70D1"/>
    <w:rsid w:val="007E4BD2"/>
    <w:rsid w:val="007E518B"/>
    <w:rsid w:val="007E5B06"/>
    <w:rsid w:val="007E75BE"/>
    <w:rsid w:val="007F111B"/>
    <w:rsid w:val="00800AD0"/>
    <w:rsid w:val="00801393"/>
    <w:rsid w:val="00802E41"/>
    <w:rsid w:val="00802F88"/>
    <w:rsid w:val="00805B16"/>
    <w:rsid w:val="0081293E"/>
    <w:rsid w:val="00812A0A"/>
    <w:rsid w:val="00815465"/>
    <w:rsid w:val="00817E9A"/>
    <w:rsid w:val="008306BD"/>
    <w:rsid w:val="00830999"/>
    <w:rsid w:val="00830EFC"/>
    <w:rsid w:val="00831A80"/>
    <w:rsid w:val="00831B41"/>
    <w:rsid w:val="00831F68"/>
    <w:rsid w:val="00832F46"/>
    <w:rsid w:val="00833673"/>
    <w:rsid w:val="00833743"/>
    <w:rsid w:val="0083396C"/>
    <w:rsid w:val="008340A4"/>
    <w:rsid w:val="008362D0"/>
    <w:rsid w:val="00843D84"/>
    <w:rsid w:val="00844C3E"/>
    <w:rsid w:val="00844D02"/>
    <w:rsid w:val="008613A8"/>
    <w:rsid w:val="008630A0"/>
    <w:rsid w:val="00863306"/>
    <w:rsid w:val="00864ADD"/>
    <w:rsid w:val="008703C3"/>
    <w:rsid w:val="0087135F"/>
    <w:rsid w:val="00872D94"/>
    <w:rsid w:val="00874FFC"/>
    <w:rsid w:val="0087551F"/>
    <w:rsid w:val="00875623"/>
    <w:rsid w:val="00875C6F"/>
    <w:rsid w:val="00880364"/>
    <w:rsid w:val="00880FBF"/>
    <w:rsid w:val="00882B51"/>
    <w:rsid w:val="0088790B"/>
    <w:rsid w:val="00891592"/>
    <w:rsid w:val="00891E9E"/>
    <w:rsid w:val="00892A9B"/>
    <w:rsid w:val="008A0B07"/>
    <w:rsid w:val="008A283E"/>
    <w:rsid w:val="008A288F"/>
    <w:rsid w:val="008A2F68"/>
    <w:rsid w:val="008A4009"/>
    <w:rsid w:val="008A48A2"/>
    <w:rsid w:val="008A6F2A"/>
    <w:rsid w:val="008B1070"/>
    <w:rsid w:val="008B4FA6"/>
    <w:rsid w:val="008B5282"/>
    <w:rsid w:val="008B7C17"/>
    <w:rsid w:val="008C0534"/>
    <w:rsid w:val="008C10D4"/>
    <w:rsid w:val="008C1E81"/>
    <w:rsid w:val="008C2D01"/>
    <w:rsid w:val="008C3A04"/>
    <w:rsid w:val="008C40E6"/>
    <w:rsid w:val="008C4FA5"/>
    <w:rsid w:val="008C7834"/>
    <w:rsid w:val="008D0098"/>
    <w:rsid w:val="008D0D93"/>
    <w:rsid w:val="008D0F7A"/>
    <w:rsid w:val="008D68E4"/>
    <w:rsid w:val="008D738E"/>
    <w:rsid w:val="008E0506"/>
    <w:rsid w:val="008E0CFF"/>
    <w:rsid w:val="008E11D7"/>
    <w:rsid w:val="008E32ED"/>
    <w:rsid w:val="008E4D14"/>
    <w:rsid w:val="008E5D6B"/>
    <w:rsid w:val="008E76F0"/>
    <w:rsid w:val="008F0E65"/>
    <w:rsid w:val="008F15FE"/>
    <w:rsid w:val="008F18DB"/>
    <w:rsid w:val="008F2CC2"/>
    <w:rsid w:val="008F2D29"/>
    <w:rsid w:val="008F5187"/>
    <w:rsid w:val="008F60D8"/>
    <w:rsid w:val="00902727"/>
    <w:rsid w:val="0090312B"/>
    <w:rsid w:val="009047F7"/>
    <w:rsid w:val="0091637B"/>
    <w:rsid w:val="0091736D"/>
    <w:rsid w:val="00924FA8"/>
    <w:rsid w:val="0093037A"/>
    <w:rsid w:val="009304DE"/>
    <w:rsid w:val="00932194"/>
    <w:rsid w:val="0094154D"/>
    <w:rsid w:val="0094317C"/>
    <w:rsid w:val="00944119"/>
    <w:rsid w:val="0095155F"/>
    <w:rsid w:val="00954429"/>
    <w:rsid w:val="009563CE"/>
    <w:rsid w:val="00957CFF"/>
    <w:rsid w:val="009614CC"/>
    <w:rsid w:val="00962E88"/>
    <w:rsid w:val="0096306C"/>
    <w:rsid w:val="00963984"/>
    <w:rsid w:val="00963B19"/>
    <w:rsid w:val="00970079"/>
    <w:rsid w:val="0097425E"/>
    <w:rsid w:val="00975188"/>
    <w:rsid w:val="00976328"/>
    <w:rsid w:val="0097680D"/>
    <w:rsid w:val="00982438"/>
    <w:rsid w:val="0098404C"/>
    <w:rsid w:val="00984581"/>
    <w:rsid w:val="00985283"/>
    <w:rsid w:val="00992F10"/>
    <w:rsid w:val="00993759"/>
    <w:rsid w:val="00995992"/>
    <w:rsid w:val="00996415"/>
    <w:rsid w:val="00996C23"/>
    <w:rsid w:val="009A03E5"/>
    <w:rsid w:val="009A0F3B"/>
    <w:rsid w:val="009A1BB4"/>
    <w:rsid w:val="009A2417"/>
    <w:rsid w:val="009A2628"/>
    <w:rsid w:val="009A3200"/>
    <w:rsid w:val="009A4BFA"/>
    <w:rsid w:val="009A596C"/>
    <w:rsid w:val="009B0897"/>
    <w:rsid w:val="009B0904"/>
    <w:rsid w:val="009B13CE"/>
    <w:rsid w:val="009B2F52"/>
    <w:rsid w:val="009B60A8"/>
    <w:rsid w:val="009B7BD9"/>
    <w:rsid w:val="009C25BC"/>
    <w:rsid w:val="009C58FA"/>
    <w:rsid w:val="009C68CD"/>
    <w:rsid w:val="009C7DD5"/>
    <w:rsid w:val="009D1816"/>
    <w:rsid w:val="009D1D04"/>
    <w:rsid w:val="009D3123"/>
    <w:rsid w:val="009E188A"/>
    <w:rsid w:val="009E227D"/>
    <w:rsid w:val="009E5019"/>
    <w:rsid w:val="009E7A41"/>
    <w:rsid w:val="009F1648"/>
    <w:rsid w:val="009F7ACF"/>
    <w:rsid w:val="00A00687"/>
    <w:rsid w:val="00A01B2A"/>
    <w:rsid w:val="00A028F2"/>
    <w:rsid w:val="00A032ED"/>
    <w:rsid w:val="00A04F1B"/>
    <w:rsid w:val="00A0501B"/>
    <w:rsid w:val="00A10572"/>
    <w:rsid w:val="00A14947"/>
    <w:rsid w:val="00A1515E"/>
    <w:rsid w:val="00A2178C"/>
    <w:rsid w:val="00A25227"/>
    <w:rsid w:val="00A27C97"/>
    <w:rsid w:val="00A31B33"/>
    <w:rsid w:val="00A32A83"/>
    <w:rsid w:val="00A331B5"/>
    <w:rsid w:val="00A368DB"/>
    <w:rsid w:val="00A40322"/>
    <w:rsid w:val="00A423AA"/>
    <w:rsid w:val="00A428B4"/>
    <w:rsid w:val="00A42E32"/>
    <w:rsid w:val="00A5321A"/>
    <w:rsid w:val="00A53781"/>
    <w:rsid w:val="00A53EC6"/>
    <w:rsid w:val="00A54382"/>
    <w:rsid w:val="00A55C0F"/>
    <w:rsid w:val="00A55EF8"/>
    <w:rsid w:val="00A573A3"/>
    <w:rsid w:val="00A6058F"/>
    <w:rsid w:val="00A61ACB"/>
    <w:rsid w:val="00A62B0F"/>
    <w:rsid w:val="00A62D7E"/>
    <w:rsid w:val="00A675A1"/>
    <w:rsid w:val="00A71203"/>
    <w:rsid w:val="00A846C0"/>
    <w:rsid w:val="00A865B2"/>
    <w:rsid w:val="00A8713F"/>
    <w:rsid w:val="00A90BA1"/>
    <w:rsid w:val="00A9742F"/>
    <w:rsid w:val="00A97A9A"/>
    <w:rsid w:val="00AA0671"/>
    <w:rsid w:val="00AA2531"/>
    <w:rsid w:val="00AA2E3D"/>
    <w:rsid w:val="00AA32D1"/>
    <w:rsid w:val="00AA4E32"/>
    <w:rsid w:val="00AA7854"/>
    <w:rsid w:val="00AB155E"/>
    <w:rsid w:val="00AB1E09"/>
    <w:rsid w:val="00AB5330"/>
    <w:rsid w:val="00AB7747"/>
    <w:rsid w:val="00AC14CE"/>
    <w:rsid w:val="00AC2A56"/>
    <w:rsid w:val="00AC6B98"/>
    <w:rsid w:val="00AD055E"/>
    <w:rsid w:val="00AD2A09"/>
    <w:rsid w:val="00AD47A7"/>
    <w:rsid w:val="00AD56F6"/>
    <w:rsid w:val="00AD5E0A"/>
    <w:rsid w:val="00AE03AC"/>
    <w:rsid w:val="00AE6233"/>
    <w:rsid w:val="00AF0CBF"/>
    <w:rsid w:val="00AF1272"/>
    <w:rsid w:val="00AF257F"/>
    <w:rsid w:val="00AF33CF"/>
    <w:rsid w:val="00AF3C66"/>
    <w:rsid w:val="00AF4D50"/>
    <w:rsid w:val="00AF6179"/>
    <w:rsid w:val="00AF6D2A"/>
    <w:rsid w:val="00B005DE"/>
    <w:rsid w:val="00B04D7C"/>
    <w:rsid w:val="00B0641C"/>
    <w:rsid w:val="00B07C62"/>
    <w:rsid w:val="00B1295A"/>
    <w:rsid w:val="00B20A45"/>
    <w:rsid w:val="00B218B6"/>
    <w:rsid w:val="00B22C5C"/>
    <w:rsid w:val="00B23E02"/>
    <w:rsid w:val="00B23F23"/>
    <w:rsid w:val="00B24F30"/>
    <w:rsid w:val="00B31ABF"/>
    <w:rsid w:val="00B32F05"/>
    <w:rsid w:val="00B33BE3"/>
    <w:rsid w:val="00B348DC"/>
    <w:rsid w:val="00B41F3B"/>
    <w:rsid w:val="00B43AD0"/>
    <w:rsid w:val="00B44149"/>
    <w:rsid w:val="00B45EE1"/>
    <w:rsid w:val="00B52FCF"/>
    <w:rsid w:val="00B53B5D"/>
    <w:rsid w:val="00B54407"/>
    <w:rsid w:val="00B6055E"/>
    <w:rsid w:val="00B613F6"/>
    <w:rsid w:val="00B6317D"/>
    <w:rsid w:val="00B702E1"/>
    <w:rsid w:val="00B729C6"/>
    <w:rsid w:val="00B74CE6"/>
    <w:rsid w:val="00B761D1"/>
    <w:rsid w:val="00B76FCF"/>
    <w:rsid w:val="00B7723F"/>
    <w:rsid w:val="00B776A8"/>
    <w:rsid w:val="00B80534"/>
    <w:rsid w:val="00B834A2"/>
    <w:rsid w:val="00B8433C"/>
    <w:rsid w:val="00B85580"/>
    <w:rsid w:val="00B87491"/>
    <w:rsid w:val="00B9109F"/>
    <w:rsid w:val="00B92F89"/>
    <w:rsid w:val="00BA058D"/>
    <w:rsid w:val="00BA29E9"/>
    <w:rsid w:val="00BA66AC"/>
    <w:rsid w:val="00BA7142"/>
    <w:rsid w:val="00BA7897"/>
    <w:rsid w:val="00BB237C"/>
    <w:rsid w:val="00BB3FF5"/>
    <w:rsid w:val="00BB41A3"/>
    <w:rsid w:val="00BB481D"/>
    <w:rsid w:val="00BC32DC"/>
    <w:rsid w:val="00BC35B6"/>
    <w:rsid w:val="00BC52DE"/>
    <w:rsid w:val="00BC572E"/>
    <w:rsid w:val="00BC5738"/>
    <w:rsid w:val="00BC6623"/>
    <w:rsid w:val="00BC7FAF"/>
    <w:rsid w:val="00BD1B51"/>
    <w:rsid w:val="00BD2B7A"/>
    <w:rsid w:val="00BD4596"/>
    <w:rsid w:val="00BD7164"/>
    <w:rsid w:val="00BE04B4"/>
    <w:rsid w:val="00BE1405"/>
    <w:rsid w:val="00BE2D18"/>
    <w:rsid w:val="00BE312D"/>
    <w:rsid w:val="00BF054B"/>
    <w:rsid w:val="00BF0ACE"/>
    <w:rsid w:val="00BF1C20"/>
    <w:rsid w:val="00C040AA"/>
    <w:rsid w:val="00C04C7F"/>
    <w:rsid w:val="00C06A85"/>
    <w:rsid w:val="00C10578"/>
    <w:rsid w:val="00C1142D"/>
    <w:rsid w:val="00C123DB"/>
    <w:rsid w:val="00C135BC"/>
    <w:rsid w:val="00C1392E"/>
    <w:rsid w:val="00C15C95"/>
    <w:rsid w:val="00C201B1"/>
    <w:rsid w:val="00C20309"/>
    <w:rsid w:val="00C25867"/>
    <w:rsid w:val="00C2596A"/>
    <w:rsid w:val="00C269FF"/>
    <w:rsid w:val="00C26FAE"/>
    <w:rsid w:val="00C2732C"/>
    <w:rsid w:val="00C27537"/>
    <w:rsid w:val="00C30935"/>
    <w:rsid w:val="00C328FE"/>
    <w:rsid w:val="00C32AB6"/>
    <w:rsid w:val="00C33507"/>
    <w:rsid w:val="00C35F1B"/>
    <w:rsid w:val="00C35F3C"/>
    <w:rsid w:val="00C41AAC"/>
    <w:rsid w:val="00C43C97"/>
    <w:rsid w:val="00C43D92"/>
    <w:rsid w:val="00C4409D"/>
    <w:rsid w:val="00C44E72"/>
    <w:rsid w:val="00C4595E"/>
    <w:rsid w:val="00C45A06"/>
    <w:rsid w:val="00C47E5B"/>
    <w:rsid w:val="00C53ACD"/>
    <w:rsid w:val="00C57D82"/>
    <w:rsid w:val="00C61E4B"/>
    <w:rsid w:val="00C64BFF"/>
    <w:rsid w:val="00C66916"/>
    <w:rsid w:val="00C704E9"/>
    <w:rsid w:val="00C74D38"/>
    <w:rsid w:val="00C763C9"/>
    <w:rsid w:val="00C77500"/>
    <w:rsid w:val="00C77CF9"/>
    <w:rsid w:val="00C80057"/>
    <w:rsid w:val="00C817F3"/>
    <w:rsid w:val="00C82232"/>
    <w:rsid w:val="00C82913"/>
    <w:rsid w:val="00C8721E"/>
    <w:rsid w:val="00C93774"/>
    <w:rsid w:val="00C9483F"/>
    <w:rsid w:val="00C972B1"/>
    <w:rsid w:val="00CA2CCE"/>
    <w:rsid w:val="00CA43FD"/>
    <w:rsid w:val="00CA7EF8"/>
    <w:rsid w:val="00CB5D47"/>
    <w:rsid w:val="00CB784D"/>
    <w:rsid w:val="00CC05B0"/>
    <w:rsid w:val="00CC05B9"/>
    <w:rsid w:val="00CC1689"/>
    <w:rsid w:val="00CC449E"/>
    <w:rsid w:val="00CC489B"/>
    <w:rsid w:val="00CC58BE"/>
    <w:rsid w:val="00CD17DD"/>
    <w:rsid w:val="00CD2BCD"/>
    <w:rsid w:val="00CD3A4C"/>
    <w:rsid w:val="00CD41A5"/>
    <w:rsid w:val="00CD6B00"/>
    <w:rsid w:val="00CE10E9"/>
    <w:rsid w:val="00CE2910"/>
    <w:rsid w:val="00CE3A46"/>
    <w:rsid w:val="00CE5393"/>
    <w:rsid w:val="00CE5AA3"/>
    <w:rsid w:val="00CE68C8"/>
    <w:rsid w:val="00CF2011"/>
    <w:rsid w:val="00CF36BE"/>
    <w:rsid w:val="00CF420A"/>
    <w:rsid w:val="00CF6000"/>
    <w:rsid w:val="00D003F3"/>
    <w:rsid w:val="00D0364F"/>
    <w:rsid w:val="00D04EA7"/>
    <w:rsid w:val="00D06834"/>
    <w:rsid w:val="00D074C2"/>
    <w:rsid w:val="00D10087"/>
    <w:rsid w:val="00D1409E"/>
    <w:rsid w:val="00D1435F"/>
    <w:rsid w:val="00D203AE"/>
    <w:rsid w:val="00D22ECE"/>
    <w:rsid w:val="00D27AAC"/>
    <w:rsid w:val="00D308ED"/>
    <w:rsid w:val="00D329B1"/>
    <w:rsid w:val="00D36D86"/>
    <w:rsid w:val="00D3720B"/>
    <w:rsid w:val="00D407A0"/>
    <w:rsid w:val="00D4181A"/>
    <w:rsid w:val="00D428AA"/>
    <w:rsid w:val="00D435C9"/>
    <w:rsid w:val="00D4579A"/>
    <w:rsid w:val="00D50A34"/>
    <w:rsid w:val="00D50F21"/>
    <w:rsid w:val="00D5109A"/>
    <w:rsid w:val="00D51316"/>
    <w:rsid w:val="00D5329B"/>
    <w:rsid w:val="00D53752"/>
    <w:rsid w:val="00D53EFA"/>
    <w:rsid w:val="00D61451"/>
    <w:rsid w:val="00D61D62"/>
    <w:rsid w:val="00D73422"/>
    <w:rsid w:val="00D7389B"/>
    <w:rsid w:val="00D75029"/>
    <w:rsid w:val="00D8208A"/>
    <w:rsid w:val="00D94A7C"/>
    <w:rsid w:val="00D95896"/>
    <w:rsid w:val="00D9611F"/>
    <w:rsid w:val="00D97244"/>
    <w:rsid w:val="00DA1DCB"/>
    <w:rsid w:val="00DA5AE6"/>
    <w:rsid w:val="00DB272B"/>
    <w:rsid w:val="00DB2983"/>
    <w:rsid w:val="00DB517D"/>
    <w:rsid w:val="00DC1257"/>
    <w:rsid w:val="00DC1FF6"/>
    <w:rsid w:val="00DC3DC0"/>
    <w:rsid w:val="00DC5B2B"/>
    <w:rsid w:val="00DC5E13"/>
    <w:rsid w:val="00DC7AC8"/>
    <w:rsid w:val="00DD070D"/>
    <w:rsid w:val="00DD318D"/>
    <w:rsid w:val="00DD3CE3"/>
    <w:rsid w:val="00DD570E"/>
    <w:rsid w:val="00DD7F02"/>
    <w:rsid w:val="00DE2D6F"/>
    <w:rsid w:val="00DF2E12"/>
    <w:rsid w:val="00DF3BF7"/>
    <w:rsid w:val="00DF514A"/>
    <w:rsid w:val="00DF6690"/>
    <w:rsid w:val="00DF6804"/>
    <w:rsid w:val="00E01B16"/>
    <w:rsid w:val="00E02A6F"/>
    <w:rsid w:val="00E0358D"/>
    <w:rsid w:val="00E04323"/>
    <w:rsid w:val="00E070A2"/>
    <w:rsid w:val="00E207CE"/>
    <w:rsid w:val="00E21DA8"/>
    <w:rsid w:val="00E24BDB"/>
    <w:rsid w:val="00E2656A"/>
    <w:rsid w:val="00E27094"/>
    <w:rsid w:val="00E33FBA"/>
    <w:rsid w:val="00E37480"/>
    <w:rsid w:val="00E411E3"/>
    <w:rsid w:val="00E412D0"/>
    <w:rsid w:val="00E46EC5"/>
    <w:rsid w:val="00E51E18"/>
    <w:rsid w:val="00E54F7A"/>
    <w:rsid w:val="00E56322"/>
    <w:rsid w:val="00E56F17"/>
    <w:rsid w:val="00E60982"/>
    <w:rsid w:val="00E62C62"/>
    <w:rsid w:val="00E6533D"/>
    <w:rsid w:val="00E654C1"/>
    <w:rsid w:val="00E656D8"/>
    <w:rsid w:val="00E65D97"/>
    <w:rsid w:val="00E65DF9"/>
    <w:rsid w:val="00E67079"/>
    <w:rsid w:val="00E717D2"/>
    <w:rsid w:val="00E72A5A"/>
    <w:rsid w:val="00E73232"/>
    <w:rsid w:val="00E73354"/>
    <w:rsid w:val="00E73CF7"/>
    <w:rsid w:val="00E74BE0"/>
    <w:rsid w:val="00E7563F"/>
    <w:rsid w:val="00E822D2"/>
    <w:rsid w:val="00E830F7"/>
    <w:rsid w:val="00E9242D"/>
    <w:rsid w:val="00E93B90"/>
    <w:rsid w:val="00E962D2"/>
    <w:rsid w:val="00EA0150"/>
    <w:rsid w:val="00EA2444"/>
    <w:rsid w:val="00EB218F"/>
    <w:rsid w:val="00EB5255"/>
    <w:rsid w:val="00EB534A"/>
    <w:rsid w:val="00EB5C47"/>
    <w:rsid w:val="00EC07B0"/>
    <w:rsid w:val="00EC18C0"/>
    <w:rsid w:val="00EC20C6"/>
    <w:rsid w:val="00EC43E3"/>
    <w:rsid w:val="00EC6757"/>
    <w:rsid w:val="00ED0639"/>
    <w:rsid w:val="00ED4E5B"/>
    <w:rsid w:val="00EE0B2B"/>
    <w:rsid w:val="00EE2548"/>
    <w:rsid w:val="00EE2D4F"/>
    <w:rsid w:val="00EE66F5"/>
    <w:rsid w:val="00EF4192"/>
    <w:rsid w:val="00EF4755"/>
    <w:rsid w:val="00EF5725"/>
    <w:rsid w:val="00EF7135"/>
    <w:rsid w:val="00EF7690"/>
    <w:rsid w:val="00EF77E8"/>
    <w:rsid w:val="00F027DB"/>
    <w:rsid w:val="00F06CFC"/>
    <w:rsid w:val="00F07539"/>
    <w:rsid w:val="00F14A7A"/>
    <w:rsid w:val="00F20FD7"/>
    <w:rsid w:val="00F21852"/>
    <w:rsid w:val="00F22985"/>
    <w:rsid w:val="00F235CB"/>
    <w:rsid w:val="00F30C69"/>
    <w:rsid w:val="00F3100A"/>
    <w:rsid w:val="00F31CDD"/>
    <w:rsid w:val="00F3383E"/>
    <w:rsid w:val="00F346C6"/>
    <w:rsid w:val="00F35066"/>
    <w:rsid w:val="00F465A7"/>
    <w:rsid w:val="00F50B7C"/>
    <w:rsid w:val="00F51A45"/>
    <w:rsid w:val="00F53624"/>
    <w:rsid w:val="00F550E6"/>
    <w:rsid w:val="00F556BF"/>
    <w:rsid w:val="00F66951"/>
    <w:rsid w:val="00F66FC1"/>
    <w:rsid w:val="00F67985"/>
    <w:rsid w:val="00F71549"/>
    <w:rsid w:val="00F74345"/>
    <w:rsid w:val="00F759B4"/>
    <w:rsid w:val="00F76BF6"/>
    <w:rsid w:val="00F76F8F"/>
    <w:rsid w:val="00F80A0A"/>
    <w:rsid w:val="00F82B19"/>
    <w:rsid w:val="00F9212D"/>
    <w:rsid w:val="00F965DA"/>
    <w:rsid w:val="00F970F5"/>
    <w:rsid w:val="00FA406A"/>
    <w:rsid w:val="00FA6E1B"/>
    <w:rsid w:val="00FB503A"/>
    <w:rsid w:val="00FB516C"/>
    <w:rsid w:val="00FB5782"/>
    <w:rsid w:val="00FB71FD"/>
    <w:rsid w:val="00FC1F70"/>
    <w:rsid w:val="00FC3CBE"/>
    <w:rsid w:val="00FC41FD"/>
    <w:rsid w:val="00FD0236"/>
    <w:rsid w:val="00FD18F4"/>
    <w:rsid w:val="00FD31BD"/>
    <w:rsid w:val="00FD54DB"/>
    <w:rsid w:val="00FD619F"/>
    <w:rsid w:val="00FD6742"/>
    <w:rsid w:val="00FD7707"/>
    <w:rsid w:val="00FE1F01"/>
    <w:rsid w:val="00FE20A7"/>
    <w:rsid w:val="00FE2183"/>
    <w:rsid w:val="00FE35ED"/>
    <w:rsid w:val="00FE515A"/>
    <w:rsid w:val="00FE664F"/>
    <w:rsid w:val="00FF5141"/>
    <w:rsid w:val="00FF7B32"/>
    <w:rsid w:val="01290F7E"/>
    <w:rsid w:val="015D1E09"/>
    <w:rsid w:val="0165630F"/>
    <w:rsid w:val="018C4A2B"/>
    <w:rsid w:val="01CE2B2E"/>
    <w:rsid w:val="01FD42EF"/>
    <w:rsid w:val="02016828"/>
    <w:rsid w:val="021B5F49"/>
    <w:rsid w:val="02380E83"/>
    <w:rsid w:val="024261A6"/>
    <w:rsid w:val="02454BAA"/>
    <w:rsid w:val="02697903"/>
    <w:rsid w:val="02697E4F"/>
    <w:rsid w:val="027C5214"/>
    <w:rsid w:val="02A5701C"/>
    <w:rsid w:val="02D41A20"/>
    <w:rsid w:val="02EB3F84"/>
    <w:rsid w:val="02F96569"/>
    <w:rsid w:val="03EA7B21"/>
    <w:rsid w:val="04133956"/>
    <w:rsid w:val="04593A0A"/>
    <w:rsid w:val="04EC239E"/>
    <w:rsid w:val="04FF259C"/>
    <w:rsid w:val="0505571B"/>
    <w:rsid w:val="05A30D0A"/>
    <w:rsid w:val="05A67217"/>
    <w:rsid w:val="05F83EAE"/>
    <w:rsid w:val="063E7D85"/>
    <w:rsid w:val="064313CD"/>
    <w:rsid w:val="06D373CC"/>
    <w:rsid w:val="07293586"/>
    <w:rsid w:val="07295285"/>
    <w:rsid w:val="07591FC8"/>
    <w:rsid w:val="07636392"/>
    <w:rsid w:val="07770C56"/>
    <w:rsid w:val="078C7081"/>
    <w:rsid w:val="07B436A2"/>
    <w:rsid w:val="07D86998"/>
    <w:rsid w:val="07E850FA"/>
    <w:rsid w:val="08396DC1"/>
    <w:rsid w:val="08406CE4"/>
    <w:rsid w:val="08517143"/>
    <w:rsid w:val="0863305F"/>
    <w:rsid w:val="089332B7"/>
    <w:rsid w:val="08D3798A"/>
    <w:rsid w:val="08DA2B8B"/>
    <w:rsid w:val="092217DD"/>
    <w:rsid w:val="093A7294"/>
    <w:rsid w:val="096D4A70"/>
    <w:rsid w:val="097376BB"/>
    <w:rsid w:val="0A0F34BC"/>
    <w:rsid w:val="0A1D65D0"/>
    <w:rsid w:val="0A263993"/>
    <w:rsid w:val="0A2D3AC2"/>
    <w:rsid w:val="0AA755DF"/>
    <w:rsid w:val="0AE978E8"/>
    <w:rsid w:val="0B120D44"/>
    <w:rsid w:val="0B9B6AB2"/>
    <w:rsid w:val="0BD27BF6"/>
    <w:rsid w:val="0C3B3C7D"/>
    <w:rsid w:val="0CAB2EAE"/>
    <w:rsid w:val="0CF602B9"/>
    <w:rsid w:val="0D0D3F78"/>
    <w:rsid w:val="0D621C7D"/>
    <w:rsid w:val="0DA84CC6"/>
    <w:rsid w:val="0DD73C46"/>
    <w:rsid w:val="0DFB23C6"/>
    <w:rsid w:val="0E626473"/>
    <w:rsid w:val="0E675D26"/>
    <w:rsid w:val="0E73034D"/>
    <w:rsid w:val="0E9B22B3"/>
    <w:rsid w:val="0EAB3AC6"/>
    <w:rsid w:val="0EC95C85"/>
    <w:rsid w:val="0ECF4D5E"/>
    <w:rsid w:val="0EE155DA"/>
    <w:rsid w:val="0EEC0056"/>
    <w:rsid w:val="0F13775A"/>
    <w:rsid w:val="0F381961"/>
    <w:rsid w:val="0F5F45FE"/>
    <w:rsid w:val="0F6975CE"/>
    <w:rsid w:val="0F9A112B"/>
    <w:rsid w:val="0FBD6E6C"/>
    <w:rsid w:val="0FD82769"/>
    <w:rsid w:val="10625288"/>
    <w:rsid w:val="106D2F64"/>
    <w:rsid w:val="10B63710"/>
    <w:rsid w:val="10F10820"/>
    <w:rsid w:val="10FB7E70"/>
    <w:rsid w:val="111C2F7A"/>
    <w:rsid w:val="11217992"/>
    <w:rsid w:val="11665CA1"/>
    <w:rsid w:val="1178275A"/>
    <w:rsid w:val="11C15189"/>
    <w:rsid w:val="120D40DA"/>
    <w:rsid w:val="12957C2C"/>
    <w:rsid w:val="12AA23B3"/>
    <w:rsid w:val="12D220EF"/>
    <w:rsid w:val="13951726"/>
    <w:rsid w:val="13AE5449"/>
    <w:rsid w:val="14251811"/>
    <w:rsid w:val="14396509"/>
    <w:rsid w:val="14D75259"/>
    <w:rsid w:val="14DD2C3C"/>
    <w:rsid w:val="14EF728D"/>
    <w:rsid w:val="150A4C33"/>
    <w:rsid w:val="156404B5"/>
    <w:rsid w:val="156758B0"/>
    <w:rsid w:val="15D01BB6"/>
    <w:rsid w:val="15DB73F5"/>
    <w:rsid w:val="15EE6AD6"/>
    <w:rsid w:val="16013F56"/>
    <w:rsid w:val="16087E1D"/>
    <w:rsid w:val="16493207"/>
    <w:rsid w:val="165B3BA1"/>
    <w:rsid w:val="16833CE0"/>
    <w:rsid w:val="17701D14"/>
    <w:rsid w:val="17735226"/>
    <w:rsid w:val="17B9260F"/>
    <w:rsid w:val="17C24C9F"/>
    <w:rsid w:val="17D216A2"/>
    <w:rsid w:val="181015B6"/>
    <w:rsid w:val="184B33D7"/>
    <w:rsid w:val="1856789E"/>
    <w:rsid w:val="18866BE2"/>
    <w:rsid w:val="18895EBF"/>
    <w:rsid w:val="188E4D8A"/>
    <w:rsid w:val="189F624C"/>
    <w:rsid w:val="18E2254E"/>
    <w:rsid w:val="1909304E"/>
    <w:rsid w:val="19102702"/>
    <w:rsid w:val="197C0228"/>
    <w:rsid w:val="19FF6BF8"/>
    <w:rsid w:val="1A1C66C0"/>
    <w:rsid w:val="1A42393B"/>
    <w:rsid w:val="1A4C424F"/>
    <w:rsid w:val="1A687E1C"/>
    <w:rsid w:val="1AAD45DE"/>
    <w:rsid w:val="1AF3116E"/>
    <w:rsid w:val="1AF74AEC"/>
    <w:rsid w:val="1B046F80"/>
    <w:rsid w:val="1B3267B5"/>
    <w:rsid w:val="1B40161D"/>
    <w:rsid w:val="1B441859"/>
    <w:rsid w:val="1B6606B1"/>
    <w:rsid w:val="1BD73063"/>
    <w:rsid w:val="1C022582"/>
    <w:rsid w:val="1C5E7925"/>
    <w:rsid w:val="1CA43DB0"/>
    <w:rsid w:val="1CA758C7"/>
    <w:rsid w:val="1CAB69CA"/>
    <w:rsid w:val="1CDD68B7"/>
    <w:rsid w:val="1CF06AD2"/>
    <w:rsid w:val="1CFD070F"/>
    <w:rsid w:val="1D5F6196"/>
    <w:rsid w:val="1D6132A5"/>
    <w:rsid w:val="1D8E56D5"/>
    <w:rsid w:val="1DA13929"/>
    <w:rsid w:val="1DF200AB"/>
    <w:rsid w:val="1E7A43DA"/>
    <w:rsid w:val="1EF67CA4"/>
    <w:rsid w:val="1F071E17"/>
    <w:rsid w:val="1F696B93"/>
    <w:rsid w:val="1FB3733F"/>
    <w:rsid w:val="1FE7539E"/>
    <w:rsid w:val="20671BE0"/>
    <w:rsid w:val="20963CB8"/>
    <w:rsid w:val="20A81A1B"/>
    <w:rsid w:val="20B07FB6"/>
    <w:rsid w:val="20B646FB"/>
    <w:rsid w:val="213B74B1"/>
    <w:rsid w:val="21423675"/>
    <w:rsid w:val="21481E0E"/>
    <w:rsid w:val="215A2310"/>
    <w:rsid w:val="21630962"/>
    <w:rsid w:val="21B87493"/>
    <w:rsid w:val="21DE318A"/>
    <w:rsid w:val="21EF5B80"/>
    <w:rsid w:val="223D5253"/>
    <w:rsid w:val="22576990"/>
    <w:rsid w:val="229A397D"/>
    <w:rsid w:val="22C74CD6"/>
    <w:rsid w:val="22F47480"/>
    <w:rsid w:val="2306302A"/>
    <w:rsid w:val="230C70CE"/>
    <w:rsid w:val="230D5E10"/>
    <w:rsid w:val="23D85A2D"/>
    <w:rsid w:val="23DE1C48"/>
    <w:rsid w:val="240210CD"/>
    <w:rsid w:val="24A84695"/>
    <w:rsid w:val="24BF09F7"/>
    <w:rsid w:val="252D53FE"/>
    <w:rsid w:val="25C96973"/>
    <w:rsid w:val="25EC2D81"/>
    <w:rsid w:val="2623541D"/>
    <w:rsid w:val="277057A2"/>
    <w:rsid w:val="28DE3C83"/>
    <w:rsid w:val="29206EB8"/>
    <w:rsid w:val="29595666"/>
    <w:rsid w:val="29874881"/>
    <w:rsid w:val="29D2119E"/>
    <w:rsid w:val="29D64538"/>
    <w:rsid w:val="29DF25B4"/>
    <w:rsid w:val="29E325E0"/>
    <w:rsid w:val="2A2C566C"/>
    <w:rsid w:val="2A452503"/>
    <w:rsid w:val="2A6639EE"/>
    <w:rsid w:val="2B006133"/>
    <w:rsid w:val="2BA936A8"/>
    <w:rsid w:val="2BEA0787"/>
    <w:rsid w:val="2C0954BB"/>
    <w:rsid w:val="2C315A5A"/>
    <w:rsid w:val="2C4B1C25"/>
    <w:rsid w:val="2CA36B6F"/>
    <w:rsid w:val="2D9E56F5"/>
    <w:rsid w:val="2E667F96"/>
    <w:rsid w:val="2E8226AB"/>
    <w:rsid w:val="2ED95BC9"/>
    <w:rsid w:val="2EE95DBA"/>
    <w:rsid w:val="2F5A07F0"/>
    <w:rsid w:val="2FAB6003"/>
    <w:rsid w:val="2FD065E6"/>
    <w:rsid w:val="2FD96870"/>
    <w:rsid w:val="30580BC9"/>
    <w:rsid w:val="307B6271"/>
    <w:rsid w:val="30980146"/>
    <w:rsid w:val="30B667B5"/>
    <w:rsid w:val="30BC0773"/>
    <w:rsid w:val="311E2ED7"/>
    <w:rsid w:val="31413001"/>
    <w:rsid w:val="315619EE"/>
    <w:rsid w:val="315C449C"/>
    <w:rsid w:val="31B82709"/>
    <w:rsid w:val="31D05482"/>
    <w:rsid w:val="32146946"/>
    <w:rsid w:val="322D1430"/>
    <w:rsid w:val="32400B34"/>
    <w:rsid w:val="32577E08"/>
    <w:rsid w:val="329E6876"/>
    <w:rsid w:val="32E32E4B"/>
    <w:rsid w:val="33062D64"/>
    <w:rsid w:val="333015F2"/>
    <w:rsid w:val="334B6320"/>
    <w:rsid w:val="33D934D4"/>
    <w:rsid w:val="33EA4ED9"/>
    <w:rsid w:val="33F463FC"/>
    <w:rsid w:val="33FE2F6A"/>
    <w:rsid w:val="340E07E5"/>
    <w:rsid w:val="34235BF7"/>
    <w:rsid w:val="34C71D5B"/>
    <w:rsid w:val="34F07218"/>
    <w:rsid w:val="352D74C5"/>
    <w:rsid w:val="35650B11"/>
    <w:rsid w:val="358C5FA8"/>
    <w:rsid w:val="35B4622C"/>
    <w:rsid w:val="35C15DF1"/>
    <w:rsid w:val="35F5260C"/>
    <w:rsid w:val="36074A7F"/>
    <w:rsid w:val="3614442B"/>
    <w:rsid w:val="36923549"/>
    <w:rsid w:val="36926756"/>
    <w:rsid w:val="36B75FBF"/>
    <w:rsid w:val="36B835B1"/>
    <w:rsid w:val="36BD0C45"/>
    <w:rsid w:val="36E33D78"/>
    <w:rsid w:val="36E43DA2"/>
    <w:rsid w:val="37E00298"/>
    <w:rsid w:val="382E635B"/>
    <w:rsid w:val="38A84565"/>
    <w:rsid w:val="38B302F9"/>
    <w:rsid w:val="38F12CD3"/>
    <w:rsid w:val="38F94775"/>
    <w:rsid w:val="392971ED"/>
    <w:rsid w:val="39325651"/>
    <w:rsid w:val="39B82A43"/>
    <w:rsid w:val="3A1B3003"/>
    <w:rsid w:val="3A315640"/>
    <w:rsid w:val="3A872856"/>
    <w:rsid w:val="3A9F0B17"/>
    <w:rsid w:val="3B3763D1"/>
    <w:rsid w:val="3B950B19"/>
    <w:rsid w:val="3BA81C25"/>
    <w:rsid w:val="3C2F6E1E"/>
    <w:rsid w:val="3C4F64BA"/>
    <w:rsid w:val="3C5A58BF"/>
    <w:rsid w:val="3CDA245A"/>
    <w:rsid w:val="3CFB6612"/>
    <w:rsid w:val="3D10436A"/>
    <w:rsid w:val="3D1E06B7"/>
    <w:rsid w:val="3D6A5877"/>
    <w:rsid w:val="3D8B5DE1"/>
    <w:rsid w:val="3D8B70E5"/>
    <w:rsid w:val="3D9A67F0"/>
    <w:rsid w:val="3DB81A6C"/>
    <w:rsid w:val="3DBE23ED"/>
    <w:rsid w:val="3DE91D83"/>
    <w:rsid w:val="3E2D7B60"/>
    <w:rsid w:val="3EBE4829"/>
    <w:rsid w:val="3EDA0523"/>
    <w:rsid w:val="3F5F6DB0"/>
    <w:rsid w:val="3F8A2017"/>
    <w:rsid w:val="3F9A46C3"/>
    <w:rsid w:val="403E4454"/>
    <w:rsid w:val="407A6407"/>
    <w:rsid w:val="40AA6F5B"/>
    <w:rsid w:val="40F233E0"/>
    <w:rsid w:val="412F6F14"/>
    <w:rsid w:val="41691042"/>
    <w:rsid w:val="41F335E3"/>
    <w:rsid w:val="4200449D"/>
    <w:rsid w:val="42395F96"/>
    <w:rsid w:val="423A3BCC"/>
    <w:rsid w:val="424E57D2"/>
    <w:rsid w:val="427922FE"/>
    <w:rsid w:val="42B26C49"/>
    <w:rsid w:val="433A6FE6"/>
    <w:rsid w:val="43480868"/>
    <w:rsid w:val="4350713C"/>
    <w:rsid w:val="43525542"/>
    <w:rsid w:val="436653E0"/>
    <w:rsid w:val="43C4431A"/>
    <w:rsid w:val="43FD452D"/>
    <w:rsid w:val="440334CC"/>
    <w:rsid w:val="442E2373"/>
    <w:rsid w:val="44406BF4"/>
    <w:rsid w:val="4473486F"/>
    <w:rsid w:val="44B951CC"/>
    <w:rsid w:val="44BC7116"/>
    <w:rsid w:val="44CD14E0"/>
    <w:rsid w:val="44F20B0B"/>
    <w:rsid w:val="44F63F31"/>
    <w:rsid w:val="452E5F4C"/>
    <w:rsid w:val="45324658"/>
    <w:rsid w:val="455160E7"/>
    <w:rsid w:val="45612018"/>
    <w:rsid w:val="456A4DC4"/>
    <w:rsid w:val="458946E9"/>
    <w:rsid w:val="45A47C0E"/>
    <w:rsid w:val="45BA49E4"/>
    <w:rsid w:val="45F37966"/>
    <w:rsid w:val="46001285"/>
    <w:rsid w:val="462C02CC"/>
    <w:rsid w:val="46456C98"/>
    <w:rsid w:val="46577FD6"/>
    <w:rsid w:val="46C81B7C"/>
    <w:rsid w:val="46D955A7"/>
    <w:rsid w:val="46DC09BB"/>
    <w:rsid w:val="47133957"/>
    <w:rsid w:val="47770BF2"/>
    <w:rsid w:val="47A07E0C"/>
    <w:rsid w:val="485B6C46"/>
    <w:rsid w:val="4870272E"/>
    <w:rsid w:val="48E056CE"/>
    <w:rsid w:val="490B7D4B"/>
    <w:rsid w:val="49184B37"/>
    <w:rsid w:val="49B51131"/>
    <w:rsid w:val="49D92519"/>
    <w:rsid w:val="49DC7715"/>
    <w:rsid w:val="49F43B6D"/>
    <w:rsid w:val="4A023139"/>
    <w:rsid w:val="4A7B576F"/>
    <w:rsid w:val="4AF561A9"/>
    <w:rsid w:val="4B5300A9"/>
    <w:rsid w:val="4BBB2E53"/>
    <w:rsid w:val="4C355F3E"/>
    <w:rsid w:val="4C4A0649"/>
    <w:rsid w:val="4C4D48E0"/>
    <w:rsid w:val="4C7E5ECA"/>
    <w:rsid w:val="4C876AA5"/>
    <w:rsid w:val="4CAB49E1"/>
    <w:rsid w:val="4D0E00FB"/>
    <w:rsid w:val="4D0F71A2"/>
    <w:rsid w:val="4D176606"/>
    <w:rsid w:val="4DEC4FB0"/>
    <w:rsid w:val="4E0336C0"/>
    <w:rsid w:val="4E075D8A"/>
    <w:rsid w:val="4E475608"/>
    <w:rsid w:val="4E625B5A"/>
    <w:rsid w:val="4E692E08"/>
    <w:rsid w:val="4E810A89"/>
    <w:rsid w:val="4E890581"/>
    <w:rsid w:val="4E9D1006"/>
    <w:rsid w:val="4EC00FAD"/>
    <w:rsid w:val="4F091D33"/>
    <w:rsid w:val="4F6753A1"/>
    <w:rsid w:val="4F9843DC"/>
    <w:rsid w:val="4FC62A8C"/>
    <w:rsid w:val="4FDD4D8E"/>
    <w:rsid w:val="4FE20F0D"/>
    <w:rsid w:val="4FE51552"/>
    <w:rsid w:val="4FF77B79"/>
    <w:rsid w:val="50067498"/>
    <w:rsid w:val="504F164D"/>
    <w:rsid w:val="50504C4B"/>
    <w:rsid w:val="50812D02"/>
    <w:rsid w:val="509C6E7C"/>
    <w:rsid w:val="51400E35"/>
    <w:rsid w:val="514C6828"/>
    <w:rsid w:val="5162104E"/>
    <w:rsid w:val="51894824"/>
    <w:rsid w:val="519D005E"/>
    <w:rsid w:val="519E0461"/>
    <w:rsid w:val="51D32A1D"/>
    <w:rsid w:val="51DA0C06"/>
    <w:rsid w:val="520C2D5F"/>
    <w:rsid w:val="52293911"/>
    <w:rsid w:val="525E667D"/>
    <w:rsid w:val="53056405"/>
    <w:rsid w:val="530E4418"/>
    <w:rsid w:val="53163E96"/>
    <w:rsid w:val="53345182"/>
    <w:rsid w:val="535E583D"/>
    <w:rsid w:val="53A039CC"/>
    <w:rsid w:val="53A1505A"/>
    <w:rsid w:val="53A91117"/>
    <w:rsid w:val="53E27FD5"/>
    <w:rsid w:val="54063E08"/>
    <w:rsid w:val="543437E8"/>
    <w:rsid w:val="543D21DE"/>
    <w:rsid w:val="54596730"/>
    <w:rsid w:val="54CD67D6"/>
    <w:rsid w:val="54F73313"/>
    <w:rsid w:val="54F80955"/>
    <w:rsid w:val="555170A7"/>
    <w:rsid w:val="55556BB7"/>
    <w:rsid w:val="5587536D"/>
    <w:rsid w:val="559B174B"/>
    <w:rsid w:val="55AB4DA0"/>
    <w:rsid w:val="55CE0CF4"/>
    <w:rsid w:val="55FA754F"/>
    <w:rsid w:val="562721F5"/>
    <w:rsid w:val="562951B8"/>
    <w:rsid w:val="56717635"/>
    <w:rsid w:val="56914112"/>
    <w:rsid w:val="56B22A9C"/>
    <w:rsid w:val="56D43EC3"/>
    <w:rsid w:val="56F941AB"/>
    <w:rsid w:val="5747277A"/>
    <w:rsid w:val="57646197"/>
    <w:rsid w:val="579F2B50"/>
    <w:rsid w:val="57A858DC"/>
    <w:rsid w:val="57B72A76"/>
    <w:rsid w:val="57BA5D6A"/>
    <w:rsid w:val="57C3426C"/>
    <w:rsid w:val="57CE1F93"/>
    <w:rsid w:val="580361F2"/>
    <w:rsid w:val="586438F5"/>
    <w:rsid w:val="588743D1"/>
    <w:rsid w:val="5887701A"/>
    <w:rsid w:val="589C2765"/>
    <w:rsid w:val="59012EF2"/>
    <w:rsid w:val="59385AD4"/>
    <w:rsid w:val="59C0439F"/>
    <w:rsid w:val="5ABE2233"/>
    <w:rsid w:val="5AC61C39"/>
    <w:rsid w:val="5AEA6EE7"/>
    <w:rsid w:val="5B150ED7"/>
    <w:rsid w:val="5B3F7D02"/>
    <w:rsid w:val="5B6A7475"/>
    <w:rsid w:val="5B702342"/>
    <w:rsid w:val="5B742FB7"/>
    <w:rsid w:val="5BBD0B11"/>
    <w:rsid w:val="5BDF5D95"/>
    <w:rsid w:val="5BFE7528"/>
    <w:rsid w:val="5C08138E"/>
    <w:rsid w:val="5C286A9A"/>
    <w:rsid w:val="5C882F96"/>
    <w:rsid w:val="5CAC5854"/>
    <w:rsid w:val="5D3D3CAB"/>
    <w:rsid w:val="5DB16D82"/>
    <w:rsid w:val="5E2467F1"/>
    <w:rsid w:val="5E43209B"/>
    <w:rsid w:val="5E846433"/>
    <w:rsid w:val="5EA657FA"/>
    <w:rsid w:val="5F1A2B43"/>
    <w:rsid w:val="5FB837BB"/>
    <w:rsid w:val="5FFA069B"/>
    <w:rsid w:val="60014F00"/>
    <w:rsid w:val="60CC405A"/>
    <w:rsid w:val="611A49F6"/>
    <w:rsid w:val="6137215E"/>
    <w:rsid w:val="615F43BA"/>
    <w:rsid w:val="616D3D32"/>
    <w:rsid w:val="61DC62AA"/>
    <w:rsid w:val="61E215D8"/>
    <w:rsid w:val="620353B6"/>
    <w:rsid w:val="621B3775"/>
    <w:rsid w:val="62364782"/>
    <w:rsid w:val="6283551D"/>
    <w:rsid w:val="62970423"/>
    <w:rsid w:val="62987DFB"/>
    <w:rsid w:val="62E31F80"/>
    <w:rsid w:val="62F13FD7"/>
    <w:rsid w:val="6394356A"/>
    <w:rsid w:val="63C61B2C"/>
    <w:rsid w:val="63CB70F9"/>
    <w:rsid w:val="63CC492E"/>
    <w:rsid w:val="63D40BE9"/>
    <w:rsid w:val="63ED4609"/>
    <w:rsid w:val="64074337"/>
    <w:rsid w:val="64102431"/>
    <w:rsid w:val="64445734"/>
    <w:rsid w:val="64A5243A"/>
    <w:rsid w:val="64F531DE"/>
    <w:rsid w:val="65373578"/>
    <w:rsid w:val="65852CCF"/>
    <w:rsid w:val="66BC66AA"/>
    <w:rsid w:val="66BD6072"/>
    <w:rsid w:val="66F22549"/>
    <w:rsid w:val="670F17EF"/>
    <w:rsid w:val="671F124A"/>
    <w:rsid w:val="67280488"/>
    <w:rsid w:val="677A33C6"/>
    <w:rsid w:val="681F6961"/>
    <w:rsid w:val="68610A2F"/>
    <w:rsid w:val="68805514"/>
    <w:rsid w:val="69316E2F"/>
    <w:rsid w:val="693D7F76"/>
    <w:rsid w:val="694A2693"/>
    <w:rsid w:val="694E2071"/>
    <w:rsid w:val="69766163"/>
    <w:rsid w:val="697A3B33"/>
    <w:rsid w:val="69C41D4A"/>
    <w:rsid w:val="69C714A6"/>
    <w:rsid w:val="69D44760"/>
    <w:rsid w:val="69D837FB"/>
    <w:rsid w:val="6A520EC7"/>
    <w:rsid w:val="6AAE4A11"/>
    <w:rsid w:val="6AD42215"/>
    <w:rsid w:val="6AF87E20"/>
    <w:rsid w:val="6AFB6BAE"/>
    <w:rsid w:val="6B2F1B41"/>
    <w:rsid w:val="6B322639"/>
    <w:rsid w:val="6BD3071E"/>
    <w:rsid w:val="6C0E2D74"/>
    <w:rsid w:val="6C16673B"/>
    <w:rsid w:val="6C636C38"/>
    <w:rsid w:val="6C6D7729"/>
    <w:rsid w:val="6D5B5DE0"/>
    <w:rsid w:val="6DB34098"/>
    <w:rsid w:val="6DB545B6"/>
    <w:rsid w:val="6DC04AA0"/>
    <w:rsid w:val="6DE02FB4"/>
    <w:rsid w:val="6E0D15DD"/>
    <w:rsid w:val="6E201C15"/>
    <w:rsid w:val="6E396833"/>
    <w:rsid w:val="6E3A0F28"/>
    <w:rsid w:val="6E514CED"/>
    <w:rsid w:val="6E5C6294"/>
    <w:rsid w:val="6E6E472E"/>
    <w:rsid w:val="6E8573C4"/>
    <w:rsid w:val="6E925223"/>
    <w:rsid w:val="6EB563D5"/>
    <w:rsid w:val="6ED92677"/>
    <w:rsid w:val="6F09795D"/>
    <w:rsid w:val="6F225983"/>
    <w:rsid w:val="6F667B40"/>
    <w:rsid w:val="6F773AB6"/>
    <w:rsid w:val="6F943FCD"/>
    <w:rsid w:val="6FC373A7"/>
    <w:rsid w:val="6FE23FEA"/>
    <w:rsid w:val="6FFC5590"/>
    <w:rsid w:val="706D1DD0"/>
    <w:rsid w:val="70856B87"/>
    <w:rsid w:val="70D527EE"/>
    <w:rsid w:val="711D50CE"/>
    <w:rsid w:val="71347EB1"/>
    <w:rsid w:val="715B5300"/>
    <w:rsid w:val="71CE6936"/>
    <w:rsid w:val="71D27F8A"/>
    <w:rsid w:val="71E673EC"/>
    <w:rsid w:val="72005E8A"/>
    <w:rsid w:val="72553024"/>
    <w:rsid w:val="73122968"/>
    <w:rsid w:val="731F5D5E"/>
    <w:rsid w:val="7327556D"/>
    <w:rsid w:val="7330754C"/>
    <w:rsid w:val="733C56F5"/>
    <w:rsid w:val="73510D4F"/>
    <w:rsid w:val="73C51AD5"/>
    <w:rsid w:val="741E793C"/>
    <w:rsid w:val="745E3944"/>
    <w:rsid w:val="74BD1DFB"/>
    <w:rsid w:val="74CA6328"/>
    <w:rsid w:val="74E5780E"/>
    <w:rsid w:val="75565FD4"/>
    <w:rsid w:val="756D3991"/>
    <w:rsid w:val="75734D20"/>
    <w:rsid w:val="75874AC7"/>
    <w:rsid w:val="758F34D1"/>
    <w:rsid w:val="75FA49E1"/>
    <w:rsid w:val="76035321"/>
    <w:rsid w:val="760C7F5C"/>
    <w:rsid w:val="76103D82"/>
    <w:rsid w:val="7635099D"/>
    <w:rsid w:val="76692551"/>
    <w:rsid w:val="76817274"/>
    <w:rsid w:val="76B51130"/>
    <w:rsid w:val="76D314FB"/>
    <w:rsid w:val="774A2EC6"/>
    <w:rsid w:val="77762421"/>
    <w:rsid w:val="77784870"/>
    <w:rsid w:val="77A13DC6"/>
    <w:rsid w:val="77B56B1F"/>
    <w:rsid w:val="7800124E"/>
    <w:rsid w:val="780F09F4"/>
    <w:rsid w:val="781E5FEF"/>
    <w:rsid w:val="782879DF"/>
    <w:rsid w:val="783201C2"/>
    <w:rsid w:val="788D545E"/>
    <w:rsid w:val="78A90480"/>
    <w:rsid w:val="790E0FE8"/>
    <w:rsid w:val="794078D5"/>
    <w:rsid w:val="795D59E2"/>
    <w:rsid w:val="799D398C"/>
    <w:rsid w:val="79B31D1F"/>
    <w:rsid w:val="79DA6FF7"/>
    <w:rsid w:val="79E44DB0"/>
    <w:rsid w:val="79EA3324"/>
    <w:rsid w:val="7A000410"/>
    <w:rsid w:val="7A364017"/>
    <w:rsid w:val="7A715CD2"/>
    <w:rsid w:val="7A7C11F4"/>
    <w:rsid w:val="7A8265E1"/>
    <w:rsid w:val="7ADC47BA"/>
    <w:rsid w:val="7AF835B5"/>
    <w:rsid w:val="7AFB1E56"/>
    <w:rsid w:val="7B1D19B6"/>
    <w:rsid w:val="7B421C94"/>
    <w:rsid w:val="7B686D42"/>
    <w:rsid w:val="7B841746"/>
    <w:rsid w:val="7BD4109C"/>
    <w:rsid w:val="7BD908D0"/>
    <w:rsid w:val="7C0B3F04"/>
    <w:rsid w:val="7C26641A"/>
    <w:rsid w:val="7C340692"/>
    <w:rsid w:val="7C6C5AC7"/>
    <w:rsid w:val="7CC6544B"/>
    <w:rsid w:val="7D0239FF"/>
    <w:rsid w:val="7D3A7A00"/>
    <w:rsid w:val="7D5E40CD"/>
    <w:rsid w:val="7D6A32F1"/>
    <w:rsid w:val="7DCD56F2"/>
    <w:rsid w:val="7E074257"/>
    <w:rsid w:val="7EA822E9"/>
    <w:rsid w:val="7ED52C41"/>
    <w:rsid w:val="7F001CE7"/>
    <w:rsid w:val="7F765B3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opacity="0f"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ocked="1"/>
    <w:lsdException w:qFormat="1" w:uiPriority="0" w:semiHidden="0" w:name="Body Text 2"/>
    <w:lsdException w:unhideWhenUsed="0" w:uiPriority="0" w:semiHidden="0" w:name="Body Text 3" w:locked="1"/>
    <w:lsdException w:unhideWhenUsed="0" w:uiPriority="0" w:semiHidden="0" w:name="Body Text Indent 2"/>
    <w:lsdException w:unhideWhenUsed="0" w:uiPriority="0" w:semiHidden="0" w:name="Body Text Indent 3"/>
    <w:lsdException w:unhideWhenUsed="0" w:uiPriority="0" w:semiHidden="0" w:name="Block Text" w:locked="1"/>
    <w:lsdException w:qFormat="1"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44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9"/>
    <w:qFormat/>
    <w:locked/>
    <w:uiPriority w:val="99"/>
    <w:pPr>
      <w:keepNext/>
      <w:overflowPunct w:val="0"/>
      <w:snapToGrid/>
      <w:spacing w:line="360" w:lineRule="auto"/>
      <w:ind w:left="0" w:firstLine="0" w:firstLineChars="0"/>
      <w:jc w:val="center"/>
      <w:outlineLvl w:val="0"/>
    </w:pPr>
    <w:rPr>
      <w:rFonts w:eastAsia="黑体"/>
      <w:b/>
      <w:bCs/>
      <w:color w:val="000000"/>
      <w:kern w:val="44"/>
      <w:sz w:val="30"/>
      <w:szCs w:val="30"/>
    </w:rPr>
  </w:style>
  <w:style w:type="paragraph" w:styleId="4">
    <w:name w:val="heading 2"/>
    <w:basedOn w:val="1"/>
    <w:next w:val="1"/>
    <w:qFormat/>
    <w:locked/>
    <w:uiPriority w:val="0"/>
    <w:pPr>
      <w:keepNext/>
      <w:keepLines/>
      <w:outlineLvl w:val="1"/>
    </w:pPr>
    <w:rPr>
      <w:rFonts w:ascii="Arial" w:hAnsi="Arial" w:eastAsia="黑体"/>
      <w:b/>
      <w:bCs/>
      <w:sz w:val="28"/>
      <w:szCs w:val="32"/>
    </w:rPr>
  </w:style>
  <w:style w:type="paragraph" w:styleId="5">
    <w:name w:val="heading 3"/>
    <w:basedOn w:val="1"/>
    <w:next w:val="1"/>
    <w:qFormat/>
    <w:locked/>
    <w:uiPriority w:val="0"/>
    <w:pPr>
      <w:keepNext/>
      <w:keepLines/>
      <w:adjustRightInd w:val="0"/>
      <w:spacing w:line="348" w:lineRule="auto"/>
      <w:textAlignment w:val="baseline"/>
      <w:outlineLvl w:val="2"/>
    </w:pPr>
    <w:rPr>
      <w:kern w:val="0"/>
      <w:sz w:val="28"/>
    </w:rPr>
  </w:style>
  <w:style w:type="paragraph" w:styleId="2">
    <w:name w:val="heading 4"/>
    <w:basedOn w:val="1"/>
    <w:next w:val="1"/>
    <w:link w:val="28"/>
    <w:qFormat/>
    <w:locked/>
    <w:uiPriority w:val="0"/>
    <w:pPr>
      <w:keepNext/>
      <w:keepLines/>
      <w:spacing w:before="280" w:after="290" w:line="372" w:lineRule="auto"/>
      <w:outlineLvl w:val="3"/>
    </w:pPr>
    <w:rPr>
      <w:rFonts w:ascii="Arial" w:hAnsi="Arial" w:eastAsia="黑体"/>
      <w:b/>
      <w:bCs/>
      <w:sz w:val="28"/>
      <w:szCs w:val="28"/>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annotation text"/>
    <w:basedOn w:val="1"/>
    <w:semiHidden/>
    <w:qFormat/>
    <w:uiPriority w:val="0"/>
    <w:pPr>
      <w:jc w:val="left"/>
    </w:pPr>
  </w:style>
  <w:style w:type="paragraph" w:styleId="7">
    <w:name w:val="Salutation"/>
    <w:basedOn w:val="1"/>
    <w:next w:val="1"/>
    <w:unhideWhenUsed/>
    <w:qFormat/>
    <w:uiPriority w:val="99"/>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styleId="9">
    <w:name w:val="List Bullet 5"/>
    <w:basedOn w:val="1"/>
    <w:qFormat/>
    <w:uiPriority w:val="0"/>
    <w:pPr>
      <w:numPr>
        <w:ilvl w:val="0"/>
        <w:numId w:val="1"/>
      </w:numPr>
    </w:pPr>
  </w:style>
  <w:style w:type="paragraph" w:styleId="10">
    <w:name w:val="Plain Text"/>
    <w:basedOn w:val="1"/>
    <w:next w:val="7"/>
    <w:qFormat/>
    <w:uiPriority w:val="0"/>
    <w:rPr>
      <w:rFonts w:ascii="宋体" w:hAnsi="Courier New"/>
    </w:rPr>
  </w:style>
  <w:style w:type="paragraph" w:styleId="11">
    <w:name w:val="Subtitle"/>
    <w:basedOn w:val="1"/>
    <w:qFormat/>
    <w:locked/>
    <w:uiPriority w:val="0"/>
    <w:pPr>
      <w:widowControl/>
      <w:ind w:left="1080" w:hanging="1080"/>
    </w:pPr>
    <w:rPr>
      <w:rFonts w:ascii="宋体" w:hAnsi="Courier New" w:eastAsia="宋体" w:cs="Times New Roman"/>
      <w:kern w:val="2"/>
      <w:sz w:val="21"/>
      <w:szCs w:val="21"/>
    </w:rPr>
  </w:style>
  <w:style w:type="paragraph" w:styleId="12">
    <w:name w:val="List"/>
    <w:basedOn w:val="1"/>
    <w:qFormat/>
    <w:uiPriority w:val="0"/>
    <w:pPr>
      <w:spacing w:line="360" w:lineRule="exact"/>
      <w:jc w:val="center"/>
    </w:pPr>
    <w:rPr>
      <w:rFonts w:ascii="仿宋" w:hAnsi="Times New Roman" w:eastAsia="仿宋" w:cs="Times New Roman"/>
      <w:sz w:val="24"/>
      <w:szCs w:val="20"/>
    </w:rPr>
  </w:style>
  <w:style w:type="paragraph" w:styleId="13">
    <w:name w:val="Body Text 2"/>
    <w:basedOn w:val="1"/>
    <w:unhideWhenUsed/>
    <w:qFormat/>
    <w:uiPriority w:val="0"/>
    <w:rPr>
      <w:b/>
      <w:sz w:val="24"/>
      <w:szCs w:val="22"/>
    </w:rPr>
  </w:style>
  <w:style w:type="paragraph" w:styleId="14">
    <w:name w:val="HTML Preformatted"/>
    <w:basedOn w:val="1"/>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Title"/>
    <w:basedOn w:val="1"/>
    <w:next w:val="1"/>
    <w:qFormat/>
    <w:locked/>
    <w:uiPriority w:val="0"/>
    <w:pPr>
      <w:numPr>
        <w:ilvl w:val="4"/>
        <w:numId w:val="2"/>
      </w:numPr>
      <w:jc w:val="center"/>
      <w:outlineLvl w:val="4"/>
    </w:pPr>
    <w:rPr>
      <w:rFonts w:ascii="Cambria" w:hAnsi="Cambria" w:eastAsia="Times New Roman" w:cs="Times New Roman"/>
      <w:b/>
      <w:bCs/>
      <w:snapToGrid w:val="0"/>
      <w:sz w:val="24"/>
      <w:szCs w:val="32"/>
    </w:rPr>
  </w:style>
  <w:style w:type="paragraph" w:styleId="17">
    <w:name w:val="Body Text First Indent 2"/>
    <w:basedOn w:val="1"/>
    <w:next w:val="1"/>
    <w:qFormat/>
    <w:uiPriority w:val="0"/>
    <w:pPr>
      <w:spacing w:before="0" w:after="120" w:line="240" w:lineRule="auto"/>
      <w:ind w:left="200" w:leftChars="200" w:firstLine="420" w:firstLineChars="200"/>
      <w:jc w:val="both"/>
    </w:pPr>
    <w:rPr>
      <w:sz w:val="21"/>
      <w:szCs w:val="24"/>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locked/>
    <w:uiPriority w:val="0"/>
    <w:rPr>
      <w:b/>
    </w:rPr>
  </w:style>
  <w:style w:type="character" w:styleId="22">
    <w:name w:val="Hyperlink"/>
    <w:basedOn w:val="20"/>
    <w:qFormat/>
    <w:uiPriority w:val="0"/>
    <w:rPr>
      <w:color w:val="0000FF"/>
      <w:u w:val="single"/>
    </w:rPr>
  </w:style>
  <w:style w:type="paragraph" w:customStyle="1" w:styleId="23">
    <w:name w:val="Default"/>
    <w:basedOn w:val="24"/>
    <w:next w:val="25"/>
    <w:autoRedefine/>
    <w:qFormat/>
    <w:uiPriority w:val="0"/>
    <w:pPr>
      <w:autoSpaceDE w:val="0"/>
      <w:autoSpaceDN w:val="0"/>
      <w:adjustRightInd w:val="0"/>
    </w:pPr>
    <w:rPr>
      <w:rFonts w:ascii="宋体" w:hAnsi="Times New Roman" w:eastAsia="宋体"/>
      <w:color w:val="000000"/>
      <w:sz w:val="24"/>
      <w:szCs w:val="24"/>
    </w:rPr>
  </w:style>
  <w:style w:type="paragraph" w:customStyle="1" w:styleId="24">
    <w:name w:val="标题2"/>
    <w:basedOn w:val="4"/>
    <w:autoRedefine/>
    <w:qFormat/>
    <w:uiPriority w:val="0"/>
    <w:pPr>
      <w:numPr>
        <w:ilvl w:val="1"/>
        <w:numId w:val="3"/>
      </w:numPr>
      <w:spacing w:before="0" w:after="0" w:line="440" w:lineRule="exact"/>
    </w:pPr>
    <w:rPr>
      <w:kern w:val="0"/>
    </w:rPr>
  </w:style>
  <w:style w:type="paragraph" w:customStyle="1" w:styleId="25">
    <w:name w:val="样式35"/>
    <w:basedOn w:val="1"/>
    <w:autoRedefine/>
    <w:qFormat/>
    <w:uiPriority w:val="0"/>
    <w:pPr>
      <w:adjustRightInd w:val="0"/>
      <w:spacing w:line="312" w:lineRule="auto"/>
      <w:ind w:firstLine="567"/>
    </w:pPr>
    <w:rPr>
      <w:rFonts w:ascii="宋体"/>
      <w:kern w:val="0"/>
      <w:sz w:val="28"/>
    </w:rPr>
  </w:style>
  <w:style w:type="paragraph" w:customStyle="1" w:styleId="26">
    <w:name w:val="图表标题"/>
    <w:basedOn w:val="1"/>
    <w:next w:val="1"/>
    <w:qFormat/>
    <w:uiPriority w:val="0"/>
    <w:pPr>
      <w:autoSpaceDE w:val="0"/>
      <w:autoSpaceDN w:val="0"/>
      <w:adjustRightInd w:val="0"/>
      <w:snapToGrid w:val="0"/>
      <w:spacing w:line="240" w:lineRule="auto"/>
      <w:ind w:firstLine="0" w:firstLineChars="0"/>
      <w:jc w:val="center"/>
    </w:pPr>
    <w:rPr>
      <w:b/>
      <w:kern w:val="0"/>
      <w:sz w:val="21"/>
    </w:rPr>
  </w:style>
  <w:style w:type="paragraph" w:customStyle="1" w:styleId="27">
    <w:name w:val="表内文字"/>
    <w:basedOn w:val="1"/>
    <w:qFormat/>
    <w:uiPriority w:val="0"/>
    <w:pPr>
      <w:adjustRightInd w:val="0"/>
      <w:snapToGrid w:val="0"/>
      <w:spacing w:line="240" w:lineRule="auto"/>
      <w:ind w:firstLine="0" w:firstLineChars="0"/>
      <w:jc w:val="center"/>
    </w:pPr>
    <w:rPr>
      <w:rFonts w:hint="eastAsia"/>
      <w:sz w:val="21"/>
    </w:rPr>
  </w:style>
  <w:style w:type="character" w:customStyle="1" w:styleId="28">
    <w:name w:val="标题 4 Char"/>
    <w:link w:val="2"/>
    <w:qFormat/>
    <w:uiPriority w:val="0"/>
    <w:rPr>
      <w:rFonts w:ascii="Arial" w:hAnsi="Arial" w:eastAsia="黑体"/>
      <w:b/>
      <w:bCs/>
      <w:sz w:val="28"/>
      <w:szCs w:val="28"/>
    </w:rPr>
  </w:style>
  <w:style w:type="character" w:customStyle="1" w:styleId="29">
    <w:name w:val="标题 1 Char"/>
    <w:link w:val="3"/>
    <w:qFormat/>
    <w:uiPriority w:val="99"/>
    <w:rPr>
      <w:rFonts w:eastAsia="黑体"/>
      <w:b/>
      <w:bCs/>
      <w:color w:val="000000"/>
      <w:kern w:val="44"/>
      <w:sz w:val="30"/>
      <w:szCs w:val="30"/>
    </w:rPr>
  </w:style>
  <w:style w:type="paragraph" w:customStyle="1" w:styleId="30">
    <w:name w:val="表标题"/>
    <w:basedOn w:val="1"/>
    <w:autoRedefine/>
    <w:qFormat/>
    <w:uiPriority w:val="0"/>
    <w:pPr>
      <w:spacing w:line="360" w:lineRule="auto"/>
      <w:jc w:val="center"/>
    </w:pPr>
    <w:rPr>
      <w:b/>
      <w:bCs/>
      <w:szCs w:val="22"/>
    </w:rPr>
  </w:style>
  <w:style w:type="paragraph" w:customStyle="1" w:styleId="31">
    <w:name w:val="Table Paragraph"/>
    <w:basedOn w:val="1"/>
    <w:autoRedefine/>
    <w:qFormat/>
    <w:uiPriority w:val="1"/>
    <w:pPr>
      <w:spacing w:before="105"/>
      <w:ind w:left="219"/>
    </w:pPr>
    <w:rPr>
      <w:rFonts w:ascii="宋体" w:hAnsi="宋体" w:eastAsia="宋体" w:cs="宋体"/>
      <w:lang w:val="zh-CN" w:eastAsia="zh-CN" w:bidi="zh-CN"/>
    </w:rPr>
  </w:style>
  <w:style w:type="paragraph" w:customStyle="1" w:styleId="32">
    <w:name w:val="表格CAT"/>
    <w:basedOn w:val="33"/>
    <w:qFormat/>
    <w:uiPriority w:val="99"/>
    <w:pPr>
      <w:widowControl/>
      <w:tabs>
        <w:tab w:val="left" w:pos="560"/>
      </w:tabs>
      <w:spacing w:line="240" w:lineRule="auto"/>
      <w:ind w:firstLine="0" w:firstLineChars="0"/>
      <w:jc w:val="center"/>
    </w:pPr>
  </w:style>
  <w:style w:type="paragraph" w:customStyle="1" w:styleId="33">
    <w:name w:val="表格文字-表外"/>
    <w:basedOn w:val="1"/>
    <w:unhideWhenUsed/>
    <w:qFormat/>
    <w:uiPriority w:val="0"/>
    <w:pPr>
      <w:snapToGrid w:val="0"/>
      <w:spacing w:beforeLines="0" w:afterLines="0"/>
      <w:jc w:val="center"/>
    </w:pPr>
    <w:rPr>
      <w:rFonts w:hint="default" w:ascii="Times New Roman" w:hAnsi="Times New Roman" w:eastAsia="Times New Roman"/>
    </w:rPr>
  </w:style>
  <w:style w:type="paragraph" w:customStyle="1" w:styleId="34">
    <w:name w:val="！正文"/>
    <w:basedOn w:val="1"/>
    <w:autoRedefine/>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35">
    <w:name w:val="表格标题"/>
    <w:basedOn w:val="10"/>
    <w:next w:val="36"/>
    <w:autoRedefine/>
    <w:qFormat/>
    <w:uiPriority w:val="0"/>
    <w:pPr>
      <w:ind w:firstLine="0" w:firstLineChars="0"/>
      <w:jc w:val="center"/>
    </w:pPr>
    <w:rPr>
      <w:b/>
      <w:sz w:val="21"/>
    </w:rPr>
  </w:style>
  <w:style w:type="paragraph" w:customStyle="1" w:styleId="36">
    <w:name w:val="表格内容"/>
    <w:basedOn w:val="35"/>
    <w:next w:val="1"/>
    <w:autoRedefine/>
    <w:qFormat/>
    <w:uiPriority w:val="0"/>
    <w:pPr>
      <w:overflowPunct w:val="0"/>
      <w:spacing w:before="40" w:after="60" w:line="200" w:lineRule="atLeast"/>
      <w:textAlignment w:val="baseline"/>
    </w:pPr>
    <w:rPr>
      <w:rFonts w:ascii="Arial" w:hAnsi="Arial" w:eastAsia="仿宋"/>
      <w:sz w:val="24"/>
    </w:rPr>
  </w:style>
  <w:style w:type="paragraph" w:customStyle="1" w:styleId="37">
    <w:name w:val="表格"/>
    <w:basedOn w:val="38"/>
    <w:autoRedefine/>
    <w:qFormat/>
    <w:uiPriority w:val="0"/>
    <w:pPr>
      <w:adjustRightInd w:val="0"/>
      <w:snapToGrid w:val="0"/>
      <w:spacing w:beforeLines="21" w:afterLines="21" w:line="259" w:lineRule="auto"/>
      <w:jc w:val="center"/>
    </w:pPr>
    <w:rPr>
      <w:rFonts w:ascii="宋体"/>
      <w:color w:val="auto"/>
      <w:kern w:val="0"/>
      <w:sz w:val="21"/>
      <w:szCs w:val="20"/>
    </w:rPr>
  </w:style>
  <w:style w:type="paragraph" w:customStyle="1" w:styleId="38">
    <w:name w:val="表格式"/>
    <w:basedOn w:val="12"/>
    <w:autoRedefine/>
    <w:qFormat/>
    <w:uiPriority w:val="0"/>
    <w:pPr>
      <w:spacing w:before="156" w:beforeLines="50" w:after="156" w:afterLines="50" w:line="240" w:lineRule="exact"/>
      <w:jc w:val="center"/>
    </w:pPr>
    <w:rPr>
      <w:rFonts w:ascii="Times New Roman" w:hAnsi="Times New Roman" w:eastAsia="宋体" w:cs="Times New Roman"/>
      <w:color w:val="000000"/>
      <w:szCs w:val="21"/>
    </w:rPr>
  </w:style>
  <w:style w:type="paragraph" w:customStyle="1" w:styleId="39">
    <w:name w:val="正文－1.5行距－段后6磅"/>
    <w:basedOn w:val="1"/>
    <w:autoRedefine/>
    <w:qFormat/>
    <w:uiPriority w:val="0"/>
    <w:pPr>
      <w:spacing w:after="120" w:line="360" w:lineRule="auto"/>
      <w:ind w:firstLine="200" w:firstLineChars="200"/>
    </w:pPr>
    <w:rPr>
      <w:rFonts w:ascii="Calibri" w:hAnsi="Calibri"/>
      <w:sz w:val="24"/>
      <w:szCs w:val="21"/>
    </w:rPr>
  </w:style>
  <w:style w:type="paragraph" w:customStyle="1" w:styleId="40">
    <w:name w:val="Char Char Char Char Char Char Char Char Char Char Char Char Char Char Char Char Char"/>
    <w:basedOn w:val="1"/>
    <w:qFormat/>
    <w:uiPriority w:val="0"/>
    <w:rPr>
      <w:szCs w:val="20"/>
    </w:rPr>
  </w:style>
  <w:style w:type="paragraph" w:customStyle="1" w:styleId="41">
    <w:name w:val="(a表格标题"/>
    <w:basedOn w:val="1"/>
    <w:qFormat/>
    <w:uiPriority w:val="0"/>
    <w:pPr>
      <w:spacing w:line="400" w:lineRule="exact"/>
      <w:jc w:val="center"/>
    </w:pPr>
    <w:rPr>
      <w:rFonts w:ascii="Times New Roman" w:hAnsi="Times New Roman" w:eastAsia="黑体" w:cs="Times New Roman"/>
      <w:sz w:val="24"/>
      <w:szCs w:val="24"/>
    </w:rPr>
  </w:style>
  <w:style w:type="paragraph" w:customStyle="1" w:styleId="42">
    <w:name w:val="表2"/>
    <w:basedOn w:val="1"/>
    <w:qFormat/>
    <w:uiPriority w:val="0"/>
    <w:pPr>
      <w:spacing w:line="240" w:lineRule="auto"/>
      <w:ind w:firstLine="0" w:firstLineChars="0"/>
      <w:jc w:val="center"/>
    </w:pPr>
    <w:rPr>
      <w:rFonts w:ascii="Times New Roman" w:hAnsi="Times New Roman"/>
      <w:sz w:val="21"/>
    </w:rPr>
  </w:style>
  <w:style w:type="paragraph" w:customStyle="1" w:styleId="43">
    <w:name w:val="1正文段落"/>
    <w:basedOn w:val="1"/>
    <w:autoRedefine/>
    <w:qFormat/>
    <w:uiPriority w:val="0"/>
    <w:pPr>
      <w:adjustRightInd w:val="0"/>
      <w:snapToGrid w:val="0"/>
      <w:spacing w:line="360" w:lineRule="auto"/>
      <w:ind w:firstLine="480" w:firstLineChars="200"/>
      <w:jc w:val="left"/>
    </w:pPr>
    <w:rPr>
      <w:snapToGrid w:val="0"/>
      <w:kern w:val="0"/>
      <w:sz w:val="24"/>
    </w:rPr>
  </w:style>
  <w:style w:type="table" w:customStyle="1" w:styleId="44">
    <w:name w:val="MFS表格"/>
    <w:basedOn w:val="18"/>
    <w:qFormat/>
    <w:uiPriority w:val="0"/>
    <w:pPr>
      <w:widowControl w:val="0"/>
      <w:snapToGrid w:val="0"/>
      <w:jc w:val="center"/>
    </w:pPr>
    <w:rPr>
      <w:sz w:val="18"/>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tcPr>
        <w:tcBorders>
          <w:left w:val="single" w:color="008000" w:sz="6" w:space="0"/>
          <w:tl2br w:val="nil"/>
          <w:tr2bl w:val="nil"/>
        </w:tcBorders>
      </w:tcPr>
    </w:tblStylePr>
    <w:tblStylePr w:type="lastRow">
      <w:tcPr>
        <w:tcBorders>
          <w:top w:val="single" w:color="008000" w:sz="6" w:space="0"/>
          <w:tl2br w:val="nil"/>
          <w:tr2bl w:val="nil"/>
        </w:tcBorders>
      </w:tcPr>
    </w:tblStylePr>
  </w:style>
  <w:style w:type="paragraph" w:customStyle="1" w:styleId="45">
    <w:name w:val="表格文本 五号 居中 单倍行距"/>
    <w:basedOn w:val="1"/>
    <w:qFormat/>
    <w:uiPriority w:val="0"/>
    <w:pPr>
      <w:keepNext/>
      <w:adjustRightInd w:val="0"/>
      <w:snapToGrid w:val="0"/>
      <w:jc w:val="center"/>
      <w:textAlignment w:val="baseline"/>
    </w:pPr>
    <w:rPr>
      <w:rFonts w:cs="宋体"/>
      <w:sz w:val="18"/>
      <w:szCs w:val="18"/>
    </w:rPr>
  </w:style>
  <w:style w:type="paragraph" w:customStyle="1" w:styleId="46">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47">
    <w:name w:val="图表标注"/>
    <w:basedOn w:val="1"/>
    <w:qFormat/>
    <w:uiPriority w:val="0"/>
    <w:pPr>
      <w:spacing w:line="480" w:lineRule="exact"/>
      <w:jc w:val="center"/>
    </w:pPr>
    <w:rPr>
      <w:rFonts w:eastAsia="黑体"/>
      <w:sz w:val="24"/>
      <w:szCs w:val="20"/>
    </w:rPr>
  </w:style>
  <w:style w:type="character" w:customStyle="1" w:styleId="48">
    <w:name w:val="font11"/>
    <w:basedOn w:val="20"/>
    <w:qFormat/>
    <w:uiPriority w:val="0"/>
    <w:rPr>
      <w:rFonts w:hint="eastAsia" w:ascii="宋体" w:hAnsi="宋体" w:eastAsia="宋体" w:cs="宋体"/>
      <w:b/>
      <w:bCs/>
      <w:color w:val="000000"/>
      <w:sz w:val="20"/>
      <w:szCs w:val="20"/>
      <w:u w:val="none"/>
    </w:rPr>
  </w:style>
  <w:style w:type="character" w:customStyle="1" w:styleId="49">
    <w:name w:val="font21"/>
    <w:basedOn w:val="20"/>
    <w:qFormat/>
    <w:uiPriority w:val="0"/>
    <w:rPr>
      <w:rFonts w:hint="eastAsia" w:ascii="宋体" w:hAnsi="宋体" w:eastAsia="宋体" w:cs="宋体"/>
      <w:b/>
      <w:bCs/>
      <w:color w:val="000000"/>
      <w:sz w:val="20"/>
      <w:szCs w:val="20"/>
      <w:u w:val="none"/>
      <w:vertAlign w:val="subscript"/>
    </w:rPr>
  </w:style>
  <w:style w:type="paragraph" w:customStyle="1" w:styleId="50">
    <w:name w:val="A正文"/>
    <w:basedOn w:val="1"/>
    <w:qFormat/>
    <w:uiPriority w:val="0"/>
    <w:pPr>
      <w:spacing w:line="360" w:lineRule="auto"/>
      <w:ind w:firstLine="480" w:firstLineChars="200"/>
    </w:pPr>
    <w:rPr>
      <w:kern w:val="0"/>
      <w:sz w:val="24"/>
    </w:rPr>
  </w:style>
  <w:style w:type="paragraph" w:customStyle="1" w:styleId="51">
    <w:name w:val="报告表三级标题"/>
    <w:basedOn w:val="52"/>
    <w:next w:val="1"/>
    <w:qFormat/>
    <w:uiPriority w:val="0"/>
    <w:pPr>
      <w:spacing w:before="0" w:beforeLines="0" w:after="0" w:afterLines="0" w:line="360" w:lineRule="auto"/>
    </w:pPr>
    <w:rPr>
      <w:b/>
      <w:sz w:val="28"/>
    </w:rPr>
  </w:style>
  <w:style w:type="paragraph" w:customStyle="1" w:styleId="52">
    <w:name w:val="报告表二级标题"/>
    <w:basedOn w:val="53"/>
    <w:next w:val="54"/>
    <w:qFormat/>
    <w:uiPriority w:val="0"/>
    <w:pPr>
      <w:spacing w:before="156" w:beforeLines="50"/>
    </w:pPr>
    <w:rPr>
      <w:rFonts w:eastAsia="宋体"/>
      <w:kern w:val="0"/>
      <w:sz w:val="30"/>
    </w:rPr>
  </w:style>
  <w:style w:type="paragraph" w:customStyle="1" w:styleId="53">
    <w:name w:val="报告表一级标题"/>
    <w:basedOn w:val="1"/>
    <w:next w:val="54"/>
    <w:qFormat/>
    <w:uiPriority w:val="0"/>
    <w:pPr>
      <w:spacing w:after="156" w:afterLines="50" w:line="240" w:lineRule="auto"/>
      <w:jc w:val="left"/>
      <w:outlineLvl w:val="0"/>
    </w:pPr>
    <w:rPr>
      <w:rFonts w:eastAsia="黑体"/>
      <w:sz w:val="32"/>
    </w:rPr>
  </w:style>
  <w:style w:type="paragraph" w:customStyle="1" w:styleId="54">
    <w:name w:val="报告表正文"/>
    <w:basedOn w:val="1"/>
    <w:qFormat/>
    <w:uiPriority w:val="0"/>
    <w:pPr>
      <w:ind w:firstLine="640" w:firstLineChars="200"/>
    </w:pPr>
  </w:style>
  <w:style w:type="paragraph" w:customStyle="1" w:styleId="55">
    <w:name w:val="表头"/>
    <w:basedOn w:val="1"/>
    <w:unhideWhenUsed/>
    <w:qFormat/>
    <w:uiPriority w:val="0"/>
    <w:pPr>
      <w:spacing w:line="240" w:lineRule="auto"/>
      <w:ind w:firstLine="0" w:firstLineChars="0"/>
      <w:jc w:val="center"/>
    </w:pPr>
    <w:rPr>
      <w:b/>
      <w:kern w:val="0"/>
      <w:sz w:val="21"/>
      <w:szCs w:val="21"/>
    </w:rPr>
  </w:style>
  <w:style w:type="paragraph" w:customStyle="1" w:styleId="56">
    <w:name w:val="表内最终版"/>
    <w:basedOn w:val="57"/>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57">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58">
    <w:name w:val="表格内文字"/>
    <w:basedOn w:val="1"/>
    <w:autoRedefine/>
    <w:qFormat/>
    <w:uiPriority w:val="0"/>
    <w:pPr>
      <w:adjustRightInd w:val="0"/>
      <w:snapToGrid w:val="0"/>
      <w:spacing w:line="240" w:lineRule="auto"/>
      <w:ind w:firstLine="0" w:firstLineChars="0"/>
      <w:jc w:val="center"/>
    </w:pPr>
    <w:rPr>
      <w:color w:val="000000"/>
      <w:sz w:val="21"/>
    </w:rPr>
  </w:style>
  <w:style w:type="paragraph" w:customStyle="1" w:styleId="5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oleObject" Target="embeddings/oleObject6.bin"/><Relationship Id="rId23" Type="http://schemas.openxmlformats.org/officeDocument/2006/relationships/image" Target="media/image10.png"/><Relationship Id="rId22" Type="http://schemas.openxmlformats.org/officeDocument/2006/relationships/oleObject" Target="embeddings/oleObject5.bin"/><Relationship Id="rId21" Type="http://schemas.openxmlformats.org/officeDocument/2006/relationships/image" Target="media/image9.png"/><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3.bin"/><Relationship Id="rId17" Type="http://schemas.openxmlformats.org/officeDocument/2006/relationships/image" Target="media/image7.png"/><Relationship Id="rId16" Type="http://schemas.openxmlformats.org/officeDocument/2006/relationships/oleObject" Target="embeddings/oleObject2.bin"/><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91</Pages>
  <Words>13790</Words>
  <Characters>14393</Characters>
  <Lines>1</Lines>
  <Paragraphs>1</Paragraphs>
  <TotalTime>2</TotalTime>
  <ScaleCrop>false</ScaleCrop>
  <LinksUpToDate>false</LinksUpToDate>
  <CharactersWithSpaces>14411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AA日益广告</cp:lastModifiedBy>
  <cp:lastPrinted>2023-07-19T13:24:00Z</cp:lastPrinted>
  <dcterms:modified xsi:type="dcterms:W3CDTF">2025-11-21T05:49:52Z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346EC70C22E34800827975AFC51C9614_13</vt:lpwstr>
  </property>
  <property fmtid="{D5CDD505-2E9C-101B-9397-08002B2CF9AE}" pid="4" name="KSOTemplateDocerSaveRecord">
    <vt:lpwstr>eyJoZGlkIjoiOGYxZDI1NTVmZDkyYjQyM2FlYmUwNzMzZTUxYzZiYWIiLCJ1c2VySWQiOiI1ODA0NDU3MzQifQ==</vt:lpwstr>
  </property>
</Properties>
</file>