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2B8CE7">
      <w:pPr>
        <w:rPr>
          <w:rFonts w:hint="eastAsia" w:ascii="Times New Roman" w:hAnsi="Times New Roman" w:eastAsia="仿宋_GB2312"/>
          <w:color w:val="auto"/>
          <w:sz w:val="36"/>
          <w:szCs w:val="36"/>
          <w:lang w:val="en-US" w:eastAsia="zh-CN"/>
        </w:rPr>
      </w:pPr>
      <w:bookmarkStart w:id="0" w:name="_Hlk57883707"/>
    </w:p>
    <w:p w14:paraId="545DC1C5">
      <w:pPr>
        <w:pStyle w:val="28"/>
        <w:rPr>
          <w:rFonts w:hint="eastAsia"/>
          <w:color w:val="auto"/>
        </w:rPr>
      </w:pPr>
    </w:p>
    <w:p w14:paraId="4FE9F202">
      <w:pPr>
        <w:pStyle w:val="28"/>
        <w:rPr>
          <w:rFonts w:hint="eastAsia"/>
          <w:color w:val="auto"/>
        </w:rPr>
      </w:pPr>
    </w:p>
    <w:p w14:paraId="62FA30FD">
      <w:pPr>
        <w:pStyle w:val="28"/>
        <w:rPr>
          <w:rFonts w:hint="eastAsia"/>
          <w:color w:val="auto"/>
        </w:rPr>
      </w:pPr>
    </w:p>
    <w:p w14:paraId="2D1BC8E7">
      <w:pPr>
        <w:pStyle w:val="28"/>
        <w:rPr>
          <w:color w:val="auto"/>
        </w:rPr>
      </w:pPr>
    </w:p>
    <w:p w14:paraId="4C6C85CD">
      <w:pPr>
        <w:rPr>
          <w:rFonts w:ascii="Times New Roman" w:hAnsi="Times New Roman" w:eastAsia="仿宋_GB2312"/>
          <w:color w:val="auto"/>
          <w:sz w:val="36"/>
          <w:szCs w:val="36"/>
        </w:rPr>
      </w:pPr>
    </w:p>
    <w:bookmarkEnd w:id="0"/>
    <w:p w14:paraId="28552C49">
      <w:pPr>
        <w:adjustRightInd w:val="0"/>
        <w:snapToGrid w:val="0"/>
        <w:jc w:val="center"/>
        <w:outlineLvl w:val="0"/>
        <w:rPr>
          <w:rFonts w:ascii="Times New Roman" w:hAnsi="Times New Roman"/>
          <w:bCs/>
          <w:color w:val="auto"/>
          <w:sz w:val="72"/>
          <w:szCs w:val="72"/>
        </w:rPr>
      </w:pPr>
      <w:bookmarkStart w:id="1" w:name="_Toc8351"/>
      <w:r>
        <w:rPr>
          <w:rFonts w:ascii="Times New Roman" w:hAnsi="宋体"/>
          <w:bCs/>
          <w:color w:val="auto"/>
          <w:sz w:val="72"/>
          <w:szCs w:val="72"/>
        </w:rPr>
        <w:t>建设项目环境影响报告表</w:t>
      </w:r>
      <w:bookmarkEnd w:id="1"/>
    </w:p>
    <w:p w14:paraId="7D9F4401">
      <w:pPr>
        <w:adjustRightInd w:val="0"/>
        <w:snapToGrid w:val="0"/>
        <w:spacing w:before="192" w:beforeLines="80"/>
        <w:jc w:val="center"/>
        <w:rPr>
          <w:rFonts w:ascii="Times New Roman" w:hAnsi="Times New Roman"/>
          <w:bCs/>
          <w:color w:val="auto"/>
          <w:sz w:val="48"/>
          <w:szCs w:val="48"/>
        </w:rPr>
      </w:pPr>
      <w:r>
        <w:rPr>
          <w:rFonts w:ascii="Times New Roman" w:hAnsi="宋体"/>
          <w:bCs/>
          <w:color w:val="auto"/>
          <w:sz w:val="48"/>
          <w:szCs w:val="48"/>
        </w:rPr>
        <w:t>（生态影响类）</w:t>
      </w:r>
    </w:p>
    <w:p w14:paraId="71BEEFCD">
      <w:pPr>
        <w:bidi w:val="0"/>
        <w:jc w:val="center"/>
        <w:rPr>
          <w:color w:val="auto"/>
        </w:rPr>
      </w:pPr>
      <w:bookmarkStart w:id="2" w:name="_Hlk57883728"/>
    </w:p>
    <w:p w14:paraId="032F05F7">
      <w:pPr>
        <w:jc w:val="center"/>
        <w:rPr>
          <w:rFonts w:ascii="Times New Roman" w:hAnsi="Times New Roman" w:eastAsia="仿宋"/>
          <w:color w:val="auto"/>
          <w:sz w:val="52"/>
          <w:szCs w:val="52"/>
        </w:rPr>
      </w:pPr>
    </w:p>
    <w:p w14:paraId="5AC0E0A3">
      <w:pPr>
        <w:ind w:firstLine="1040"/>
        <w:rPr>
          <w:rFonts w:ascii="Times New Roman" w:hAnsi="Times New Roman" w:eastAsia="仿宋"/>
          <w:color w:val="auto"/>
          <w:sz w:val="44"/>
          <w:szCs w:val="44"/>
        </w:rPr>
      </w:pPr>
    </w:p>
    <w:p w14:paraId="7A770A85">
      <w:pPr>
        <w:ind w:firstLine="1040"/>
        <w:rPr>
          <w:rFonts w:ascii="Times New Roman" w:hAnsi="Times New Roman" w:eastAsia="仿宋"/>
          <w:color w:val="auto"/>
          <w:sz w:val="44"/>
          <w:szCs w:val="44"/>
        </w:rPr>
      </w:pPr>
    </w:p>
    <w:p w14:paraId="1638786D">
      <w:pPr>
        <w:ind w:firstLine="1040"/>
        <w:rPr>
          <w:rFonts w:ascii="Times New Roman" w:hAnsi="Times New Roman" w:eastAsia="仿宋"/>
          <w:color w:val="auto"/>
          <w:sz w:val="44"/>
          <w:szCs w:val="44"/>
        </w:rPr>
      </w:pPr>
    </w:p>
    <w:p w14:paraId="290B2CA3">
      <w:pPr>
        <w:ind w:firstLine="1040"/>
        <w:rPr>
          <w:rFonts w:ascii="Times New Roman" w:hAnsi="Times New Roman" w:eastAsia="仿宋"/>
          <w:color w:val="auto"/>
          <w:sz w:val="44"/>
          <w:szCs w:val="44"/>
        </w:rPr>
      </w:pPr>
    </w:p>
    <w:bookmarkEnd w:id="2"/>
    <w:p w14:paraId="1E2DC418">
      <w:pPr>
        <w:adjustRightInd w:val="0"/>
        <w:snapToGrid w:val="0"/>
        <w:spacing w:line="360" w:lineRule="auto"/>
        <w:rPr>
          <w:rFonts w:ascii="Times New Roman" w:hAnsi="Times New Roman"/>
          <w:color w:val="auto"/>
          <w:sz w:val="30"/>
          <w:szCs w:val="30"/>
          <w:u w:val="single"/>
        </w:rPr>
      </w:pPr>
      <w:r>
        <w:rPr>
          <w:rFonts w:ascii="Times New Roman" w:hAnsi="Times New Roman"/>
          <w:color w:val="auto"/>
          <w:sz w:val="30"/>
          <w:szCs w:val="30"/>
        </w:rPr>
        <w:t>项目名称：</w:t>
      </w:r>
      <w:bookmarkStart w:id="3" w:name="_Hlk35255316"/>
      <w:r>
        <w:rPr>
          <w:rFonts w:hint="eastAsia" w:ascii="Times New Roman" w:hAnsi="Times New Roman"/>
          <w:color w:val="auto"/>
          <w:sz w:val="30"/>
          <w:szCs w:val="30"/>
          <w:u w:val="single"/>
        </w:rPr>
        <w:t xml:space="preserve">  </w:t>
      </w:r>
      <w:r>
        <w:rPr>
          <w:rFonts w:hint="eastAsia" w:ascii="Times New Roman" w:hAnsi="Times New Roman"/>
          <w:color w:val="auto"/>
          <w:sz w:val="30"/>
          <w:szCs w:val="30"/>
          <w:u w:val="single"/>
          <w:lang w:val="en-US" w:eastAsia="zh-CN"/>
        </w:rPr>
        <w:t xml:space="preserve">       </w:t>
      </w:r>
      <w:r>
        <w:rPr>
          <w:rFonts w:hint="eastAsia" w:ascii="Times New Roman" w:hAnsi="Times New Roman"/>
          <w:color w:val="auto"/>
          <w:sz w:val="30"/>
          <w:szCs w:val="30"/>
          <w:u w:val="single"/>
        </w:rPr>
        <w:t>朱集西煤矿盾构机探查钻孔项</w:t>
      </w:r>
      <w:r>
        <w:rPr>
          <w:rFonts w:hint="eastAsia" w:ascii="Times New Roman" w:hAnsi="Times New Roman"/>
          <w:color w:val="auto"/>
          <w:sz w:val="30"/>
          <w:szCs w:val="30"/>
          <w:u w:val="single"/>
          <w:lang w:val="en-US" w:eastAsia="zh-CN"/>
        </w:rPr>
        <w:t xml:space="preserve">目       </w:t>
      </w:r>
      <w:r>
        <w:rPr>
          <w:rFonts w:hint="eastAsia" w:ascii="Times New Roman" w:hAnsi="Times New Roman"/>
          <w:color w:val="auto"/>
          <w:sz w:val="30"/>
          <w:szCs w:val="30"/>
          <w:u w:val="single"/>
        </w:rPr>
        <w:t xml:space="preserve">  </w:t>
      </w:r>
    </w:p>
    <w:bookmarkEnd w:id="3"/>
    <w:p w14:paraId="7C5A97C8">
      <w:pPr>
        <w:adjustRightInd w:val="0"/>
        <w:snapToGrid w:val="0"/>
        <w:spacing w:line="360" w:lineRule="auto"/>
        <w:rPr>
          <w:rFonts w:ascii="Times New Roman" w:hAnsi="Times New Roman"/>
          <w:color w:val="auto"/>
          <w:sz w:val="30"/>
          <w:szCs w:val="30"/>
          <w:u w:val="single"/>
        </w:rPr>
      </w:pPr>
      <w:r>
        <w:rPr>
          <w:rFonts w:ascii="Times New Roman" w:hAnsi="Times New Roman"/>
          <w:color w:val="auto"/>
          <w:sz w:val="30"/>
          <w:szCs w:val="30"/>
        </w:rPr>
        <w:t>建设单位（盖章）：</w:t>
      </w:r>
      <w:r>
        <w:rPr>
          <w:rFonts w:hint="eastAsia" w:ascii="Times New Roman" w:hAnsi="Times New Roman"/>
          <w:color w:val="auto"/>
          <w:sz w:val="30"/>
          <w:szCs w:val="30"/>
          <w:u w:val="single"/>
        </w:rPr>
        <w:t xml:space="preserve">  </w:t>
      </w:r>
      <w:r>
        <w:rPr>
          <w:rFonts w:hint="eastAsia" w:ascii="Times New Roman" w:hAnsi="Times New Roman"/>
          <w:color w:val="auto"/>
          <w:sz w:val="30"/>
          <w:szCs w:val="30"/>
          <w:u w:val="single"/>
          <w:lang w:val="en-US" w:eastAsia="zh-CN"/>
        </w:rPr>
        <w:t xml:space="preserve"> </w:t>
      </w:r>
      <w:r>
        <w:rPr>
          <w:rFonts w:ascii="Times New Roman" w:hAnsi="Times New Roman"/>
          <w:color w:val="auto"/>
          <w:sz w:val="30"/>
          <w:szCs w:val="30"/>
          <w:u w:val="single"/>
        </w:rPr>
        <w:t>中安联合煤化有限责任公司</w:t>
      </w:r>
      <w:r>
        <w:rPr>
          <w:rFonts w:hint="eastAsia" w:ascii="Times New Roman" w:hAnsi="Times New Roman"/>
          <w:color w:val="auto"/>
          <w:sz w:val="30"/>
          <w:szCs w:val="30"/>
          <w:u w:val="single"/>
        </w:rPr>
        <w:t xml:space="preserve">         </w:t>
      </w:r>
    </w:p>
    <w:p w14:paraId="082B2C24">
      <w:pPr>
        <w:adjustRightInd w:val="0"/>
        <w:snapToGrid w:val="0"/>
        <w:spacing w:line="360" w:lineRule="auto"/>
        <w:rPr>
          <w:rFonts w:ascii="Times New Roman" w:hAnsi="Times New Roman"/>
          <w:color w:val="auto"/>
          <w:sz w:val="30"/>
          <w:szCs w:val="30"/>
          <w:u w:val="single"/>
        </w:rPr>
      </w:pPr>
      <w:r>
        <w:rPr>
          <w:rFonts w:ascii="Times New Roman" w:hAnsi="Times New Roman"/>
          <w:color w:val="auto"/>
          <w:sz w:val="30"/>
          <w:szCs w:val="30"/>
        </w:rPr>
        <w:t>编制日期：</w:t>
      </w:r>
      <w:r>
        <w:rPr>
          <w:rFonts w:ascii="Times New Roman" w:hAnsi="Times New Roman"/>
          <w:color w:val="auto"/>
          <w:sz w:val="30"/>
          <w:szCs w:val="30"/>
          <w:u w:val="single"/>
        </w:rPr>
        <w:t xml:space="preserve"> </w:t>
      </w:r>
      <w:r>
        <w:rPr>
          <w:rFonts w:hint="eastAsia" w:ascii="Times New Roman" w:hAnsi="Times New Roman"/>
          <w:color w:val="auto"/>
          <w:sz w:val="30"/>
          <w:szCs w:val="30"/>
          <w:u w:val="single"/>
        </w:rPr>
        <w:t xml:space="preserve">                </w:t>
      </w:r>
      <w:r>
        <w:rPr>
          <w:rFonts w:ascii="Times New Roman" w:hAnsi="Times New Roman"/>
          <w:color w:val="auto"/>
          <w:sz w:val="30"/>
          <w:szCs w:val="30"/>
          <w:u w:val="single"/>
        </w:rPr>
        <w:t>202</w:t>
      </w:r>
      <w:r>
        <w:rPr>
          <w:rFonts w:hint="eastAsia" w:ascii="Times New Roman" w:hAnsi="Times New Roman"/>
          <w:color w:val="auto"/>
          <w:sz w:val="30"/>
          <w:szCs w:val="30"/>
          <w:u w:val="single"/>
          <w:lang w:val="en-US" w:eastAsia="zh-CN"/>
        </w:rPr>
        <w:t>5</w:t>
      </w:r>
      <w:r>
        <w:rPr>
          <w:rFonts w:ascii="Times New Roman" w:hAnsi="Times New Roman"/>
          <w:color w:val="auto"/>
          <w:sz w:val="30"/>
          <w:szCs w:val="30"/>
          <w:u w:val="single"/>
        </w:rPr>
        <w:t>年</w:t>
      </w:r>
      <w:r>
        <w:rPr>
          <w:rFonts w:hint="eastAsia" w:ascii="Times New Roman" w:hAnsi="Times New Roman"/>
          <w:color w:val="auto"/>
          <w:sz w:val="30"/>
          <w:szCs w:val="30"/>
          <w:u w:val="single"/>
          <w:lang w:val="en-US" w:eastAsia="zh-CN"/>
        </w:rPr>
        <w:t>11</w:t>
      </w:r>
      <w:r>
        <w:rPr>
          <w:rFonts w:ascii="Times New Roman" w:hAnsi="Times New Roman"/>
          <w:color w:val="auto"/>
          <w:sz w:val="30"/>
          <w:szCs w:val="30"/>
          <w:u w:val="single"/>
        </w:rPr>
        <w:t>月</w:t>
      </w:r>
      <w:r>
        <w:rPr>
          <w:rFonts w:hint="eastAsia" w:ascii="Times New Roman" w:hAnsi="Times New Roman"/>
          <w:color w:val="auto"/>
          <w:sz w:val="30"/>
          <w:szCs w:val="30"/>
          <w:u w:val="single"/>
        </w:rPr>
        <w:t xml:space="preserve">                </w:t>
      </w:r>
    </w:p>
    <w:p w14:paraId="36967608">
      <w:pPr>
        <w:adjustRightInd w:val="0"/>
        <w:snapToGrid w:val="0"/>
        <w:spacing w:line="288" w:lineRule="auto"/>
        <w:ind w:firstLine="1040"/>
        <w:rPr>
          <w:rFonts w:ascii="Times New Roman" w:hAnsi="Times New Roman" w:eastAsia="仿宋_GB2312"/>
          <w:color w:val="auto"/>
          <w:sz w:val="36"/>
          <w:szCs w:val="36"/>
          <w:u w:val="single"/>
        </w:rPr>
      </w:pPr>
    </w:p>
    <w:p w14:paraId="3BB8AA53">
      <w:pPr>
        <w:adjustRightInd w:val="0"/>
        <w:snapToGrid w:val="0"/>
        <w:spacing w:line="288" w:lineRule="auto"/>
        <w:ind w:firstLine="1040"/>
        <w:rPr>
          <w:rFonts w:ascii="Times New Roman" w:hAnsi="Times New Roman" w:eastAsia="仿宋_GB2312"/>
          <w:color w:val="auto"/>
          <w:sz w:val="36"/>
          <w:szCs w:val="36"/>
        </w:rPr>
      </w:pPr>
    </w:p>
    <w:p w14:paraId="70E2C2F6">
      <w:pPr>
        <w:adjustRightInd w:val="0"/>
        <w:snapToGrid w:val="0"/>
        <w:spacing w:line="288" w:lineRule="auto"/>
        <w:ind w:firstLine="1040"/>
        <w:rPr>
          <w:rFonts w:ascii="Times New Roman" w:hAnsi="Times New Roman" w:eastAsia="仿宋_GB2312"/>
          <w:color w:val="auto"/>
          <w:sz w:val="36"/>
          <w:szCs w:val="36"/>
        </w:rPr>
      </w:pPr>
    </w:p>
    <w:p w14:paraId="03A730E6">
      <w:pPr>
        <w:pStyle w:val="28"/>
        <w:rPr>
          <w:rFonts w:ascii="Times New Roman" w:hAnsi="Times New Roman"/>
          <w:color w:val="auto"/>
        </w:rPr>
      </w:pPr>
    </w:p>
    <w:p w14:paraId="471DA482">
      <w:pPr>
        <w:adjustRightInd w:val="0"/>
        <w:snapToGrid w:val="0"/>
        <w:spacing w:line="288" w:lineRule="auto"/>
        <w:jc w:val="center"/>
        <w:rPr>
          <w:rFonts w:ascii="Times New Roman" w:hAnsi="Times New Roman"/>
          <w:color w:val="auto"/>
          <w:sz w:val="36"/>
          <w:szCs w:val="36"/>
        </w:rPr>
      </w:pPr>
    </w:p>
    <w:p w14:paraId="4F731357">
      <w:pPr>
        <w:adjustRightInd w:val="0"/>
        <w:snapToGrid w:val="0"/>
        <w:spacing w:line="288" w:lineRule="auto"/>
        <w:jc w:val="center"/>
        <w:rPr>
          <w:rFonts w:ascii="Times New Roman" w:hAnsi="Times New Roman"/>
          <w:color w:val="auto"/>
          <w:sz w:val="36"/>
          <w:szCs w:val="36"/>
        </w:rPr>
      </w:pPr>
    </w:p>
    <w:p w14:paraId="38D50AD1">
      <w:pPr>
        <w:adjustRightInd w:val="0"/>
        <w:snapToGrid w:val="0"/>
        <w:spacing w:line="288" w:lineRule="auto"/>
        <w:jc w:val="center"/>
        <w:rPr>
          <w:rFonts w:ascii="Times New Roman" w:hAnsi="Times New Roman"/>
          <w:color w:val="auto"/>
          <w:sz w:val="36"/>
          <w:szCs w:val="36"/>
        </w:rPr>
      </w:pPr>
      <w:r>
        <w:rPr>
          <w:rFonts w:ascii="Times New Roman" w:hAnsi="宋体"/>
          <w:color w:val="auto"/>
          <w:sz w:val="36"/>
          <w:szCs w:val="36"/>
        </w:rPr>
        <w:t>中华人民共和国生态环境部制</w:t>
      </w:r>
    </w:p>
    <w:p w14:paraId="0506D988">
      <w:pPr>
        <w:adjustRightInd w:val="0"/>
        <w:snapToGrid w:val="0"/>
        <w:spacing w:line="288" w:lineRule="auto"/>
        <w:ind w:firstLine="1040"/>
        <w:rPr>
          <w:rFonts w:ascii="Times New Roman" w:hAnsi="Times New Roman" w:eastAsia="仿宋_GB2312"/>
          <w:color w:val="auto"/>
          <w:sz w:val="36"/>
          <w:szCs w:val="36"/>
        </w:rPr>
        <w:sectPr>
          <w:footerReference r:id="rId3" w:type="default"/>
          <w:footerReference r:id="rId4" w:type="even"/>
          <w:pgSz w:w="11906" w:h="16838"/>
          <w:pgMar w:top="1701" w:right="1531" w:bottom="1701" w:left="1531" w:header="851" w:footer="1077" w:gutter="0"/>
          <w:cols w:space="720" w:num="1"/>
          <w:docGrid w:linePitch="312" w:charSpace="0"/>
        </w:sectPr>
      </w:pPr>
    </w:p>
    <w:sdt>
      <w:sdtP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id w:val="147479378"/>
        <w15:color w:val="DBDBDB"/>
        <w:docPartObj>
          <w:docPartGallery w:val="Table of Contents"/>
          <w:docPartUnique/>
        </w:docPartObj>
      </w:sdtPr>
      <w:sdtEndPr>
        <w:rPr>
          <w:rFonts w:hint="eastAsia" w:ascii="Times New Roman" w:hAnsi="Times New Roman" w:eastAsia="仿宋_GB2312" w:cs="Times New Roman"/>
          <w:b/>
          <w:bCs/>
          <w:color w:val="auto"/>
          <w:kern w:val="2"/>
          <w:sz w:val="24"/>
          <w:szCs w:val="24"/>
          <w:highlight w:val="none"/>
          <w:lang w:val="en-US" w:eastAsia="zh-CN" w:bidi="ar-SA"/>
        </w:rPr>
      </w:sdtEndPr>
      <w:sdtContent>
        <w:p w14:paraId="576C966B">
          <w:pPr>
            <w:keepNext w:val="0"/>
            <w:keepLines w:val="0"/>
            <w:pageBreakBefore/>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rPr>
              <w:rFonts w:ascii="Times New Roman" w:hAnsi="Times New Roman" w:eastAsia="宋体"/>
              <w:b/>
              <w:bCs/>
              <w:color w:val="000000" w:themeColor="text1"/>
              <w:sz w:val="32"/>
              <w:szCs w:val="32"/>
              <w14:textFill>
                <w14:solidFill>
                  <w14:schemeClr w14:val="tx1"/>
                </w14:solidFill>
              </w14:textFill>
            </w:rPr>
          </w:pPr>
          <w:r>
            <w:rPr>
              <w:rFonts w:ascii="Times New Roman" w:hAnsi="Times New Roman" w:eastAsia="宋体"/>
              <w:b/>
              <w:bCs/>
              <w:color w:val="000000" w:themeColor="text1"/>
              <w:sz w:val="32"/>
              <w:szCs w:val="32"/>
              <w14:textFill>
                <w14:solidFill>
                  <w14:schemeClr w14:val="tx1"/>
                </w14:solidFill>
              </w14:textFill>
            </w:rPr>
            <w:t>目录</w:t>
          </w:r>
        </w:p>
        <w:p w14:paraId="30843159">
          <w:pPr>
            <w:pStyle w:val="16"/>
            <w:keepNext w:val="0"/>
            <w:keepLines w:val="0"/>
            <w:pageBreakBefore w:val="0"/>
            <w:tabs>
              <w:tab w:val="right" w:leader="dot" w:pos="8844"/>
            </w:tabs>
            <w:kinsoku/>
            <w:wordWrap/>
            <w:overflowPunct/>
            <w:topLinePunct w:val="0"/>
            <w:autoSpaceDE/>
            <w:autoSpaceDN/>
            <w:bidi w:val="0"/>
            <w:adjustRightInd/>
            <w:snapToGrid/>
            <w:spacing w:line="360" w:lineRule="auto"/>
            <w:jc w:val="left"/>
            <w:textAlignment w:val="auto"/>
            <w:outlineLvl w:val="9"/>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snapToGrid w:val="0"/>
              <w:color w:val="000000" w:themeColor="text1"/>
              <w:sz w:val="24"/>
              <w:szCs w:val="24"/>
              <w14:textFill>
                <w14:solidFill>
                  <w14:schemeClr w14:val="tx1"/>
                </w14:solidFill>
              </w14:textFill>
            </w:rPr>
            <w:fldChar w:fldCharType="begin"/>
          </w:r>
          <w:r>
            <w:rPr>
              <w:rFonts w:ascii="Times New Roman" w:hAnsi="Times New Roman" w:eastAsia="宋体"/>
              <w:snapToGrid w:val="0"/>
              <w:color w:val="000000" w:themeColor="text1"/>
              <w:sz w:val="24"/>
              <w:szCs w:val="24"/>
              <w14:textFill>
                <w14:solidFill>
                  <w14:schemeClr w14:val="tx1"/>
                </w14:solidFill>
              </w14:textFill>
            </w:rPr>
            <w:instrText xml:space="preserve">TOC \o "1-1" \h \u </w:instrText>
          </w:r>
          <w:r>
            <w:rPr>
              <w:rFonts w:ascii="Times New Roman" w:hAnsi="Times New Roman" w:eastAsia="宋体"/>
              <w:snapToGrid w:val="0"/>
              <w:color w:val="000000" w:themeColor="text1"/>
              <w:sz w:val="24"/>
              <w:szCs w:val="24"/>
              <w14:textFill>
                <w14:solidFill>
                  <w14:schemeClr w14:val="tx1"/>
                </w14:solidFill>
              </w14:textFill>
            </w:rPr>
            <w:fldChar w:fldCharType="separate"/>
          </w:r>
          <w:r>
            <w:rPr>
              <w:rFonts w:ascii="Times New Roman" w:hAnsi="Times New Roman" w:eastAsia="宋体"/>
              <w:snapToGrid w:val="0"/>
              <w:color w:val="000000" w:themeColor="text1"/>
              <w:sz w:val="24"/>
              <w:szCs w:val="24"/>
              <w14:textFill>
                <w14:solidFill>
                  <w14:schemeClr w14:val="tx1"/>
                </w14:solidFill>
              </w14:textFill>
            </w:rPr>
            <w:fldChar w:fldCharType="begin"/>
          </w:r>
          <w:r>
            <w:rPr>
              <w:rFonts w:ascii="Times New Roman" w:hAnsi="Times New Roman" w:eastAsia="宋体"/>
              <w:snapToGrid w:val="0"/>
              <w:color w:val="000000" w:themeColor="text1"/>
              <w:sz w:val="24"/>
              <w:szCs w:val="24"/>
              <w14:textFill>
                <w14:solidFill>
                  <w14:schemeClr w14:val="tx1"/>
                </w14:solidFill>
              </w14:textFill>
            </w:rPr>
            <w:instrText xml:space="preserve"> HYPERLINK \l _Toc29181 </w:instrText>
          </w:r>
          <w:r>
            <w:rPr>
              <w:rFonts w:ascii="Times New Roman" w:hAnsi="Times New Roman" w:eastAsia="宋体"/>
              <w:snapToGrid w:val="0"/>
              <w:color w:val="000000" w:themeColor="text1"/>
              <w:sz w:val="24"/>
              <w:szCs w:val="24"/>
              <w14:textFill>
                <w14:solidFill>
                  <w14:schemeClr w14:val="tx1"/>
                </w14:solidFill>
              </w14:textFill>
            </w:rPr>
            <w:fldChar w:fldCharType="separate"/>
          </w:r>
          <w:r>
            <w:rPr>
              <w:rFonts w:ascii="Times New Roman" w:hAnsi="Times New Roman" w:eastAsia="宋体"/>
              <w:snapToGrid w:val="0"/>
              <w:color w:val="000000" w:themeColor="text1"/>
              <w:sz w:val="24"/>
              <w:szCs w:val="24"/>
              <w14:textFill>
                <w14:solidFill>
                  <w14:schemeClr w14:val="tx1"/>
                </w14:solidFill>
              </w14:textFill>
            </w:rPr>
            <w:t>一、建设项目基本情况</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_Toc29181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1</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snapToGrid w:val="0"/>
              <w:color w:val="000000" w:themeColor="text1"/>
              <w:sz w:val="24"/>
              <w:szCs w:val="24"/>
              <w14:textFill>
                <w14:solidFill>
                  <w14:schemeClr w14:val="tx1"/>
                </w14:solidFill>
              </w14:textFill>
            </w:rPr>
            <w:fldChar w:fldCharType="end"/>
          </w:r>
        </w:p>
        <w:p w14:paraId="41E41060">
          <w:pPr>
            <w:pStyle w:val="16"/>
            <w:keepNext w:val="0"/>
            <w:keepLines w:val="0"/>
            <w:pageBreakBefore w:val="0"/>
            <w:tabs>
              <w:tab w:val="right" w:leader="dot" w:pos="8844"/>
            </w:tabs>
            <w:kinsoku/>
            <w:wordWrap/>
            <w:overflowPunct/>
            <w:topLinePunct w:val="0"/>
            <w:autoSpaceDE/>
            <w:autoSpaceDN/>
            <w:bidi w:val="0"/>
            <w:adjustRightInd/>
            <w:snapToGrid/>
            <w:spacing w:line="360" w:lineRule="auto"/>
            <w:jc w:val="left"/>
            <w:textAlignment w:val="auto"/>
            <w:outlineLvl w:val="9"/>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snapToGrid w:val="0"/>
              <w:color w:val="000000" w:themeColor="text1"/>
              <w:sz w:val="24"/>
              <w:szCs w:val="24"/>
              <w14:textFill>
                <w14:solidFill>
                  <w14:schemeClr w14:val="tx1"/>
                </w14:solidFill>
              </w14:textFill>
            </w:rPr>
            <w:fldChar w:fldCharType="begin"/>
          </w:r>
          <w:r>
            <w:rPr>
              <w:rFonts w:ascii="Times New Roman" w:hAnsi="Times New Roman" w:eastAsia="宋体"/>
              <w:snapToGrid w:val="0"/>
              <w:color w:val="000000" w:themeColor="text1"/>
              <w:sz w:val="24"/>
              <w:szCs w:val="24"/>
              <w14:textFill>
                <w14:solidFill>
                  <w14:schemeClr w14:val="tx1"/>
                </w14:solidFill>
              </w14:textFill>
            </w:rPr>
            <w:instrText xml:space="preserve"> HYPERLINK \l _Toc11614 </w:instrText>
          </w:r>
          <w:r>
            <w:rPr>
              <w:rFonts w:ascii="Times New Roman" w:hAnsi="Times New Roman" w:eastAsia="宋体"/>
              <w:snapToGrid w:val="0"/>
              <w:color w:val="000000" w:themeColor="text1"/>
              <w:sz w:val="24"/>
              <w:szCs w:val="24"/>
              <w14:textFill>
                <w14:solidFill>
                  <w14:schemeClr w14:val="tx1"/>
                </w14:solidFill>
              </w14:textFill>
            </w:rPr>
            <w:fldChar w:fldCharType="separate"/>
          </w:r>
          <w:r>
            <w:rPr>
              <w:rFonts w:hint="eastAsia" w:ascii="Times New Roman" w:hAnsi="Times New Roman" w:eastAsia="宋体"/>
              <w:snapToGrid w:val="0"/>
              <w:color w:val="000000" w:themeColor="text1"/>
              <w:sz w:val="24"/>
              <w:szCs w:val="24"/>
              <w14:textFill>
                <w14:solidFill>
                  <w14:schemeClr w14:val="tx1"/>
                </w14:solidFill>
              </w14:textFill>
            </w:rPr>
            <w:t>二、</w:t>
          </w:r>
          <w:r>
            <w:rPr>
              <w:rFonts w:ascii="Times New Roman" w:hAnsi="Times New Roman" w:eastAsia="宋体"/>
              <w:snapToGrid w:val="0"/>
              <w:color w:val="000000" w:themeColor="text1"/>
              <w:sz w:val="24"/>
              <w:szCs w:val="24"/>
              <w14:textFill>
                <w14:solidFill>
                  <w14:schemeClr w14:val="tx1"/>
                </w14:solidFill>
              </w14:textFill>
            </w:rPr>
            <w:t>建设内容</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_Toc11614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17</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snapToGrid w:val="0"/>
              <w:color w:val="000000" w:themeColor="text1"/>
              <w:sz w:val="24"/>
              <w:szCs w:val="24"/>
              <w14:textFill>
                <w14:solidFill>
                  <w14:schemeClr w14:val="tx1"/>
                </w14:solidFill>
              </w14:textFill>
            </w:rPr>
            <w:fldChar w:fldCharType="end"/>
          </w:r>
        </w:p>
        <w:p w14:paraId="435EFEDD">
          <w:pPr>
            <w:pStyle w:val="16"/>
            <w:keepNext w:val="0"/>
            <w:keepLines w:val="0"/>
            <w:pageBreakBefore w:val="0"/>
            <w:tabs>
              <w:tab w:val="right" w:leader="dot" w:pos="8844"/>
            </w:tabs>
            <w:kinsoku/>
            <w:wordWrap/>
            <w:overflowPunct/>
            <w:topLinePunct w:val="0"/>
            <w:autoSpaceDE/>
            <w:autoSpaceDN/>
            <w:bidi w:val="0"/>
            <w:adjustRightInd/>
            <w:snapToGrid/>
            <w:spacing w:line="360" w:lineRule="auto"/>
            <w:jc w:val="left"/>
            <w:textAlignment w:val="auto"/>
            <w:outlineLvl w:val="9"/>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snapToGrid w:val="0"/>
              <w:color w:val="000000" w:themeColor="text1"/>
              <w:sz w:val="24"/>
              <w:szCs w:val="24"/>
              <w14:textFill>
                <w14:solidFill>
                  <w14:schemeClr w14:val="tx1"/>
                </w14:solidFill>
              </w14:textFill>
            </w:rPr>
            <w:fldChar w:fldCharType="begin"/>
          </w:r>
          <w:r>
            <w:rPr>
              <w:rFonts w:ascii="Times New Roman" w:hAnsi="Times New Roman" w:eastAsia="宋体"/>
              <w:snapToGrid w:val="0"/>
              <w:color w:val="000000" w:themeColor="text1"/>
              <w:sz w:val="24"/>
              <w:szCs w:val="24"/>
              <w14:textFill>
                <w14:solidFill>
                  <w14:schemeClr w14:val="tx1"/>
                </w14:solidFill>
              </w14:textFill>
            </w:rPr>
            <w:instrText xml:space="preserve"> HYPERLINK \l _Toc22394 </w:instrText>
          </w:r>
          <w:r>
            <w:rPr>
              <w:rFonts w:ascii="Times New Roman" w:hAnsi="Times New Roman" w:eastAsia="宋体"/>
              <w:snapToGrid w:val="0"/>
              <w:color w:val="000000" w:themeColor="text1"/>
              <w:sz w:val="24"/>
              <w:szCs w:val="24"/>
              <w14:textFill>
                <w14:solidFill>
                  <w14:schemeClr w14:val="tx1"/>
                </w14:solidFill>
              </w14:textFill>
            </w:rPr>
            <w:fldChar w:fldCharType="separate"/>
          </w:r>
          <w:r>
            <w:rPr>
              <w:rFonts w:ascii="Times New Roman" w:hAnsi="Times New Roman" w:eastAsia="宋体"/>
              <w:snapToGrid w:val="0"/>
              <w:color w:val="000000" w:themeColor="text1"/>
              <w:sz w:val="24"/>
              <w:szCs w:val="24"/>
              <w14:textFill>
                <w14:solidFill>
                  <w14:schemeClr w14:val="tx1"/>
                </w14:solidFill>
              </w14:textFill>
            </w:rPr>
            <w:t>三、生态环境现状、保护目标及评价标准</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_Toc22394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31</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snapToGrid w:val="0"/>
              <w:color w:val="000000" w:themeColor="text1"/>
              <w:sz w:val="24"/>
              <w:szCs w:val="24"/>
              <w14:textFill>
                <w14:solidFill>
                  <w14:schemeClr w14:val="tx1"/>
                </w14:solidFill>
              </w14:textFill>
            </w:rPr>
            <w:fldChar w:fldCharType="end"/>
          </w:r>
        </w:p>
        <w:p w14:paraId="6AF9A1EB">
          <w:pPr>
            <w:pStyle w:val="16"/>
            <w:keepNext w:val="0"/>
            <w:keepLines w:val="0"/>
            <w:pageBreakBefore w:val="0"/>
            <w:tabs>
              <w:tab w:val="right" w:leader="dot" w:pos="8844"/>
            </w:tabs>
            <w:kinsoku/>
            <w:wordWrap/>
            <w:overflowPunct/>
            <w:topLinePunct w:val="0"/>
            <w:autoSpaceDE/>
            <w:autoSpaceDN/>
            <w:bidi w:val="0"/>
            <w:adjustRightInd/>
            <w:snapToGrid/>
            <w:spacing w:line="360" w:lineRule="auto"/>
            <w:jc w:val="left"/>
            <w:textAlignment w:val="auto"/>
            <w:outlineLvl w:val="9"/>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snapToGrid w:val="0"/>
              <w:color w:val="000000" w:themeColor="text1"/>
              <w:sz w:val="24"/>
              <w:szCs w:val="24"/>
              <w14:textFill>
                <w14:solidFill>
                  <w14:schemeClr w14:val="tx1"/>
                </w14:solidFill>
              </w14:textFill>
            </w:rPr>
            <w:fldChar w:fldCharType="begin"/>
          </w:r>
          <w:r>
            <w:rPr>
              <w:rFonts w:ascii="Times New Roman" w:hAnsi="Times New Roman" w:eastAsia="宋体"/>
              <w:snapToGrid w:val="0"/>
              <w:color w:val="000000" w:themeColor="text1"/>
              <w:sz w:val="24"/>
              <w:szCs w:val="24"/>
              <w14:textFill>
                <w14:solidFill>
                  <w14:schemeClr w14:val="tx1"/>
                </w14:solidFill>
              </w14:textFill>
            </w:rPr>
            <w:instrText xml:space="preserve"> HYPERLINK \l _Toc17497 </w:instrText>
          </w:r>
          <w:r>
            <w:rPr>
              <w:rFonts w:ascii="Times New Roman" w:hAnsi="Times New Roman" w:eastAsia="宋体"/>
              <w:snapToGrid w:val="0"/>
              <w:color w:val="000000" w:themeColor="text1"/>
              <w:sz w:val="24"/>
              <w:szCs w:val="24"/>
              <w14:textFill>
                <w14:solidFill>
                  <w14:schemeClr w14:val="tx1"/>
                </w14:solidFill>
              </w14:textFill>
            </w:rPr>
            <w:fldChar w:fldCharType="separate"/>
          </w:r>
          <w:r>
            <w:rPr>
              <w:rFonts w:ascii="Times New Roman" w:hAnsi="Times New Roman" w:eastAsia="宋体"/>
              <w:snapToGrid w:val="0"/>
              <w:color w:val="000000" w:themeColor="text1"/>
              <w:sz w:val="24"/>
              <w:szCs w:val="24"/>
              <w14:textFill>
                <w14:solidFill>
                  <w14:schemeClr w14:val="tx1"/>
                </w14:solidFill>
              </w14:textFill>
            </w:rPr>
            <w:t>四、生态环境影响分析</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_Toc17497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45</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snapToGrid w:val="0"/>
              <w:color w:val="000000" w:themeColor="text1"/>
              <w:sz w:val="24"/>
              <w:szCs w:val="24"/>
              <w14:textFill>
                <w14:solidFill>
                  <w14:schemeClr w14:val="tx1"/>
                </w14:solidFill>
              </w14:textFill>
            </w:rPr>
            <w:fldChar w:fldCharType="end"/>
          </w:r>
        </w:p>
        <w:p w14:paraId="33AD2E03">
          <w:pPr>
            <w:pStyle w:val="16"/>
            <w:keepNext w:val="0"/>
            <w:keepLines w:val="0"/>
            <w:pageBreakBefore w:val="0"/>
            <w:tabs>
              <w:tab w:val="right" w:leader="dot" w:pos="8844"/>
            </w:tabs>
            <w:kinsoku/>
            <w:wordWrap/>
            <w:overflowPunct/>
            <w:topLinePunct w:val="0"/>
            <w:autoSpaceDE/>
            <w:autoSpaceDN/>
            <w:bidi w:val="0"/>
            <w:adjustRightInd/>
            <w:snapToGrid/>
            <w:spacing w:line="360" w:lineRule="auto"/>
            <w:jc w:val="left"/>
            <w:textAlignment w:val="auto"/>
            <w:outlineLvl w:val="9"/>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snapToGrid w:val="0"/>
              <w:color w:val="000000" w:themeColor="text1"/>
              <w:sz w:val="24"/>
              <w:szCs w:val="24"/>
              <w14:textFill>
                <w14:solidFill>
                  <w14:schemeClr w14:val="tx1"/>
                </w14:solidFill>
              </w14:textFill>
            </w:rPr>
            <w:fldChar w:fldCharType="begin"/>
          </w:r>
          <w:r>
            <w:rPr>
              <w:rFonts w:ascii="Times New Roman" w:hAnsi="Times New Roman" w:eastAsia="宋体"/>
              <w:snapToGrid w:val="0"/>
              <w:color w:val="000000" w:themeColor="text1"/>
              <w:sz w:val="24"/>
              <w:szCs w:val="24"/>
              <w14:textFill>
                <w14:solidFill>
                  <w14:schemeClr w14:val="tx1"/>
                </w14:solidFill>
              </w14:textFill>
            </w:rPr>
            <w:instrText xml:space="preserve"> HYPERLINK \l _Toc31829 </w:instrText>
          </w:r>
          <w:r>
            <w:rPr>
              <w:rFonts w:ascii="Times New Roman" w:hAnsi="Times New Roman" w:eastAsia="宋体"/>
              <w:snapToGrid w:val="0"/>
              <w:color w:val="000000" w:themeColor="text1"/>
              <w:sz w:val="24"/>
              <w:szCs w:val="24"/>
              <w14:textFill>
                <w14:solidFill>
                  <w14:schemeClr w14:val="tx1"/>
                </w14:solidFill>
              </w14:textFill>
            </w:rPr>
            <w:fldChar w:fldCharType="separate"/>
          </w:r>
          <w:r>
            <w:rPr>
              <w:rFonts w:ascii="Times New Roman" w:hAnsi="Times New Roman" w:eastAsia="宋体"/>
              <w:snapToGrid w:val="0"/>
              <w:color w:val="000000" w:themeColor="text1"/>
              <w:sz w:val="24"/>
              <w:szCs w:val="24"/>
              <w14:textFill>
                <w14:solidFill>
                  <w14:schemeClr w14:val="tx1"/>
                </w14:solidFill>
              </w14:textFill>
            </w:rPr>
            <w:t>五、主要生态环境保护措施</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_Toc31829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60</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snapToGrid w:val="0"/>
              <w:color w:val="000000" w:themeColor="text1"/>
              <w:sz w:val="24"/>
              <w:szCs w:val="24"/>
              <w14:textFill>
                <w14:solidFill>
                  <w14:schemeClr w14:val="tx1"/>
                </w14:solidFill>
              </w14:textFill>
            </w:rPr>
            <w:fldChar w:fldCharType="end"/>
          </w:r>
        </w:p>
        <w:p w14:paraId="3A908C7E">
          <w:pPr>
            <w:pStyle w:val="16"/>
            <w:keepNext w:val="0"/>
            <w:keepLines w:val="0"/>
            <w:pageBreakBefore w:val="0"/>
            <w:tabs>
              <w:tab w:val="right" w:leader="dot" w:pos="8844"/>
            </w:tabs>
            <w:kinsoku/>
            <w:wordWrap/>
            <w:overflowPunct/>
            <w:topLinePunct w:val="0"/>
            <w:autoSpaceDE/>
            <w:autoSpaceDN/>
            <w:bidi w:val="0"/>
            <w:adjustRightInd/>
            <w:snapToGrid/>
            <w:spacing w:line="360" w:lineRule="auto"/>
            <w:jc w:val="left"/>
            <w:textAlignment w:val="auto"/>
            <w:outlineLvl w:val="9"/>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snapToGrid w:val="0"/>
              <w:color w:val="000000" w:themeColor="text1"/>
              <w:sz w:val="24"/>
              <w:szCs w:val="24"/>
              <w14:textFill>
                <w14:solidFill>
                  <w14:schemeClr w14:val="tx1"/>
                </w14:solidFill>
              </w14:textFill>
            </w:rPr>
            <w:fldChar w:fldCharType="begin"/>
          </w:r>
          <w:r>
            <w:rPr>
              <w:rFonts w:ascii="Times New Roman" w:hAnsi="Times New Roman" w:eastAsia="宋体"/>
              <w:snapToGrid w:val="0"/>
              <w:color w:val="000000" w:themeColor="text1"/>
              <w:sz w:val="24"/>
              <w:szCs w:val="24"/>
              <w14:textFill>
                <w14:solidFill>
                  <w14:schemeClr w14:val="tx1"/>
                </w14:solidFill>
              </w14:textFill>
            </w:rPr>
            <w:instrText xml:space="preserve"> HYPERLINK \l _Toc22535 </w:instrText>
          </w:r>
          <w:r>
            <w:rPr>
              <w:rFonts w:ascii="Times New Roman" w:hAnsi="Times New Roman" w:eastAsia="宋体"/>
              <w:snapToGrid w:val="0"/>
              <w:color w:val="000000" w:themeColor="text1"/>
              <w:sz w:val="24"/>
              <w:szCs w:val="24"/>
              <w14:textFill>
                <w14:solidFill>
                  <w14:schemeClr w14:val="tx1"/>
                </w14:solidFill>
              </w14:textFill>
            </w:rPr>
            <w:fldChar w:fldCharType="separate"/>
          </w:r>
          <w:r>
            <w:rPr>
              <w:rFonts w:ascii="Times New Roman" w:hAnsi="Times New Roman" w:eastAsia="宋体"/>
              <w:snapToGrid w:val="0"/>
              <w:color w:val="000000" w:themeColor="text1"/>
              <w:sz w:val="24"/>
              <w:szCs w:val="24"/>
              <w14:textFill>
                <w14:solidFill>
                  <w14:schemeClr w14:val="tx1"/>
                </w14:solidFill>
              </w14:textFill>
            </w:rPr>
            <w:t>六、生态环境保护措施监督检查清单</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_Toc22535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77</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snapToGrid w:val="0"/>
              <w:color w:val="000000" w:themeColor="text1"/>
              <w:sz w:val="24"/>
              <w:szCs w:val="24"/>
              <w14:textFill>
                <w14:solidFill>
                  <w14:schemeClr w14:val="tx1"/>
                </w14:solidFill>
              </w14:textFill>
            </w:rPr>
            <w:fldChar w:fldCharType="end"/>
          </w:r>
        </w:p>
        <w:p w14:paraId="34FFFE13">
          <w:pPr>
            <w:pStyle w:val="16"/>
            <w:keepNext w:val="0"/>
            <w:keepLines w:val="0"/>
            <w:pageBreakBefore w:val="0"/>
            <w:tabs>
              <w:tab w:val="right" w:leader="dot" w:pos="8844"/>
            </w:tabs>
            <w:kinsoku/>
            <w:wordWrap/>
            <w:overflowPunct/>
            <w:topLinePunct w:val="0"/>
            <w:autoSpaceDE/>
            <w:autoSpaceDN/>
            <w:bidi w:val="0"/>
            <w:adjustRightInd/>
            <w:snapToGrid/>
            <w:spacing w:line="360" w:lineRule="auto"/>
            <w:jc w:val="left"/>
            <w:textAlignment w:val="auto"/>
            <w:outlineLvl w:val="9"/>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snapToGrid w:val="0"/>
              <w:color w:val="000000" w:themeColor="text1"/>
              <w:sz w:val="24"/>
              <w:szCs w:val="24"/>
              <w14:textFill>
                <w14:solidFill>
                  <w14:schemeClr w14:val="tx1"/>
                </w14:solidFill>
              </w14:textFill>
            </w:rPr>
            <w:fldChar w:fldCharType="begin"/>
          </w:r>
          <w:r>
            <w:rPr>
              <w:rFonts w:ascii="Times New Roman" w:hAnsi="Times New Roman" w:eastAsia="宋体"/>
              <w:snapToGrid w:val="0"/>
              <w:color w:val="000000" w:themeColor="text1"/>
              <w:sz w:val="24"/>
              <w:szCs w:val="24"/>
              <w14:textFill>
                <w14:solidFill>
                  <w14:schemeClr w14:val="tx1"/>
                </w14:solidFill>
              </w14:textFill>
            </w:rPr>
            <w:instrText xml:space="preserve"> HYPERLINK \l _Toc31666 </w:instrText>
          </w:r>
          <w:r>
            <w:rPr>
              <w:rFonts w:ascii="Times New Roman" w:hAnsi="Times New Roman" w:eastAsia="宋体"/>
              <w:snapToGrid w:val="0"/>
              <w:color w:val="000000" w:themeColor="text1"/>
              <w:sz w:val="24"/>
              <w:szCs w:val="24"/>
              <w14:textFill>
                <w14:solidFill>
                  <w14:schemeClr w14:val="tx1"/>
                </w14:solidFill>
              </w14:textFill>
            </w:rPr>
            <w:fldChar w:fldCharType="separate"/>
          </w:r>
          <w:r>
            <w:rPr>
              <w:rFonts w:ascii="Times New Roman" w:hAnsi="Times New Roman" w:eastAsia="宋体"/>
              <w:snapToGrid w:val="0"/>
              <w:color w:val="000000" w:themeColor="text1"/>
              <w:sz w:val="24"/>
              <w:szCs w:val="24"/>
              <w14:textFill>
                <w14:solidFill>
                  <w14:schemeClr w14:val="tx1"/>
                </w14:solidFill>
              </w14:textFill>
            </w:rPr>
            <w:t>七、结论</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_Toc31666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80</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snapToGrid w:val="0"/>
              <w:color w:val="000000" w:themeColor="text1"/>
              <w:sz w:val="24"/>
              <w:szCs w:val="24"/>
              <w14:textFill>
                <w14:solidFill>
                  <w14:schemeClr w14:val="tx1"/>
                </w14:solidFill>
              </w14:textFill>
            </w:rPr>
            <w:fldChar w:fldCharType="end"/>
          </w:r>
        </w:p>
        <w:p w14:paraId="408A2455">
          <w:pPr>
            <w:adjustRightInd w:val="0"/>
            <w:snapToGrid w:val="0"/>
            <w:spacing w:line="288" w:lineRule="auto"/>
          </w:pPr>
          <w:r>
            <w:rPr>
              <w:rFonts w:ascii="Times New Roman" w:hAnsi="Times New Roman" w:eastAsia="宋体"/>
              <w:snapToGrid w:val="0"/>
              <w:color w:val="000000" w:themeColor="text1"/>
              <w:sz w:val="24"/>
              <w:szCs w:val="24"/>
              <w14:textFill>
                <w14:solidFill>
                  <w14:schemeClr w14:val="tx1"/>
                </w14:solidFill>
              </w14:textFill>
            </w:rPr>
            <w:fldChar w:fldCharType="end"/>
          </w:r>
        </w:p>
      </w:sdtContent>
    </w:sdt>
    <w:p w14:paraId="3B732E15">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ascii="Times New Roman" w:hAnsi="Times New Roman" w:eastAsia="宋体"/>
          <w:b w:val="0"/>
          <w:bCs w:val="0"/>
          <w:color w:val="auto"/>
          <w:sz w:val="24"/>
          <w:szCs w:val="24"/>
          <w:highlight w:val="none"/>
          <w:lang w:val="en-US" w:eastAsia="zh-CN"/>
        </w:rPr>
      </w:pPr>
      <w:r>
        <w:rPr>
          <w:rFonts w:hint="default" w:ascii="Times New Roman" w:hAnsi="Times New Roman" w:eastAsia="宋体"/>
          <w:b w:val="0"/>
          <w:bCs w:val="0"/>
          <w:color w:val="auto"/>
          <w:sz w:val="24"/>
          <w:szCs w:val="24"/>
          <w:highlight w:val="none"/>
          <w:lang w:val="en-US" w:eastAsia="zh-CN"/>
        </w:rPr>
        <w:t>附件</w:t>
      </w:r>
    </w:p>
    <w:p w14:paraId="294F4CF8">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ascii="Times New Roman" w:hAnsi="Times New Roman" w:eastAsia="宋体"/>
          <w:b w:val="0"/>
          <w:bCs w:val="0"/>
          <w:color w:val="auto"/>
          <w:sz w:val="24"/>
          <w:szCs w:val="24"/>
          <w:highlight w:val="none"/>
          <w:lang w:val="en-US" w:eastAsia="zh-CN"/>
        </w:rPr>
      </w:pPr>
      <w:r>
        <w:rPr>
          <w:rFonts w:hint="default" w:ascii="Times New Roman" w:hAnsi="Times New Roman" w:eastAsia="宋体"/>
          <w:b w:val="0"/>
          <w:bCs w:val="0"/>
          <w:color w:val="auto"/>
          <w:sz w:val="24"/>
          <w:szCs w:val="24"/>
          <w:highlight w:val="none"/>
          <w:lang w:val="en-US" w:eastAsia="zh-CN"/>
        </w:rPr>
        <w:t xml:space="preserve">附件1 </w:t>
      </w:r>
      <w:r>
        <w:rPr>
          <w:rFonts w:hint="eastAsia" w:ascii="Times New Roman" w:hAnsi="Times New Roman" w:eastAsia="宋体"/>
          <w:b w:val="0"/>
          <w:bCs w:val="0"/>
          <w:color w:val="auto"/>
          <w:sz w:val="24"/>
          <w:szCs w:val="24"/>
          <w:highlight w:val="none"/>
          <w:lang w:val="en-US" w:eastAsia="zh-CN"/>
        </w:rPr>
        <w:t>委托书</w:t>
      </w:r>
    </w:p>
    <w:p w14:paraId="1F2DC7F4">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ascii="Times New Roman" w:hAnsi="Times New Roman" w:eastAsia="宋体"/>
          <w:b w:val="0"/>
          <w:bCs w:val="0"/>
          <w:color w:val="auto"/>
          <w:sz w:val="24"/>
          <w:szCs w:val="24"/>
          <w:highlight w:val="none"/>
          <w:lang w:val="en-US" w:eastAsia="zh-CN"/>
        </w:rPr>
      </w:pPr>
      <w:r>
        <w:rPr>
          <w:rFonts w:hint="default" w:ascii="Times New Roman" w:hAnsi="Times New Roman" w:eastAsia="宋体"/>
          <w:b w:val="0"/>
          <w:bCs w:val="0"/>
          <w:color w:val="auto"/>
          <w:sz w:val="24"/>
          <w:szCs w:val="24"/>
          <w:highlight w:val="none"/>
          <w:lang w:val="en-US" w:eastAsia="zh-CN"/>
        </w:rPr>
        <w:t>附件2 备案表</w:t>
      </w:r>
      <w:bookmarkStart w:id="20" w:name="_GoBack"/>
      <w:bookmarkEnd w:id="20"/>
    </w:p>
    <w:p w14:paraId="094F9928">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附件3 噪声环境监测报告</w:t>
      </w:r>
    </w:p>
    <w:p w14:paraId="5E3AC62A">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附件4 临时用地土地复垦方案的初审意见</w:t>
      </w:r>
    </w:p>
    <w:p w14:paraId="09E6D68A">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b w:val="0"/>
          <w:bCs w:val="0"/>
          <w:color w:val="auto"/>
          <w:sz w:val="24"/>
          <w:szCs w:val="24"/>
          <w:highlight w:val="none"/>
          <w:lang w:val="en-US" w:eastAsia="zh-CN"/>
        </w:rPr>
      </w:pPr>
    </w:p>
    <w:p w14:paraId="367A2352">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附图1 地理位置图</w:t>
      </w:r>
    </w:p>
    <w:p w14:paraId="36380307">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附图2 工程总平面布置图</w:t>
      </w:r>
    </w:p>
    <w:p w14:paraId="54E2D544">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附图3 施工平面布置图</w:t>
      </w:r>
    </w:p>
    <w:p w14:paraId="69A25FE6">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附图4 三区三线套</w:t>
      </w:r>
      <w:r>
        <w:rPr>
          <w:rFonts w:hint="eastAsia" w:ascii="Times New Roman" w:hAnsi="Times New Roman"/>
          <w:b w:val="0"/>
          <w:bCs w:val="0"/>
          <w:color w:val="auto"/>
          <w:sz w:val="24"/>
          <w:szCs w:val="24"/>
          <w:highlight w:val="none"/>
          <w:lang w:val="en-US" w:eastAsia="zh-CN"/>
        </w:rPr>
        <w:t>核</w:t>
      </w:r>
      <w:r>
        <w:rPr>
          <w:rFonts w:hint="eastAsia" w:ascii="Times New Roman" w:hAnsi="Times New Roman" w:eastAsia="宋体"/>
          <w:b w:val="0"/>
          <w:bCs w:val="0"/>
          <w:color w:val="auto"/>
          <w:sz w:val="24"/>
          <w:szCs w:val="24"/>
          <w:highlight w:val="none"/>
          <w:lang w:val="en-US" w:eastAsia="zh-CN"/>
        </w:rPr>
        <w:t>图</w:t>
      </w:r>
    </w:p>
    <w:p w14:paraId="4DA3C9F0">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附图5 本项目在生态保护红线中的位置图</w:t>
      </w:r>
    </w:p>
    <w:p w14:paraId="07CF8799">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附图6 淮南市水环境分区图中的位置图</w:t>
      </w:r>
    </w:p>
    <w:p w14:paraId="58AE06F7">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附图7 淮南市大气环境分区图中的位置图</w:t>
      </w:r>
    </w:p>
    <w:p w14:paraId="7C2753D0">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附图8 淮南市土壤污染风险分区图中的位置图</w:t>
      </w:r>
    </w:p>
    <w:p w14:paraId="2E3AA1D9">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附图9 本项目与安徽省主体功能区划位置关系图</w:t>
      </w:r>
    </w:p>
    <w:p w14:paraId="740E42B4">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附图10 本项目与安徽省生态功能区划位置关系图</w:t>
      </w:r>
    </w:p>
    <w:p w14:paraId="71B4E128">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附图11 环境质量现状监测布点图</w:t>
      </w:r>
    </w:p>
    <w:p w14:paraId="68DB0C83">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附图12 本项目在水系图中的位置</w:t>
      </w:r>
    </w:p>
    <w:p w14:paraId="6FC0EC70">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附图13 生态环境保护措施分布图</w:t>
      </w:r>
    </w:p>
    <w:p w14:paraId="6CE0FF63">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附图14 生态环境保护目标图</w:t>
      </w:r>
    </w:p>
    <w:p w14:paraId="556E9058">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附图15 土地利用现状图</w:t>
      </w:r>
    </w:p>
    <w:p w14:paraId="307CC474">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附图16 现状植被类型图</w:t>
      </w:r>
    </w:p>
    <w:p w14:paraId="37386AD8">
      <w:pPr>
        <w:adjustRightInd w:val="0"/>
        <w:snapToGrid w:val="0"/>
        <w:spacing w:line="288" w:lineRule="auto"/>
        <w:rPr>
          <w:rFonts w:hint="eastAsia" w:ascii="Times New Roman" w:hAnsi="Times New Roman" w:eastAsia="仿宋_GB2312"/>
          <w:b/>
          <w:bCs/>
          <w:color w:val="auto"/>
          <w:sz w:val="24"/>
          <w:szCs w:val="24"/>
          <w:highlight w:val="none"/>
          <w:lang w:val="en-US" w:eastAsia="zh-CN"/>
        </w:rPr>
        <w:sectPr>
          <w:footerReference r:id="rId5" w:type="default"/>
          <w:pgSz w:w="11906" w:h="16838"/>
          <w:pgMar w:top="1701" w:right="1531" w:bottom="1701" w:left="1531" w:header="851" w:footer="1077" w:gutter="0"/>
          <w:pgNumType w:start="1"/>
          <w:cols w:space="720" w:num="1"/>
          <w:docGrid w:linePitch="312" w:charSpace="0"/>
        </w:sectPr>
      </w:pPr>
      <w:bookmarkStart w:id="4" w:name="_Toc29181"/>
    </w:p>
    <w:p w14:paraId="5EC30FE8">
      <w:pPr>
        <w:pStyle w:val="19"/>
        <w:keepNext w:val="0"/>
        <w:keepLines w:val="0"/>
        <w:pageBreakBefore/>
        <w:widowControl/>
        <w:kinsoku/>
        <w:wordWrap/>
        <w:overflowPunct/>
        <w:topLinePunct w:val="0"/>
        <w:autoSpaceDE/>
        <w:autoSpaceDN/>
        <w:bidi w:val="0"/>
        <w:adjustRightInd/>
        <w:snapToGrid/>
        <w:jc w:val="center"/>
        <w:textAlignment w:val="auto"/>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bookmarkEnd w:id="4"/>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70"/>
        <w:gridCol w:w="662"/>
        <w:gridCol w:w="2189"/>
        <w:gridCol w:w="2271"/>
        <w:gridCol w:w="12"/>
        <w:gridCol w:w="3061"/>
        <w:gridCol w:w="6"/>
      </w:tblGrid>
      <w:tr w14:paraId="182849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dxa"/>
          <w:trHeight w:val="362" w:hRule="atLeast"/>
          <w:jc w:val="center"/>
        </w:trPr>
        <w:tc>
          <w:tcPr>
            <w:tcW w:w="1332" w:type="dxa"/>
            <w:gridSpan w:val="2"/>
            <w:noWrap w:val="0"/>
            <w:tcMar>
              <w:top w:w="16" w:type="dxa"/>
              <w:left w:w="16" w:type="dxa"/>
              <w:right w:w="16" w:type="dxa"/>
            </w:tcMar>
            <w:vAlign w:val="center"/>
          </w:tcPr>
          <w:p w14:paraId="3F1237A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建设项目名称</w:t>
            </w:r>
          </w:p>
        </w:tc>
        <w:tc>
          <w:tcPr>
            <w:tcW w:w="7538" w:type="dxa"/>
            <w:gridSpan w:val="4"/>
            <w:noWrap w:val="0"/>
            <w:vAlign w:val="center"/>
          </w:tcPr>
          <w:p w14:paraId="7C7C3F70">
            <w:pPr>
              <w:adjustRightInd w:val="0"/>
              <w:snapToGrid w:val="0"/>
              <w:jc w:val="center"/>
              <w:rPr>
                <w:rFonts w:hint="eastAsia" w:ascii="Times New Roman" w:hAnsi="Times New Roman" w:eastAsia="宋体" w:cs="Times New Roman"/>
                <w:color w:val="auto"/>
                <w:sz w:val="24"/>
                <w:lang w:val="en-US" w:eastAsia="zh-CN"/>
              </w:rPr>
            </w:pPr>
            <w:r>
              <w:rPr>
                <w:rFonts w:hint="default" w:ascii="Times New Roman" w:hAnsi="Times New Roman" w:cs="Times New Roman"/>
                <w:color w:val="auto"/>
                <w:sz w:val="24"/>
              </w:rPr>
              <w:t>朱集西煤矿盾构机探查钻孔项</w:t>
            </w:r>
            <w:r>
              <w:rPr>
                <w:rFonts w:hint="eastAsia" w:ascii="Times New Roman" w:hAnsi="Times New Roman" w:cs="Times New Roman"/>
                <w:color w:val="auto"/>
                <w:sz w:val="24"/>
                <w:lang w:val="en-US" w:eastAsia="zh-CN"/>
              </w:rPr>
              <w:t>目</w:t>
            </w:r>
          </w:p>
        </w:tc>
      </w:tr>
      <w:tr w14:paraId="19FD0B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dxa"/>
          <w:trHeight w:val="466" w:hRule="atLeast"/>
          <w:jc w:val="center"/>
        </w:trPr>
        <w:tc>
          <w:tcPr>
            <w:tcW w:w="1332" w:type="dxa"/>
            <w:gridSpan w:val="2"/>
            <w:noWrap w:val="0"/>
            <w:tcMar>
              <w:top w:w="16" w:type="dxa"/>
              <w:left w:w="16" w:type="dxa"/>
              <w:right w:w="16" w:type="dxa"/>
            </w:tcMar>
            <w:vAlign w:val="center"/>
          </w:tcPr>
          <w:p w14:paraId="3E8DC35C">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项目代码</w:t>
            </w:r>
          </w:p>
        </w:tc>
        <w:tc>
          <w:tcPr>
            <w:tcW w:w="7538" w:type="dxa"/>
            <w:gridSpan w:val="4"/>
            <w:noWrap w:val="0"/>
            <w:vAlign w:val="center"/>
          </w:tcPr>
          <w:p w14:paraId="60F0C7AB">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2509-340406-04-01-634856</w:t>
            </w:r>
          </w:p>
        </w:tc>
      </w:tr>
      <w:tr w14:paraId="0AF52E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dxa"/>
          <w:trHeight w:val="362" w:hRule="atLeast"/>
          <w:jc w:val="center"/>
        </w:trPr>
        <w:tc>
          <w:tcPr>
            <w:tcW w:w="1332" w:type="dxa"/>
            <w:gridSpan w:val="2"/>
            <w:noWrap w:val="0"/>
            <w:tcMar>
              <w:top w:w="16" w:type="dxa"/>
              <w:left w:w="16" w:type="dxa"/>
              <w:right w:w="16" w:type="dxa"/>
            </w:tcMar>
            <w:vAlign w:val="center"/>
          </w:tcPr>
          <w:p w14:paraId="7D65A4D4">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建设单位联系人</w:t>
            </w:r>
          </w:p>
        </w:tc>
        <w:tc>
          <w:tcPr>
            <w:tcW w:w="2190" w:type="dxa"/>
            <w:noWrap w:val="0"/>
            <w:vAlign w:val="center"/>
          </w:tcPr>
          <w:p w14:paraId="6266A9A6">
            <w:pPr>
              <w:adjustRightInd w:val="0"/>
              <w:snapToGrid w:val="0"/>
              <w:jc w:val="center"/>
              <w:rPr>
                <w:rFonts w:hint="eastAsia" w:ascii="Times New Roman" w:hAnsi="Times New Roman" w:eastAsia="宋体" w:cs="Times New Roman"/>
                <w:color w:val="auto"/>
                <w:sz w:val="24"/>
                <w:lang w:eastAsia="zh-CN"/>
              </w:rPr>
            </w:pPr>
            <w:r>
              <w:rPr>
                <w:rFonts w:hint="eastAsia" w:ascii="Times New Roman" w:hAnsi="Times New Roman" w:cs="Times New Roman"/>
                <w:color w:val="auto"/>
                <w:sz w:val="24"/>
                <w:lang w:val="en-US" w:eastAsia="zh-CN"/>
              </w:rPr>
              <w:t>蒋守平</w:t>
            </w:r>
          </w:p>
        </w:tc>
        <w:tc>
          <w:tcPr>
            <w:tcW w:w="2285" w:type="dxa"/>
            <w:gridSpan w:val="2"/>
            <w:noWrap w:val="0"/>
            <w:vAlign w:val="center"/>
          </w:tcPr>
          <w:p w14:paraId="473A7AB8">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联系方式</w:t>
            </w:r>
          </w:p>
        </w:tc>
        <w:tc>
          <w:tcPr>
            <w:tcW w:w="3063" w:type="dxa"/>
            <w:noWrap w:val="0"/>
            <w:vAlign w:val="center"/>
          </w:tcPr>
          <w:p w14:paraId="6C51D205">
            <w:pPr>
              <w:adjustRightInd w:val="0"/>
              <w:snapToGrid w:val="0"/>
              <w:jc w:val="center"/>
              <w:rPr>
                <w:rFonts w:hint="default" w:ascii="Times New Roman" w:hAnsi="Times New Roman" w:cs="Times New Roman"/>
                <w:color w:val="auto"/>
                <w:sz w:val="24"/>
              </w:rPr>
            </w:pPr>
            <w:r>
              <w:rPr>
                <w:rFonts w:hint="default" w:ascii="Times New Roman" w:hAnsi="Times New Roman" w:eastAsia="仿宋" w:cs="Times New Roman"/>
                <w:color w:val="auto"/>
                <w:sz w:val="24"/>
                <w:lang w:val="en-US" w:eastAsia="zh-CN"/>
              </w:rPr>
              <w:t>18056174126</w:t>
            </w:r>
          </w:p>
        </w:tc>
      </w:tr>
      <w:tr w14:paraId="31CBA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dxa"/>
          <w:trHeight w:val="362" w:hRule="atLeast"/>
          <w:jc w:val="center"/>
        </w:trPr>
        <w:tc>
          <w:tcPr>
            <w:tcW w:w="1332" w:type="dxa"/>
            <w:gridSpan w:val="2"/>
            <w:noWrap w:val="0"/>
            <w:tcMar>
              <w:top w:w="16" w:type="dxa"/>
              <w:left w:w="16" w:type="dxa"/>
              <w:right w:w="16" w:type="dxa"/>
            </w:tcMar>
            <w:vAlign w:val="center"/>
          </w:tcPr>
          <w:p w14:paraId="01E1911B">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7538" w:type="dxa"/>
            <w:gridSpan w:val="4"/>
            <w:noWrap w:val="0"/>
            <w:vAlign w:val="center"/>
          </w:tcPr>
          <w:p w14:paraId="55FEEC2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安徽省淮南市潘集区贺疃镇</w:t>
            </w:r>
          </w:p>
        </w:tc>
      </w:tr>
      <w:tr w14:paraId="4B389E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dxa"/>
          <w:trHeight w:val="355" w:hRule="atLeast"/>
          <w:jc w:val="center"/>
        </w:trPr>
        <w:tc>
          <w:tcPr>
            <w:tcW w:w="1332" w:type="dxa"/>
            <w:gridSpan w:val="2"/>
            <w:noWrap w:val="0"/>
            <w:tcMar>
              <w:top w:w="16" w:type="dxa"/>
              <w:left w:w="16" w:type="dxa"/>
              <w:right w:w="16" w:type="dxa"/>
            </w:tcMar>
            <w:vAlign w:val="center"/>
          </w:tcPr>
          <w:p w14:paraId="69D8C7A7">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地理坐标</w:t>
            </w:r>
          </w:p>
        </w:tc>
        <w:tc>
          <w:tcPr>
            <w:tcW w:w="7538" w:type="dxa"/>
            <w:gridSpan w:val="4"/>
            <w:noWrap w:val="0"/>
            <w:vAlign w:val="center"/>
          </w:tcPr>
          <w:p w14:paraId="6324D9E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1号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：116</w:t>
            </w:r>
            <w:r>
              <w:rPr>
                <w:rFonts w:hint="eastAsia" w:ascii="Times New Roman" w:hAnsi="Times New Roman" w:cs="Times New Roman"/>
                <w:color w:val="auto"/>
                <w:sz w:val="24"/>
                <w:lang w:val="en-US" w:eastAsia="zh-CN"/>
              </w:rPr>
              <w:t>度</w:t>
            </w:r>
            <w:r>
              <w:rPr>
                <w:rFonts w:hint="default" w:ascii="Times New Roman" w:hAnsi="Times New Roman" w:eastAsia="宋体" w:cs="Times New Roman"/>
                <w:color w:val="auto"/>
                <w:sz w:val="24"/>
              </w:rPr>
              <w:t>4</w:t>
            </w:r>
            <w:r>
              <w:rPr>
                <w:rFonts w:hint="eastAsia" w:ascii="Times New Roman" w:hAnsi="Times New Roman" w:cs="Times New Roman"/>
                <w:color w:val="auto"/>
                <w:sz w:val="24"/>
                <w:lang w:val="en-US" w:eastAsia="zh-CN"/>
              </w:rPr>
              <w:t>3分28.916秒，32度53分14.446秒</w:t>
            </w:r>
          </w:p>
          <w:p w14:paraId="7E531B3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default" w:ascii="Times New Roman" w:hAnsi="Times New Roman" w:eastAsia="宋体" w:cs="Times New Roman"/>
                <w:color w:val="auto"/>
                <w:sz w:val="24"/>
              </w:rPr>
              <w:t>2号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116度43分27.800秒，32度53分7.102秒</w:t>
            </w:r>
          </w:p>
          <w:p w14:paraId="06B5273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116度43分26.083秒，32度53分0.970秒</w:t>
            </w:r>
          </w:p>
        </w:tc>
      </w:tr>
      <w:tr w14:paraId="39A806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dxa"/>
          <w:trHeight w:val="715" w:hRule="atLeast"/>
          <w:jc w:val="center"/>
        </w:trPr>
        <w:tc>
          <w:tcPr>
            <w:tcW w:w="1332" w:type="dxa"/>
            <w:gridSpan w:val="2"/>
            <w:noWrap w:val="0"/>
            <w:tcMar>
              <w:top w:w="16" w:type="dxa"/>
              <w:left w:w="16" w:type="dxa"/>
              <w:right w:w="16" w:type="dxa"/>
            </w:tcMar>
            <w:vAlign w:val="center"/>
          </w:tcPr>
          <w:p w14:paraId="30D3249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14:paraId="12BFDB1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p>
        </w:tc>
        <w:tc>
          <w:tcPr>
            <w:tcW w:w="2190" w:type="dxa"/>
            <w:noWrap w:val="0"/>
            <w:vAlign w:val="center"/>
          </w:tcPr>
          <w:p w14:paraId="75054DC3">
            <w:pPr>
              <w:adjustRightInd w:val="0"/>
              <w:snapToGrid w:val="0"/>
              <w:jc w:val="center"/>
              <w:rPr>
                <w:rFonts w:hint="eastAsia" w:ascii="Times New Roman" w:hAnsi="Times New Roman" w:eastAsia="宋体" w:cs="Times New Roman"/>
                <w:color w:val="auto"/>
                <w:sz w:val="24"/>
                <w:lang w:eastAsia="zh-CN"/>
              </w:rPr>
            </w:pP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四十六、专业技术服务业99中的陆地矿产资源地质勘查（含油气资源勘探）；二氧化碳地质封存中其他</w:t>
            </w:r>
            <w:r>
              <w:rPr>
                <w:rFonts w:hint="eastAsia" w:ascii="Times New Roman" w:hAnsi="Times New Roman" w:cs="Times New Roman"/>
                <w:color w:val="auto"/>
                <w:sz w:val="24"/>
                <w:lang w:eastAsia="zh-CN"/>
              </w:rPr>
              <w:t>”</w:t>
            </w:r>
          </w:p>
        </w:tc>
        <w:tc>
          <w:tcPr>
            <w:tcW w:w="2273" w:type="dxa"/>
            <w:noWrap w:val="0"/>
            <w:vAlign w:val="center"/>
          </w:tcPr>
          <w:p w14:paraId="51CE7ABF">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用地面积（m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p>
        </w:tc>
        <w:tc>
          <w:tcPr>
            <w:tcW w:w="3075" w:type="dxa"/>
            <w:gridSpan w:val="2"/>
            <w:noWrap w:val="0"/>
            <w:vAlign w:val="center"/>
          </w:tcPr>
          <w:p w14:paraId="4EB0B661">
            <w:pPr>
              <w:adjustRightInd w:val="0"/>
              <w:snapToGrid w:val="0"/>
              <w:jc w:val="center"/>
              <w:rPr>
                <w:rFonts w:hint="eastAsia"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井场临时用地：1568</w:t>
            </w:r>
            <w:r>
              <w:rPr>
                <w:rFonts w:ascii="Times New Roman" w:hAnsi="Times New Roman"/>
                <w:color w:val="auto"/>
                <w:sz w:val="24"/>
                <w:highlight w:val="none"/>
              </w:rPr>
              <w:t>m</w:t>
            </w:r>
            <w:r>
              <w:rPr>
                <w:rFonts w:ascii="Times New Roman" w:hAnsi="Times New Roman"/>
                <w:color w:val="auto"/>
                <w:sz w:val="24"/>
                <w:highlight w:val="none"/>
                <w:vertAlign w:val="superscript"/>
              </w:rPr>
              <w:t>2</w:t>
            </w:r>
            <w:r>
              <w:rPr>
                <w:rFonts w:hint="eastAsia" w:ascii="Times New Roman" w:hAnsi="Times New Roman"/>
                <w:color w:val="auto"/>
                <w:sz w:val="24"/>
                <w:highlight w:val="none"/>
                <w:lang w:val="en-US" w:eastAsia="zh-CN"/>
              </w:rPr>
              <w:t>；</w:t>
            </w:r>
          </w:p>
          <w:p w14:paraId="3E923FDA">
            <w:pPr>
              <w:adjustRightInd w:val="0"/>
              <w:snapToGrid w:val="0"/>
              <w:jc w:val="center"/>
              <w:rPr>
                <w:rFonts w:hint="default" w:ascii="Times New Roman" w:hAnsi="Times New Roman" w:cs="Times New Roman"/>
                <w:color w:val="auto"/>
                <w:sz w:val="24"/>
                <w:highlight w:val="none"/>
              </w:rPr>
            </w:pPr>
            <w:r>
              <w:rPr>
                <w:rFonts w:hint="eastAsia" w:ascii="Times New Roman" w:hAnsi="Times New Roman"/>
                <w:color w:val="auto"/>
                <w:sz w:val="24"/>
                <w:highlight w:val="none"/>
                <w:lang w:val="en-US" w:eastAsia="zh-CN"/>
              </w:rPr>
              <w:t>临时道路用地：228</w:t>
            </w:r>
            <w:r>
              <w:rPr>
                <w:rFonts w:ascii="Times New Roman" w:hAnsi="Times New Roman"/>
                <w:color w:val="auto"/>
                <w:sz w:val="24"/>
                <w:highlight w:val="none"/>
              </w:rPr>
              <w:t>m</w:t>
            </w:r>
            <w:r>
              <w:rPr>
                <w:rFonts w:ascii="Times New Roman" w:hAnsi="Times New Roman"/>
                <w:color w:val="auto"/>
                <w:sz w:val="24"/>
                <w:highlight w:val="none"/>
                <w:vertAlign w:val="superscript"/>
              </w:rPr>
              <w:t>2</w:t>
            </w:r>
          </w:p>
        </w:tc>
      </w:tr>
      <w:tr w14:paraId="411D91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dxa"/>
          <w:trHeight w:val="104" w:hRule="atLeast"/>
          <w:jc w:val="center"/>
        </w:trPr>
        <w:tc>
          <w:tcPr>
            <w:tcW w:w="1332" w:type="dxa"/>
            <w:gridSpan w:val="2"/>
            <w:noWrap w:val="0"/>
            <w:tcMar>
              <w:top w:w="16" w:type="dxa"/>
              <w:left w:w="16" w:type="dxa"/>
              <w:right w:w="16" w:type="dxa"/>
            </w:tcMar>
            <w:vAlign w:val="center"/>
          </w:tcPr>
          <w:p w14:paraId="7D1B277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建设性质</w:t>
            </w:r>
          </w:p>
        </w:tc>
        <w:tc>
          <w:tcPr>
            <w:tcW w:w="2190" w:type="dxa"/>
            <w:noWrap w:val="0"/>
            <w:vAlign w:val="center"/>
          </w:tcPr>
          <w:p w14:paraId="76D16BD6">
            <w:pPr>
              <w:adjustRightInd w:val="0"/>
              <w:snapToGrid w:val="0"/>
              <w:jc w:val="left"/>
              <w:rPr>
                <w:rFonts w:hint="default" w:ascii="Times New Roman" w:hAnsi="Times New Roman" w:cs="Times New Roman"/>
                <w:color w:val="auto"/>
                <w:sz w:val="24"/>
              </w:rPr>
            </w:pP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新建（迁建）</w:t>
            </w:r>
          </w:p>
          <w:p w14:paraId="573C9869">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□改建</w:t>
            </w:r>
          </w:p>
          <w:p w14:paraId="2124CD2E">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□扩建</w:t>
            </w:r>
          </w:p>
          <w:p w14:paraId="5EA4A1C6">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□技术改造</w:t>
            </w:r>
          </w:p>
        </w:tc>
        <w:tc>
          <w:tcPr>
            <w:tcW w:w="2273" w:type="dxa"/>
            <w:noWrap w:val="0"/>
            <w:vAlign w:val="center"/>
          </w:tcPr>
          <w:p w14:paraId="5B84AEE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14:paraId="7EDC8DD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申报情形</w:t>
            </w:r>
          </w:p>
        </w:tc>
        <w:tc>
          <w:tcPr>
            <w:tcW w:w="3075" w:type="dxa"/>
            <w:gridSpan w:val="2"/>
            <w:noWrap w:val="0"/>
            <w:vAlign w:val="center"/>
          </w:tcPr>
          <w:p w14:paraId="62B06AE6">
            <w:pPr>
              <w:adjustRightInd w:val="0"/>
              <w:snapToGrid w:val="0"/>
              <w:jc w:val="left"/>
              <w:rPr>
                <w:rFonts w:hint="default" w:ascii="Times New Roman" w:hAnsi="Times New Roman" w:cs="Times New Roman"/>
                <w:color w:val="auto"/>
                <w:sz w:val="24"/>
              </w:rPr>
            </w:pP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首次申报项目</w:t>
            </w:r>
          </w:p>
          <w:p w14:paraId="36C2BF69">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□不予批准后再次申报项目</w:t>
            </w:r>
          </w:p>
          <w:p w14:paraId="7B9AF54B">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□超五年重新审核项目</w:t>
            </w:r>
          </w:p>
          <w:p w14:paraId="2829C893">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□重大变动重新报批项目</w:t>
            </w:r>
          </w:p>
        </w:tc>
      </w:tr>
      <w:tr w14:paraId="437703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dxa"/>
          <w:trHeight w:val="762" w:hRule="atLeast"/>
          <w:jc w:val="center"/>
        </w:trPr>
        <w:tc>
          <w:tcPr>
            <w:tcW w:w="1332" w:type="dxa"/>
            <w:gridSpan w:val="2"/>
            <w:noWrap w:val="0"/>
            <w:tcMar>
              <w:top w:w="16" w:type="dxa"/>
              <w:left w:w="16" w:type="dxa"/>
              <w:right w:w="16" w:type="dxa"/>
            </w:tcMar>
            <w:vAlign w:val="center"/>
          </w:tcPr>
          <w:p w14:paraId="40005598">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项目审批（核准/备案）部门（选填）</w:t>
            </w:r>
          </w:p>
        </w:tc>
        <w:tc>
          <w:tcPr>
            <w:tcW w:w="2190" w:type="dxa"/>
            <w:noWrap w:val="0"/>
            <w:vAlign w:val="center"/>
          </w:tcPr>
          <w:p w14:paraId="533BB12D">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潘集区发展和改革委员会</w:t>
            </w:r>
          </w:p>
        </w:tc>
        <w:tc>
          <w:tcPr>
            <w:tcW w:w="2273" w:type="dxa"/>
            <w:noWrap w:val="0"/>
            <w:vAlign w:val="center"/>
          </w:tcPr>
          <w:p w14:paraId="1CBC9C04">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w:t>
            </w:r>
          </w:p>
          <w:p w14:paraId="4D9204C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备案）文号（选填）</w:t>
            </w:r>
          </w:p>
        </w:tc>
        <w:tc>
          <w:tcPr>
            <w:tcW w:w="3075" w:type="dxa"/>
            <w:gridSpan w:val="2"/>
            <w:noWrap w:val="0"/>
            <w:vAlign w:val="center"/>
          </w:tcPr>
          <w:p w14:paraId="1BFA3A5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w:t>
            </w:r>
          </w:p>
        </w:tc>
      </w:tr>
      <w:tr w14:paraId="68699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dxa"/>
          <w:trHeight w:val="355" w:hRule="atLeast"/>
          <w:jc w:val="center"/>
        </w:trPr>
        <w:tc>
          <w:tcPr>
            <w:tcW w:w="1332" w:type="dxa"/>
            <w:gridSpan w:val="2"/>
            <w:noWrap w:val="0"/>
            <w:tcMar>
              <w:top w:w="16" w:type="dxa"/>
              <w:left w:w="16" w:type="dxa"/>
              <w:right w:w="16" w:type="dxa"/>
            </w:tcMar>
            <w:vAlign w:val="center"/>
          </w:tcPr>
          <w:p w14:paraId="20BA2DEA">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总投资（万元）</w:t>
            </w:r>
          </w:p>
        </w:tc>
        <w:tc>
          <w:tcPr>
            <w:tcW w:w="2190" w:type="dxa"/>
            <w:noWrap w:val="0"/>
            <w:vAlign w:val="center"/>
          </w:tcPr>
          <w:p w14:paraId="13031A5A">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146.3775</w:t>
            </w:r>
          </w:p>
        </w:tc>
        <w:tc>
          <w:tcPr>
            <w:tcW w:w="2273" w:type="dxa"/>
            <w:noWrap w:val="0"/>
            <w:tcMar>
              <w:top w:w="16" w:type="dxa"/>
              <w:left w:w="16" w:type="dxa"/>
              <w:right w:w="16" w:type="dxa"/>
            </w:tcMar>
            <w:vAlign w:val="center"/>
          </w:tcPr>
          <w:p w14:paraId="3F2F2B35">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环保投资（万元）</w:t>
            </w:r>
          </w:p>
        </w:tc>
        <w:tc>
          <w:tcPr>
            <w:tcW w:w="3075" w:type="dxa"/>
            <w:gridSpan w:val="2"/>
            <w:noWrap w:val="0"/>
            <w:vAlign w:val="center"/>
          </w:tcPr>
          <w:p w14:paraId="0BEEE4BF">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highlight w:val="none"/>
                <w:lang w:val="en-US" w:eastAsia="zh-CN"/>
              </w:rPr>
              <w:t>35</w:t>
            </w:r>
          </w:p>
        </w:tc>
      </w:tr>
      <w:tr w14:paraId="24A973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dxa"/>
          <w:trHeight w:val="364" w:hRule="atLeast"/>
          <w:jc w:val="center"/>
        </w:trPr>
        <w:tc>
          <w:tcPr>
            <w:tcW w:w="1332" w:type="dxa"/>
            <w:gridSpan w:val="2"/>
            <w:noWrap w:val="0"/>
            <w:tcMar>
              <w:top w:w="16" w:type="dxa"/>
              <w:left w:w="16" w:type="dxa"/>
              <w:right w:w="16" w:type="dxa"/>
            </w:tcMar>
            <w:vAlign w:val="center"/>
          </w:tcPr>
          <w:p w14:paraId="171BFB0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环保投资占比（%）</w:t>
            </w:r>
          </w:p>
        </w:tc>
        <w:tc>
          <w:tcPr>
            <w:tcW w:w="2190" w:type="dxa"/>
            <w:noWrap w:val="0"/>
            <w:vAlign w:val="center"/>
          </w:tcPr>
          <w:p w14:paraId="78F531B6">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highlight w:val="none"/>
                <w:lang w:val="en-US" w:eastAsia="zh-CN"/>
              </w:rPr>
              <w:t>23.9</w:t>
            </w:r>
            <w:r>
              <w:rPr>
                <w:rFonts w:hint="default" w:ascii="Times New Roman" w:hAnsi="Times New Roman" w:cs="Times New Roman"/>
                <w:color w:val="auto"/>
                <w:sz w:val="24"/>
                <w:highlight w:val="none"/>
                <w:lang w:val="en-US" w:eastAsia="zh-CN"/>
              </w:rPr>
              <w:t>%</w:t>
            </w:r>
          </w:p>
        </w:tc>
        <w:tc>
          <w:tcPr>
            <w:tcW w:w="2273" w:type="dxa"/>
            <w:noWrap w:val="0"/>
            <w:tcMar>
              <w:top w:w="16" w:type="dxa"/>
              <w:left w:w="16" w:type="dxa"/>
              <w:right w:w="16" w:type="dxa"/>
            </w:tcMar>
            <w:vAlign w:val="center"/>
          </w:tcPr>
          <w:p w14:paraId="3F00F362">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施工工期</w:t>
            </w:r>
          </w:p>
        </w:tc>
        <w:tc>
          <w:tcPr>
            <w:tcW w:w="3075" w:type="dxa"/>
            <w:gridSpan w:val="2"/>
            <w:noWrap w:val="0"/>
            <w:vAlign w:val="center"/>
          </w:tcPr>
          <w:p w14:paraId="3561FA7F">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6月</w:t>
            </w:r>
          </w:p>
        </w:tc>
      </w:tr>
      <w:tr w14:paraId="2AA72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dxa"/>
          <w:trHeight w:val="911" w:hRule="atLeast"/>
          <w:jc w:val="center"/>
        </w:trPr>
        <w:tc>
          <w:tcPr>
            <w:tcW w:w="1332" w:type="dxa"/>
            <w:gridSpan w:val="2"/>
            <w:noWrap w:val="0"/>
            <w:tcMar>
              <w:top w:w="16" w:type="dxa"/>
              <w:left w:w="16" w:type="dxa"/>
              <w:right w:w="16" w:type="dxa"/>
            </w:tcMar>
            <w:vAlign w:val="center"/>
          </w:tcPr>
          <w:p w14:paraId="063BAD79">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是否开工建设</w:t>
            </w:r>
          </w:p>
        </w:tc>
        <w:tc>
          <w:tcPr>
            <w:tcW w:w="7538" w:type="dxa"/>
            <w:gridSpan w:val="4"/>
            <w:noWrap w:val="0"/>
            <w:vAlign w:val="center"/>
          </w:tcPr>
          <w:p w14:paraId="6ED8DC99">
            <w:pPr>
              <w:adjustRightInd w:val="0"/>
              <w:snapToGrid w:val="0"/>
              <w:jc w:val="left"/>
              <w:rPr>
                <w:rFonts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否</w:t>
            </w:r>
          </w:p>
          <w:p w14:paraId="4F48D323">
            <w:pPr>
              <w:adjustRightInd w:val="0"/>
              <w:snapToGrid w:val="0"/>
              <w:jc w:val="left"/>
              <w:rPr>
                <w:rFonts w:hint="default" w:ascii="Times New Roman" w:hAnsi="Times New Roman" w:cs="Times New Roman"/>
                <w:color w:val="auto"/>
                <w:sz w:val="24"/>
              </w:rPr>
            </w:pPr>
            <w:r>
              <w:rPr>
                <w:rFonts w:hint="eastAsia" w:ascii="宋体" w:hAnsi="宋体" w:cs="宋体"/>
                <w:color w:val="auto"/>
                <w:szCs w:val="21"/>
              </w:rPr>
              <w:t>□是：</w:t>
            </w:r>
            <w:r>
              <w:rPr>
                <w:rFonts w:ascii="宋体" w:hAnsi="宋体" w:cs="宋体"/>
                <w:color w:val="auto"/>
                <w:szCs w:val="21"/>
                <w:u w:val="single"/>
              </w:rPr>
              <w:t xml:space="preserve"> </w:t>
            </w:r>
            <w:r>
              <w:rPr>
                <w:rFonts w:hint="eastAsia" w:ascii="宋体" w:hAnsi="宋体" w:cs="宋体"/>
                <w:color w:val="auto"/>
                <w:szCs w:val="21"/>
                <w:u w:val="single"/>
              </w:rPr>
              <w:t xml:space="preserve">                     </w:t>
            </w:r>
            <w:r>
              <w:rPr>
                <w:rFonts w:ascii="宋体" w:hAnsi="宋体" w:cs="宋体"/>
                <w:color w:val="auto"/>
                <w:szCs w:val="21"/>
                <w:u w:val="single"/>
              </w:rPr>
              <w:t xml:space="preserve">       </w:t>
            </w:r>
          </w:p>
        </w:tc>
      </w:tr>
      <w:tr w14:paraId="590EB4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70" w:type="dxa"/>
            <w:noWrap w:val="0"/>
            <w:tcMar>
              <w:top w:w="16" w:type="dxa"/>
              <w:left w:w="16" w:type="dxa"/>
              <w:right w:w="16" w:type="dxa"/>
            </w:tcMar>
            <w:vAlign w:val="center"/>
          </w:tcPr>
          <w:p w14:paraId="3D6258CF">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专项评价设置情况</w:t>
            </w:r>
          </w:p>
        </w:tc>
        <w:tc>
          <w:tcPr>
            <w:tcW w:w="8200" w:type="dxa"/>
            <w:gridSpan w:val="5"/>
            <w:noWrap w:val="0"/>
            <w:tcMar>
              <w:top w:w="16" w:type="dxa"/>
              <w:left w:w="16" w:type="dxa"/>
              <w:right w:w="16" w:type="dxa"/>
            </w:tcMar>
            <w:vAlign w:val="center"/>
          </w:tcPr>
          <w:p w14:paraId="648DFF74">
            <w:pPr>
              <w:spacing w:line="360" w:lineRule="auto"/>
              <w:ind w:firstLine="480" w:firstLineChars="200"/>
              <w:rPr>
                <w:rFonts w:hint="default" w:ascii="Times New Roman" w:hAnsi="Times New Roman" w:cs="Times New Roman"/>
                <w:color w:val="auto"/>
                <w:sz w:val="24"/>
              </w:rPr>
            </w:pPr>
            <w:r>
              <w:rPr>
                <w:rFonts w:ascii="Times New Roman" w:hAnsi="Times New Roman"/>
                <w:color w:val="auto"/>
                <w:sz w:val="24"/>
              </w:rPr>
              <w:t>根据《建设项目环境影响报告表编制技术指南</w:t>
            </w:r>
            <w:r>
              <w:rPr>
                <w:rFonts w:hint="eastAsia" w:ascii="Times New Roman" w:hAnsi="Times New Roman"/>
                <w:color w:val="auto"/>
                <w:sz w:val="24"/>
                <w:lang w:eastAsia="zh-CN"/>
              </w:rPr>
              <w:t>（</w:t>
            </w:r>
            <w:r>
              <w:rPr>
                <w:rFonts w:ascii="Times New Roman" w:hAnsi="Times New Roman"/>
                <w:color w:val="auto"/>
                <w:sz w:val="24"/>
              </w:rPr>
              <w:t>生态影响类</w:t>
            </w:r>
            <w:r>
              <w:rPr>
                <w:rFonts w:hint="eastAsia" w:ascii="Times New Roman" w:hAnsi="Times New Roman"/>
                <w:color w:val="auto"/>
                <w:sz w:val="24"/>
                <w:lang w:eastAsia="zh-CN"/>
              </w:rPr>
              <w:t>）</w:t>
            </w:r>
            <w:r>
              <w:rPr>
                <w:rFonts w:ascii="Times New Roman" w:hAnsi="Times New Roman"/>
                <w:color w:val="auto"/>
                <w:sz w:val="24"/>
              </w:rPr>
              <w:t>》</w:t>
            </w:r>
            <w:r>
              <w:rPr>
                <w:rFonts w:hint="eastAsia" w:ascii="Times New Roman" w:hAnsi="Times New Roman"/>
                <w:color w:val="auto"/>
                <w:sz w:val="24"/>
                <w:lang w:eastAsia="zh-CN"/>
              </w:rPr>
              <w:t>（</w:t>
            </w:r>
            <w:r>
              <w:rPr>
                <w:rFonts w:ascii="Times New Roman" w:hAnsi="Times New Roman"/>
                <w:color w:val="auto"/>
                <w:sz w:val="24"/>
              </w:rPr>
              <w:t>试行</w:t>
            </w:r>
            <w:r>
              <w:rPr>
                <w:rFonts w:hint="eastAsia" w:ascii="Times New Roman" w:hAnsi="Times New Roman"/>
                <w:color w:val="auto"/>
                <w:sz w:val="24"/>
                <w:lang w:eastAsia="zh-CN"/>
              </w:rPr>
              <w:t>）</w:t>
            </w:r>
            <w:r>
              <w:rPr>
                <w:rFonts w:ascii="Times New Roman" w:hAnsi="Times New Roman"/>
                <w:color w:val="auto"/>
                <w:sz w:val="24"/>
              </w:rPr>
              <w:t>，建设项目产生的生态环境影响需要深入论证的，应按照环境影响评价相关技术导则开展专项评价工作。根据建设项目特点和涉及的环境敏感区类别，确定专项评价的类别，设置原则参照表，确有必要的可根据建设项目环境影响程度等实际情况适当调整。专项评价一般不超过两项，水利水电、交通运输</w:t>
            </w:r>
            <w:r>
              <w:rPr>
                <w:rFonts w:hint="eastAsia" w:ascii="Times New Roman" w:hAnsi="Times New Roman"/>
                <w:color w:val="auto"/>
                <w:sz w:val="24"/>
                <w:lang w:eastAsia="zh-CN"/>
              </w:rPr>
              <w:t>（</w:t>
            </w:r>
            <w:r>
              <w:rPr>
                <w:rFonts w:ascii="Times New Roman" w:hAnsi="Times New Roman"/>
                <w:color w:val="auto"/>
                <w:sz w:val="24"/>
              </w:rPr>
              <w:t>公路、铁路</w:t>
            </w:r>
            <w:r>
              <w:rPr>
                <w:rFonts w:hint="eastAsia" w:ascii="Times New Roman" w:hAnsi="Times New Roman"/>
                <w:color w:val="auto"/>
                <w:sz w:val="24"/>
                <w:lang w:eastAsia="zh-CN"/>
              </w:rPr>
              <w:t>）</w:t>
            </w:r>
            <w:r>
              <w:rPr>
                <w:rFonts w:ascii="Times New Roman" w:hAnsi="Times New Roman"/>
                <w:color w:val="auto"/>
                <w:sz w:val="24"/>
              </w:rPr>
              <w:t>、陆地石油和天然气开采类建设项目不超过三项。</w:t>
            </w:r>
          </w:p>
          <w:p w14:paraId="0D4479E2">
            <w:pPr>
              <w:spacing w:line="360" w:lineRule="auto"/>
              <w:jc w:val="center"/>
              <w:rPr>
                <w:rFonts w:ascii="Times New Roman" w:hAnsi="Times New Roman"/>
                <w:b/>
                <w:color w:val="auto"/>
                <w:szCs w:val="21"/>
              </w:rPr>
            </w:pPr>
            <w:r>
              <w:rPr>
                <w:rFonts w:ascii="Times New Roman" w:hAnsi="Times New Roman"/>
                <w:b/>
                <w:color w:val="auto"/>
                <w:szCs w:val="21"/>
              </w:rPr>
              <w:t>表1-1专项评价设置原则对应一览表</w:t>
            </w:r>
          </w:p>
          <w:tbl>
            <w:tblPr>
              <w:tblStyle w:val="20"/>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3588"/>
              <w:gridCol w:w="3239"/>
            </w:tblGrid>
            <w:tr w14:paraId="707A5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14" w:type="dxa"/>
                  <w:noWrap/>
                  <w:vAlign w:val="center"/>
                </w:tcPr>
                <w:p w14:paraId="723647FC">
                  <w:pPr>
                    <w:jc w:val="center"/>
                    <w:rPr>
                      <w:rFonts w:ascii="Times New Roman" w:hAnsi="Times New Roman"/>
                      <w:color w:val="auto"/>
                    </w:rPr>
                  </w:pPr>
                  <w:r>
                    <w:rPr>
                      <w:rFonts w:ascii="Times New Roman" w:hAnsi="Times New Roman"/>
                      <w:color w:val="auto"/>
                    </w:rPr>
                    <w:t>专项评价的类别</w:t>
                  </w:r>
                </w:p>
              </w:tc>
              <w:tc>
                <w:tcPr>
                  <w:tcW w:w="3434" w:type="dxa"/>
                  <w:noWrap/>
                  <w:vAlign w:val="center"/>
                </w:tcPr>
                <w:p w14:paraId="636C9634">
                  <w:pPr>
                    <w:jc w:val="center"/>
                    <w:rPr>
                      <w:rFonts w:ascii="Times New Roman" w:hAnsi="Times New Roman"/>
                      <w:color w:val="auto"/>
                    </w:rPr>
                  </w:pPr>
                  <w:r>
                    <w:rPr>
                      <w:rFonts w:ascii="Times New Roman" w:hAnsi="Times New Roman"/>
                      <w:color w:val="auto"/>
                    </w:rPr>
                    <w:t>涉及项目类别</w:t>
                  </w:r>
                </w:p>
              </w:tc>
              <w:tc>
                <w:tcPr>
                  <w:tcW w:w="3100" w:type="dxa"/>
                  <w:noWrap/>
                  <w:vAlign w:val="center"/>
                </w:tcPr>
                <w:p w14:paraId="06DDB994">
                  <w:pPr>
                    <w:jc w:val="center"/>
                    <w:rPr>
                      <w:rFonts w:hint="default" w:ascii="Times New Roman" w:hAnsi="Times New Roman"/>
                      <w:color w:val="auto"/>
                      <w:lang w:val="en-US"/>
                    </w:rPr>
                  </w:pPr>
                  <w:r>
                    <w:rPr>
                      <w:rFonts w:hint="eastAsia" w:ascii="Times New Roman" w:hAnsi="Times New Roman"/>
                      <w:color w:val="auto"/>
                      <w:lang w:val="en-US" w:eastAsia="zh-CN"/>
                    </w:rPr>
                    <w:t>本项目情况</w:t>
                  </w:r>
                </w:p>
              </w:tc>
            </w:tr>
            <w:tr w14:paraId="10FAE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1114" w:type="dxa"/>
                  <w:noWrap/>
                  <w:vAlign w:val="center"/>
                </w:tcPr>
                <w:p w14:paraId="2D2DEAF4">
                  <w:pPr>
                    <w:jc w:val="center"/>
                    <w:rPr>
                      <w:rFonts w:ascii="Times New Roman" w:hAnsi="Times New Roman"/>
                      <w:color w:val="auto"/>
                    </w:rPr>
                  </w:pPr>
                  <w:r>
                    <w:rPr>
                      <w:rFonts w:ascii="Times New Roman" w:hAnsi="Times New Roman"/>
                      <w:color w:val="auto"/>
                    </w:rPr>
                    <w:t>地表水</w:t>
                  </w:r>
                </w:p>
              </w:tc>
              <w:tc>
                <w:tcPr>
                  <w:tcW w:w="3434" w:type="dxa"/>
                  <w:noWrap/>
                  <w:vAlign w:val="center"/>
                </w:tcPr>
                <w:p w14:paraId="2AEAC3E6">
                  <w:pPr>
                    <w:rPr>
                      <w:rFonts w:ascii="Times New Roman" w:hAnsi="Times New Roman"/>
                      <w:color w:val="auto"/>
                    </w:rPr>
                  </w:pPr>
                  <w:r>
                    <w:rPr>
                      <w:rFonts w:ascii="Times New Roman" w:hAnsi="Times New Roman"/>
                      <w:color w:val="auto"/>
                    </w:rPr>
                    <w:t>水力发电</w:t>
                  </w:r>
                  <w:r>
                    <w:rPr>
                      <w:rFonts w:hint="eastAsia" w:ascii="Times New Roman" w:hAnsi="Times New Roman"/>
                      <w:color w:val="auto"/>
                    </w:rPr>
                    <w:t>：</w:t>
                  </w:r>
                  <w:r>
                    <w:rPr>
                      <w:rFonts w:ascii="Times New Roman" w:hAnsi="Times New Roman"/>
                      <w:color w:val="auto"/>
                    </w:rPr>
                    <w:t>引水式发电、涉及调峰发电的项目</w:t>
                  </w:r>
                  <w:r>
                    <w:rPr>
                      <w:rFonts w:hint="eastAsia" w:ascii="Times New Roman" w:hAnsi="Times New Roman"/>
                      <w:color w:val="auto"/>
                    </w:rPr>
                    <w:t>；</w:t>
                  </w:r>
                </w:p>
                <w:p w14:paraId="306F8104">
                  <w:pPr>
                    <w:rPr>
                      <w:rFonts w:ascii="Times New Roman" w:hAnsi="Times New Roman"/>
                      <w:color w:val="auto"/>
                    </w:rPr>
                  </w:pPr>
                  <w:r>
                    <w:rPr>
                      <w:rFonts w:ascii="Times New Roman" w:hAnsi="Times New Roman"/>
                      <w:color w:val="auto"/>
                    </w:rPr>
                    <w:t>人工湖、人工湿地</w:t>
                  </w:r>
                  <w:r>
                    <w:rPr>
                      <w:rFonts w:hint="eastAsia" w:ascii="Times New Roman" w:hAnsi="Times New Roman"/>
                      <w:color w:val="auto"/>
                    </w:rPr>
                    <w:t>：</w:t>
                  </w:r>
                  <w:r>
                    <w:rPr>
                      <w:rFonts w:ascii="Times New Roman" w:hAnsi="Times New Roman"/>
                      <w:color w:val="auto"/>
                    </w:rPr>
                    <w:t>全部</w:t>
                  </w:r>
                  <w:r>
                    <w:rPr>
                      <w:rFonts w:hint="eastAsia" w:ascii="Times New Roman" w:hAnsi="Times New Roman"/>
                      <w:color w:val="auto"/>
                    </w:rPr>
                    <w:t>；</w:t>
                  </w:r>
                </w:p>
                <w:p w14:paraId="09213C71">
                  <w:pPr>
                    <w:rPr>
                      <w:rFonts w:ascii="Times New Roman" w:hAnsi="Times New Roman"/>
                      <w:color w:val="auto"/>
                    </w:rPr>
                  </w:pPr>
                  <w:r>
                    <w:rPr>
                      <w:rFonts w:ascii="Times New Roman" w:hAnsi="Times New Roman"/>
                      <w:color w:val="auto"/>
                    </w:rPr>
                    <w:t>水库</w:t>
                  </w:r>
                  <w:r>
                    <w:rPr>
                      <w:rFonts w:hint="eastAsia" w:ascii="Times New Roman" w:hAnsi="Times New Roman"/>
                      <w:color w:val="auto"/>
                    </w:rPr>
                    <w:t>：</w:t>
                  </w:r>
                  <w:r>
                    <w:rPr>
                      <w:rFonts w:ascii="Times New Roman" w:hAnsi="Times New Roman"/>
                      <w:color w:val="auto"/>
                    </w:rPr>
                    <w:t>全部</w:t>
                  </w:r>
                  <w:r>
                    <w:rPr>
                      <w:rFonts w:hint="eastAsia" w:ascii="Times New Roman" w:hAnsi="Times New Roman"/>
                      <w:color w:val="auto"/>
                    </w:rPr>
                    <w:t>；</w:t>
                  </w:r>
                </w:p>
                <w:p w14:paraId="616A806E">
                  <w:pPr>
                    <w:rPr>
                      <w:rFonts w:ascii="Times New Roman" w:hAnsi="Times New Roman"/>
                      <w:color w:val="auto"/>
                    </w:rPr>
                  </w:pPr>
                  <w:r>
                    <w:rPr>
                      <w:rFonts w:ascii="Times New Roman" w:hAnsi="Times New Roman"/>
                      <w:color w:val="auto"/>
                    </w:rPr>
                    <w:t>引水工程</w:t>
                  </w:r>
                  <w:r>
                    <w:rPr>
                      <w:rFonts w:hint="eastAsia" w:ascii="Times New Roman" w:hAnsi="Times New Roman"/>
                      <w:color w:val="auto"/>
                    </w:rPr>
                    <w:t>：</w:t>
                  </w:r>
                  <w:r>
                    <w:rPr>
                      <w:rFonts w:ascii="Times New Roman" w:hAnsi="Times New Roman"/>
                      <w:color w:val="auto"/>
                    </w:rPr>
                    <w:t>全部(配套的管线工程等除外)</w:t>
                  </w:r>
                  <w:r>
                    <w:rPr>
                      <w:rFonts w:hint="eastAsia" w:ascii="Times New Roman" w:hAnsi="Times New Roman"/>
                      <w:color w:val="auto"/>
                    </w:rPr>
                    <w:t>；</w:t>
                  </w:r>
                </w:p>
                <w:p w14:paraId="2B2ECDFE">
                  <w:pPr>
                    <w:rPr>
                      <w:rFonts w:ascii="Times New Roman" w:hAnsi="Times New Roman"/>
                      <w:color w:val="auto"/>
                    </w:rPr>
                  </w:pPr>
                  <w:r>
                    <w:rPr>
                      <w:rFonts w:ascii="Times New Roman" w:hAnsi="Times New Roman"/>
                      <w:color w:val="auto"/>
                    </w:rPr>
                    <w:t>防洪除涝工程</w:t>
                  </w:r>
                  <w:r>
                    <w:rPr>
                      <w:rFonts w:hint="eastAsia" w:ascii="Times New Roman" w:hAnsi="Times New Roman"/>
                      <w:color w:val="auto"/>
                    </w:rPr>
                    <w:t>：</w:t>
                  </w:r>
                  <w:r>
                    <w:rPr>
                      <w:rFonts w:ascii="Times New Roman" w:hAnsi="Times New Roman"/>
                      <w:color w:val="auto"/>
                    </w:rPr>
                    <w:t>包含水库的项目</w:t>
                  </w:r>
                  <w:r>
                    <w:rPr>
                      <w:rFonts w:hint="eastAsia" w:ascii="Times New Roman" w:hAnsi="Times New Roman"/>
                      <w:color w:val="auto"/>
                    </w:rPr>
                    <w:t>；</w:t>
                  </w:r>
                </w:p>
                <w:p w14:paraId="49E2AE66">
                  <w:pPr>
                    <w:rPr>
                      <w:rFonts w:ascii="Times New Roman" w:hAnsi="Times New Roman"/>
                      <w:color w:val="auto"/>
                    </w:rPr>
                  </w:pPr>
                  <w:r>
                    <w:rPr>
                      <w:rFonts w:ascii="Times New Roman" w:hAnsi="Times New Roman"/>
                      <w:color w:val="auto"/>
                    </w:rPr>
                    <w:t>河湖整治</w:t>
                  </w:r>
                  <w:r>
                    <w:rPr>
                      <w:rFonts w:hint="eastAsia" w:ascii="Times New Roman" w:hAnsi="Times New Roman"/>
                      <w:color w:val="auto"/>
                    </w:rPr>
                    <w:t>：</w:t>
                  </w:r>
                  <w:r>
                    <w:rPr>
                      <w:rFonts w:ascii="Times New Roman" w:hAnsi="Times New Roman"/>
                      <w:color w:val="auto"/>
                    </w:rPr>
                    <w:t>涉及清淤且底泥存在重金属污染的项目</w:t>
                  </w:r>
                </w:p>
              </w:tc>
              <w:tc>
                <w:tcPr>
                  <w:tcW w:w="3100" w:type="dxa"/>
                  <w:noWrap/>
                  <w:vAlign w:val="center"/>
                </w:tcPr>
                <w:p w14:paraId="175B082A">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本项目属于</w:t>
                  </w:r>
                  <w:r>
                    <w:rPr>
                      <w:rFonts w:ascii="Times New Roman" w:hAnsi="Times New Roman"/>
                      <w:color w:val="auto"/>
                    </w:rPr>
                    <w:t>固体矿产地质勘查项目</w:t>
                  </w:r>
                  <w:r>
                    <w:rPr>
                      <w:rFonts w:hint="eastAsia" w:ascii="Times New Roman" w:hAnsi="Times New Roman"/>
                      <w:color w:val="auto"/>
                      <w:lang w:eastAsia="zh-CN"/>
                    </w:rPr>
                    <w:t>，</w:t>
                  </w:r>
                  <w:r>
                    <w:rPr>
                      <w:rFonts w:hint="eastAsia" w:ascii="Times New Roman" w:hAnsi="Times New Roman"/>
                      <w:color w:val="auto"/>
                      <w:lang w:val="en-US" w:eastAsia="zh-CN"/>
                    </w:rPr>
                    <w:t>不属于涉及项目类别范畴</w:t>
                  </w:r>
                </w:p>
              </w:tc>
            </w:tr>
            <w:tr w14:paraId="502A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14" w:type="dxa"/>
                  <w:noWrap/>
                  <w:vAlign w:val="center"/>
                </w:tcPr>
                <w:p w14:paraId="1AE3DB4D">
                  <w:pPr>
                    <w:jc w:val="center"/>
                    <w:rPr>
                      <w:rFonts w:ascii="Times New Roman" w:hAnsi="Times New Roman"/>
                      <w:color w:val="auto"/>
                    </w:rPr>
                  </w:pPr>
                  <w:r>
                    <w:rPr>
                      <w:rFonts w:ascii="Times New Roman" w:hAnsi="Times New Roman"/>
                      <w:color w:val="auto"/>
                    </w:rPr>
                    <w:t>地下水</w:t>
                  </w:r>
                </w:p>
              </w:tc>
              <w:tc>
                <w:tcPr>
                  <w:tcW w:w="3434" w:type="dxa"/>
                  <w:noWrap/>
                  <w:vAlign w:val="center"/>
                </w:tcPr>
                <w:p w14:paraId="453F2AFF">
                  <w:pPr>
                    <w:rPr>
                      <w:rFonts w:ascii="Times New Roman" w:hAnsi="Times New Roman"/>
                      <w:color w:val="auto"/>
                    </w:rPr>
                  </w:pPr>
                  <w:r>
                    <w:rPr>
                      <w:rFonts w:ascii="Times New Roman" w:hAnsi="Times New Roman"/>
                      <w:color w:val="auto"/>
                    </w:rPr>
                    <w:t>陆地石油和天然气开采</w:t>
                  </w:r>
                  <w:r>
                    <w:rPr>
                      <w:rFonts w:hint="eastAsia" w:ascii="Times New Roman" w:hAnsi="Times New Roman"/>
                      <w:color w:val="auto"/>
                    </w:rPr>
                    <w:t>：</w:t>
                  </w:r>
                  <w:r>
                    <w:rPr>
                      <w:rFonts w:ascii="Times New Roman" w:hAnsi="Times New Roman"/>
                      <w:color w:val="auto"/>
                    </w:rPr>
                    <w:t>全部</w:t>
                  </w:r>
                  <w:r>
                    <w:rPr>
                      <w:rFonts w:hint="eastAsia" w:ascii="Times New Roman" w:hAnsi="Times New Roman"/>
                      <w:color w:val="auto"/>
                    </w:rPr>
                    <w:t>；</w:t>
                  </w:r>
                </w:p>
                <w:p w14:paraId="5EA95A6C">
                  <w:pPr>
                    <w:rPr>
                      <w:rFonts w:ascii="Times New Roman" w:hAnsi="Times New Roman"/>
                      <w:color w:val="auto"/>
                    </w:rPr>
                  </w:pPr>
                  <w:r>
                    <w:rPr>
                      <w:rFonts w:ascii="Times New Roman" w:hAnsi="Times New Roman"/>
                      <w:color w:val="auto"/>
                    </w:rPr>
                    <w:t>地下水(含矿泉水)开采</w:t>
                  </w:r>
                  <w:r>
                    <w:rPr>
                      <w:rFonts w:hint="eastAsia" w:ascii="Times New Roman" w:hAnsi="Times New Roman"/>
                      <w:color w:val="auto"/>
                    </w:rPr>
                    <w:t>：</w:t>
                  </w:r>
                  <w:r>
                    <w:rPr>
                      <w:rFonts w:ascii="Times New Roman" w:hAnsi="Times New Roman"/>
                      <w:color w:val="auto"/>
                    </w:rPr>
                    <w:t>全部</w:t>
                  </w:r>
                  <w:r>
                    <w:rPr>
                      <w:rFonts w:hint="eastAsia" w:ascii="Times New Roman" w:hAnsi="Times New Roman"/>
                      <w:color w:val="auto"/>
                    </w:rPr>
                    <w:t>；</w:t>
                  </w:r>
                </w:p>
                <w:p w14:paraId="2CC4E8E2">
                  <w:pPr>
                    <w:rPr>
                      <w:rFonts w:ascii="Times New Roman" w:hAnsi="Times New Roman"/>
                      <w:color w:val="auto"/>
                    </w:rPr>
                  </w:pPr>
                  <w:r>
                    <w:rPr>
                      <w:rFonts w:ascii="Times New Roman" w:hAnsi="Times New Roman"/>
                      <w:color w:val="auto"/>
                    </w:rPr>
                    <w:t>水利、水电、交通等</w:t>
                  </w:r>
                  <w:r>
                    <w:rPr>
                      <w:rFonts w:hint="eastAsia" w:ascii="Times New Roman" w:hAnsi="Times New Roman"/>
                      <w:color w:val="auto"/>
                    </w:rPr>
                    <w:t>：</w:t>
                  </w:r>
                  <w:r>
                    <w:rPr>
                      <w:rFonts w:ascii="Times New Roman" w:hAnsi="Times New Roman"/>
                      <w:color w:val="auto"/>
                    </w:rPr>
                    <w:t>含穿越可溶岩地层隧道的项目</w:t>
                  </w:r>
                </w:p>
              </w:tc>
              <w:tc>
                <w:tcPr>
                  <w:tcW w:w="3100" w:type="dxa"/>
                  <w:noWrap/>
                  <w:vAlign w:val="center"/>
                </w:tcPr>
                <w:p w14:paraId="5FDF9400">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本项目不涉及地下水开采工作</w:t>
                  </w:r>
                </w:p>
              </w:tc>
            </w:tr>
            <w:tr w14:paraId="1573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14" w:type="dxa"/>
                  <w:noWrap/>
                  <w:vAlign w:val="center"/>
                </w:tcPr>
                <w:p w14:paraId="1EE69BAA">
                  <w:pPr>
                    <w:jc w:val="center"/>
                    <w:rPr>
                      <w:rFonts w:ascii="Times New Roman" w:hAnsi="Times New Roman"/>
                      <w:color w:val="auto"/>
                    </w:rPr>
                  </w:pPr>
                  <w:r>
                    <w:rPr>
                      <w:rFonts w:ascii="Times New Roman" w:hAnsi="Times New Roman"/>
                      <w:color w:val="auto"/>
                    </w:rPr>
                    <w:t>生态</w:t>
                  </w:r>
                </w:p>
              </w:tc>
              <w:tc>
                <w:tcPr>
                  <w:tcW w:w="3434" w:type="dxa"/>
                  <w:noWrap/>
                  <w:vAlign w:val="center"/>
                </w:tcPr>
                <w:p w14:paraId="6E4E82BE">
                  <w:pPr>
                    <w:rPr>
                      <w:rFonts w:ascii="Times New Roman" w:hAnsi="Times New Roman"/>
                      <w:color w:val="auto"/>
                    </w:rPr>
                  </w:pPr>
                  <w:r>
                    <w:rPr>
                      <w:rFonts w:ascii="Times New Roman" w:hAnsi="Times New Roman"/>
                      <w:color w:val="auto"/>
                    </w:rPr>
                    <w:t>涉及环境敏感区(不包括饮用水水源保护区，以居住、医疗卫生、文化教育、科研、行政办公为主要功能的区域，以及文物保护单位)的项目</w:t>
                  </w:r>
                </w:p>
              </w:tc>
              <w:tc>
                <w:tcPr>
                  <w:tcW w:w="3100" w:type="dxa"/>
                  <w:noWrap/>
                  <w:vAlign w:val="center"/>
                </w:tcPr>
                <w:p w14:paraId="4CFA6059">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本项目评价范围不涉及</w:t>
                  </w:r>
                  <w:r>
                    <w:rPr>
                      <w:rFonts w:ascii="Times New Roman" w:hAnsi="Times New Roman"/>
                      <w:color w:val="auto"/>
                    </w:rPr>
                    <w:t>环境敏感区(不包括饮用水水源保护区，以居住、医疗卫生、文化教育、科研、行政办公为主要功能的区域，以及文物保护单位)</w:t>
                  </w:r>
                </w:p>
              </w:tc>
            </w:tr>
            <w:tr w14:paraId="4B6A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114" w:type="dxa"/>
                  <w:noWrap/>
                  <w:vAlign w:val="center"/>
                </w:tcPr>
                <w:p w14:paraId="5C037DB2">
                  <w:pPr>
                    <w:jc w:val="center"/>
                    <w:rPr>
                      <w:rFonts w:ascii="Times New Roman" w:hAnsi="Times New Roman"/>
                      <w:color w:val="auto"/>
                    </w:rPr>
                  </w:pPr>
                  <w:r>
                    <w:rPr>
                      <w:rFonts w:ascii="Times New Roman" w:hAnsi="Times New Roman"/>
                      <w:color w:val="auto"/>
                    </w:rPr>
                    <w:t>大气</w:t>
                  </w:r>
                </w:p>
              </w:tc>
              <w:tc>
                <w:tcPr>
                  <w:tcW w:w="3434" w:type="dxa"/>
                  <w:noWrap/>
                  <w:vAlign w:val="center"/>
                </w:tcPr>
                <w:p w14:paraId="47EBBD1C">
                  <w:pPr>
                    <w:rPr>
                      <w:rFonts w:ascii="Times New Roman" w:hAnsi="Times New Roman"/>
                      <w:color w:val="auto"/>
                    </w:rPr>
                  </w:pPr>
                  <w:r>
                    <w:rPr>
                      <w:rFonts w:ascii="Times New Roman" w:hAnsi="Times New Roman"/>
                      <w:color w:val="auto"/>
                    </w:rPr>
                    <w:t>油气、液体化工码头</w:t>
                  </w:r>
                  <w:r>
                    <w:rPr>
                      <w:rFonts w:hint="eastAsia" w:ascii="Times New Roman" w:hAnsi="Times New Roman"/>
                      <w:color w:val="auto"/>
                    </w:rPr>
                    <w:t>：</w:t>
                  </w:r>
                  <w:r>
                    <w:rPr>
                      <w:rFonts w:ascii="Times New Roman" w:hAnsi="Times New Roman"/>
                      <w:color w:val="auto"/>
                    </w:rPr>
                    <w:t>全部</w:t>
                  </w:r>
                  <w:r>
                    <w:rPr>
                      <w:rFonts w:hint="eastAsia" w:ascii="Times New Roman" w:hAnsi="Times New Roman"/>
                      <w:color w:val="auto"/>
                    </w:rPr>
                    <w:t>；</w:t>
                  </w:r>
                </w:p>
                <w:p w14:paraId="26C5E329">
                  <w:pPr>
                    <w:rPr>
                      <w:rFonts w:ascii="Times New Roman" w:hAnsi="Times New Roman"/>
                      <w:color w:val="auto"/>
                    </w:rPr>
                  </w:pPr>
                  <w:r>
                    <w:rPr>
                      <w:rFonts w:ascii="Times New Roman" w:hAnsi="Times New Roman"/>
                      <w:color w:val="auto"/>
                    </w:rPr>
                    <w:t>干散货(含煤炭、矿石)、件杂、多用途、通用码头</w:t>
                  </w:r>
                  <w:r>
                    <w:rPr>
                      <w:rFonts w:hint="eastAsia" w:ascii="Times New Roman" w:hAnsi="Times New Roman"/>
                      <w:color w:val="auto"/>
                    </w:rPr>
                    <w:t>：</w:t>
                  </w:r>
                  <w:r>
                    <w:rPr>
                      <w:rFonts w:ascii="Times New Roman" w:hAnsi="Times New Roman"/>
                      <w:color w:val="auto"/>
                    </w:rPr>
                    <w:t>涉及粉尘、挥发性有机物排放的项目</w:t>
                  </w:r>
                </w:p>
              </w:tc>
              <w:tc>
                <w:tcPr>
                  <w:tcW w:w="3100" w:type="dxa"/>
                  <w:noWrap/>
                  <w:vAlign w:val="center"/>
                </w:tcPr>
                <w:p w14:paraId="37D80F08">
                  <w:pPr>
                    <w:jc w:val="center"/>
                    <w:rPr>
                      <w:rFonts w:ascii="Times New Roman" w:hAnsi="Times New Roman"/>
                      <w:color w:val="auto"/>
                    </w:rPr>
                  </w:pPr>
                  <w:r>
                    <w:rPr>
                      <w:rFonts w:hint="eastAsia" w:ascii="Times New Roman" w:hAnsi="Times New Roman"/>
                      <w:color w:val="auto"/>
                      <w:lang w:val="en-US" w:eastAsia="zh-CN"/>
                    </w:rPr>
                    <w:t>本项目属于</w:t>
                  </w:r>
                  <w:r>
                    <w:rPr>
                      <w:rFonts w:ascii="Times New Roman" w:hAnsi="Times New Roman"/>
                      <w:color w:val="auto"/>
                    </w:rPr>
                    <w:t>固体矿产地质勘查项目</w:t>
                  </w:r>
                  <w:r>
                    <w:rPr>
                      <w:rFonts w:hint="eastAsia" w:ascii="Times New Roman" w:hAnsi="Times New Roman"/>
                      <w:color w:val="auto"/>
                      <w:lang w:eastAsia="zh-CN"/>
                    </w:rPr>
                    <w:t>，</w:t>
                  </w:r>
                  <w:r>
                    <w:rPr>
                      <w:rFonts w:hint="eastAsia" w:ascii="Times New Roman" w:hAnsi="Times New Roman"/>
                      <w:color w:val="auto"/>
                      <w:lang w:val="en-US" w:eastAsia="zh-CN"/>
                    </w:rPr>
                    <w:t>不属于涉及项目类别范畴</w:t>
                  </w:r>
                </w:p>
              </w:tc>
            </w:tr>
            <w:tr w14:paraId="1361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1114" w:type="dxa"/>
                  <w:noWrap/>
                  <w:vAlign w:val="center"/>
                </w:tcPr>
                <w:p w14:paraId="04C048E1">
                  <w:pPr>
                    <w:jc w:val="center"/>
                    <w:rPr>
                      <w:rFonts w:ascii="Times New Roman" w:hAnsi="Times New Roman"/>
                      <w:color w:val="auto"/>
                    </w:rPr>
                  </w:pPr>
                  <w:r>
                    <w:rPr>
                      <w:rFonts w:ascii="Times New Roman" w:hAnsi="Times New Roman"/>
                      <w:color w:val="auto"/>
                    </w:rPr>
                    <w:t>噪声</w:t>
                  </w:r>
                </w:p>
              </w:tc>
              <w:tc>
                <w:tcPr>
                  <w:tcW w:w="3434" w:type="dxa"/>
                  <w:noWrap/>
                  <w:vAlign w:val="center"/>
                </w:tcPr>
                <w:p w14:paraId="107CE31A">
                  <w:pPr>
                    <w:rPr>
                      <w:rFonts w:ascii="Times New Roman" w:hAnsi="Times New Roman"/>
                      <w:color w:val="auto"/>
                    </w:rPr>
                  </w:pPr>
                  <w:r>
                    <w:rPr>
                      <w:rFonts w:ascii="Times New Roman" w:hAnsi="Times New Roman"/>
                      <w:color w:val="auto"/>
                    </w:rPr>
                    <w:t>公路、铁路、机场等交通运输业涉及环境敏感区(以居住、医疗卫生、文化教育、科研、行政办公为主要功能的区域)的项目</w:t>
                  </w:r>
                  <w:r>
                    <w:rPr>
                      <w:rFonts w:hint="eastAsia" w:ascii="Times New Roman" w:hAnsi="Times New Roman"/>
                      <w:color w:val="auto"/>
                    </w:rPr>
                    <w:t>；</w:t>
                  </w:r>
                </w:p>
                <w:p w14:paraId="39E4A443">
                  <w:pPr>
                    <w:rPr>
                      <w:rFonts w:ascii="Times New Roman" w:hAnsi="Times New Roman"/>
                      <w:color w:val="auto"/>
                    </w:rPr>
                  </w:pPr>
                  <w:r>
                    <w:rPr>
                      <w:rFonts w:ascii="Times New Roman" w:hAnsi="Times New Roman"/>
                      <w:color w:val="auto"/>
                    </w:rPr>
                    <w:t>城市道路(不含维护，不含支路、人行天桥、人行地道)</w:t>
                  </w:r>
                  <w:r>
                    <w:rPr>
                      <w:rFonts w:hint="eastAsia" w:ascii="Times New Roman" w:hAnsi="Times New Roman"/>
                      <w:color w:val="auto"/>
                    </w:rPr>
                    <w:t>：</w:t>
                  </w:r>
                  <w:r>
                    <w:rPr>
                      <w:rFonts w:ascii="Times New Roman" w:hAnsi="Times New Roman"/>
                      <w:color w:val="auto"/>
                    </w:rPr>
                    <w:t>全部</w:t>
                  </w:r>
                </w:p>
              </w:tc>
              <w:tc>
                <w:tcPr>
                  <w:tcW w:w="3100" w:type="dxa"/>
                  <w:noWrap/>
                  <w:vAlign w:val="center"/>
                </w:tcPr>
                <w:p w14:paraId="436B5680">
                  <w:pPr>
                    <w:jc w:val="center"/>
                    <w:rPr>
                      <w:rFonts w:ascii="Times New Roman" w:hAnsi="Times New Roman"/>
                      <w:color w:val="auto"/>
                    </w:rPr>
                  </w:pPr>
                  <w:r>
                    <w:rPr>
                      <w:rFonts w:hint="eastAsia" w:ascii="Times New Roman" w:hAnsi="Times New Roman"/>
                      <w:color w:val="auto"/>
                      <w:lang w:val="en-US" w:eastAsia="zh-CN"/>
                    </w:rPr>
                    <w:t>本项目属于</w:t>
                  </w:r>
                  <w:r>
                    <w:rPr>
                      <w:rFonts w:ascii="Times New Roman" w:hAnsi="Times New Roman"/>
                      <w:color w:val="auto"/>
                    </w:rPr>
                    <w:t>固体矿产地质勘查项目</w:t>
                  </w:r>
                  <w:r>
                    <w:rPr>
                      <w:rFonts w:hint="eastAsia" w:ascii="Times New Roman" w:hAnsi="Times New Roman"/>
                      <w:color w:val="auto"/>
                      <w:lang w:eastAsia="zh-CN"/>
                    </w:rPr>
                    <w:t>，</w:t>
                  </w:r>
                  <w:r>
                    <w:rPr>
                      <w:rFonts w:hint="eastAsia" w:ascii="Times New Roman" w:hAnsi="Times New Roman"/>
                      <w:color w:val="auto"/>
                      <w:lang w:val="en-US" w:eastAsia="zh-CN"/>
                    </w:rPr>
                    <w:t>不属于涉及项目类别范畴</w:t>
                  </w:r>
                </w:p>
              </w:tc>
            </w:tr>
            <w:tr w14:paraId="02487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1114" w:type="dxa"/>
                  <w:noWrap/>
                  <w:vAlign w:val="center"/>
                </w:tcPr>
                <w:p w14:paraId="649225A1">
                  <w:pPr>
                    <w:jc w:val="center"/>
                    <w:rPr>
                      <w:rFonts w:ascii="Times New Roman" w:hAnsi="Times New Roman"/>
                      <w:color w:val="auto"/>
                    </w:rPr>
                  </w:pPr>
                  <w:r>
                    <w:rPr>
                      <w:rFonts w:ascii="Times New Roman" w:hAnsi="Times New Roman"/>
                      <w:color w:val="auto"/>
                    </w:rPr>
                    <w:t>环境风险</w:t>
                  </w:r>
                </w:p>
              </w:tc>
              <w:tc>
                <w:tcPr>
                  <w:tcW w:w="3434" w:type="dxa"/>
                  <w:noWrap/>
                  <w:vAlign w:val="center"/>
                </w:tcPr>
                <w:p w14:paraId="5FFFB5F2">
                  <w:pPr>
                    <w:rPr>
                      <w:rFonts w:ascii="Times New Roman" w:hAnsi="Times New Roman"/>
                      <w:color w:val="auto"/>
                    </w:rPr>
                  </w:pPr>
                  <w:r>
                    <w:rPr>
                      <w:rFonts w:ascii="Times New Roman" w:hAnsi="Times New Roman"/>
                      <w:color w:val="auto"/>
                    </w:rPr>
                    <w:t>石油和天然气开采</w:t>
                  </w:r>
                  <w:r>
                    <w:rPr>
                      <w:rFonts w:hint="eastAsia" w:ascii="Times New Roman" w:hAnsi="Times New Roman"/>
                      <w:color w:val="auto"/>
                    </w:rPr>
                    <w:t>：</w:t>
                  </w:r>
                  <w:r>
                    <w:rPr>
                      <w:rFonts w:ascii="Times New Roman" w:hAnsi="Times New Roman"/>
                      <w:color w:val="auto"/>
                    </w:rPr>
                    <w:t>全部</w:t>
                  </w:r>
                  <w:r>
                    <w:rPr>
                      <w:rFonts w:hint="eastAsia" w:ascii="Times New Roman" w:hAnsi="Times New Roman"/>
                      <w:color w:val="auto"/>
                    </w:rPr>
                    <w:t>；</w:t>
                  </w:r>
                </w:p>
                <w:p w14:paraId="3CF06D50">
                  <w:pPr>
                    <w:rPr>
                      <w:rFonts w:ascii="Times New Roman" w:hAnsi="Times New Roman"/>
                      <w:color w:val="auto"/>
                    </w:rPr>
                  </w:pPr>
                  <w:r>
                    <w:rPr>
                      <w:rFonts w:ascii="Times New Roman" w:hAnsi="Times New Roman"/>
                      <w:color w:val="auto"/>
                    </w:rPr>
                    <w:t>油气、液体化工码头</w:t>
                  </w:r>
                  <w:r>
                    <w:rPr>
                      <w:rFonts w:hint="eastAsia" w:ascii="Times New Roman" w:hAnsi="Times New Roman"/>
                      <w:color w:val="auto"/>
                    </w:rPr>
                    <w:t>：</w:t>
                  </w:r>
                  <w:r>
                    <w:rPr>
                      <w:rFonts w:ascii="Times New Roman" w:hAnsi="Times New Roman"/>
                      <w:color w:val="auto"/>
                    </w:rPr>
                    <w:t>全部</w:t>
                  </w:r>
                  <w:r>
                    <w:rPr>
                      <w:rFonts w:hint="eastAsia" w:ascii="Times New Roman" w:hAnsi="Times New Roman"/>
                      <w:color w:val="auto"/>
                    </w:rPr>
                    <w:t>；</w:t>
                  </w:r>
                </w:p>
                <w:p w14:paraId="27353B82">
                  <w:pPr>
                    <w:rPr>
                      <w:rFonts w:ascii="Times New Roman" w:hAnsi="Times New Roman"/>
                      <w:color w:val="auto"/>
                    </w:rPr>
                  </w:pPr>
                  <w:r>
                    <w:rPr>
                      <w:rFonts w:ascii="Times New Roman" w:hAnsi="Times New Roman"/>
                      <w:color w:val="auto"/>
                    </w:rPr>
                    <w:t>原油、成品油、天然气管线(不含城镇天然气管线、企业厂区内管线)，危险化学品输送管线(不含企业厂区内管线)</w:t>
                  </w:r>
                  <w:r>
                    <w:rPr>
                      <w:rFonts w:hint="eastAsia" w:ascii="Times New Roman" w:hAnsi="Times New Roman"/>
                      <w:color w:val="auto"/>
                    </w:rPr>
                    <w:t>：</w:t>
                  </w:r>
                  <w:r>
                    <w:rPr>
                      <w:rFonts w:ascii="Times New Roman" w:hAnsi="Times New Roman"/>
                      <w:color w:val="auto"/>
                    </w:rPr>
                    <w:t>全部</w:t>
                  </w:r>
                </w:p>
              </w:tc>
              <w:tc>
                <w:tcPr>
                  <w:tcW w:w="3100" w:type="dxa"/>
                  <w:noWrap/>
                  <w:vAlign w:val="center"/>
                </w:tcPr>
                <w:p w14:paraId="36A21A9F">
                  <w:pPr>
                    <w:jc w:val="center"/>
                    <w:rPr>
                      <w:rFonts w:ascii="Times New Roman" w:hAnsi="Times New Roman"/>
                      <w:color w:val="auto"/>
                    </w:rPr>
                  </w:pPr>
                  <w:r>
                    <w:rPr>
                      <w:rFonts w:hint="eastAsia" w:ascii="Times New Roman" w:hAnsi="Times New Roman"/>
                      <w:color w:val="auto"/>
                      <w:lang w:val="en-US" w:eastAsia="zh-CN"/>
                    </w:rPr>
                    <w:t>本项目属于</w:t>
                  </w:r>
                  <w:r>
                    <w:rPr>
                      <w:rFonts w:ascii="Times New Roman" w:hAnsi="Times New Roman"/>
                      <w:color w:val="auto"/>
                    </w:rPr>
                    <w:t>固体矿产地质勘查项目</w:t>
                  </w:r>
                  <w:r>
                    <w:rPr>
                      <w:rFonts w:hint="eastAsia" w:ascii="Times New Roman" w:hAnsi="Times New Roman"/>
                      <w:color w:val="auto"/>
                      <w:lang w:eastAsia="zh-CN"/>
                    </w:rPr>
                    <w:t>，</w:t>
                  </w:r>
                  <w:r>
                    <w:rPr>
                      <w:rFonts w:hint="eastAsia" w:ascii="Times New Roman" w:hAnsi="Times New Roman"/>
                      <w:color w:val="auto"/>
                      <w:lang w:val="en-US" w:eastAsia="zh-CN"/>
                    </w:rPr>
                    <w:t>不属于涉及项目类别范畴</w:t>
                  </w:r>
                </w:p>
              </w:tc>
            </w:tr>
          </w:tbl>
          <w:p w14:paraId="0EA22A18">
            <w:pPr>
              <w:autoSpaceDE w:val="0"/>
              <w:autoSpaceDN w:val="0"/>
              <w:spacing w:line="360" w:lineRule="auto"/>
              <w:ind w:firstLine="480" w:firstLineChars="200"/>
              <w:rPr>
                <w:rFonts w:hint="default" w:ascii="Times New Roman" w:hAnsi="Times New Roman" w:cs="Times New Roman"/>
                <w:color w:val="auto"/>
                <w:kern w:val="0"/>
                <w:szCs w:val="21"/>
              </w:rPr>
            </w:pPr>
            <w:r>
              <w:rPr>
                <w:rFonts w:ascii="Times New Roman" w:hAnsi="Times New Roman"/>
                <w:color w:val="auto"/>
                <w:sz w:val="24"/>
              </w:rPr>
              <w:t>综上，本项目不需开展专项评价。</w:t>
            </w:r>
            <w:r>
              <w:rPr>
                <w:rFonts w:hint="default" w:ascii="Times New Roman" w:hAnsi="Times New Roman" w:cs="Times New Roman"/>
                <w:color w:val="auto"/>
                <w:sz w:val="24"/>
              </w:rPr>
              <w:t>综上，本项目不需开展专项评价。</w:t>
            </w:r>
          </w:p>
        </w:tc>
      </w:tr>
      <w:tr w14:paraId="126343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 w:hRule="atLeast"/>
          <w:jc w:val="center"/>
        </w:trPr>
        <w:tc>
          <w:tcPr>
            <w:tcW w:w="670" w:type="dxa"/>
            <w:noWrap w:val="0"/>
            <w:tcMar>
              <w:top w:w="16" w:type="dxa"/>
              <w:left w:w="16" w:type="dxa"/>
              <w:right w:w="16" w:type="dxa"/>
            </w:tcMar>
            <w:vAlign w:val="center"/>
          </w:tcPr>
          <w:p w14:paraId="11ECBE2C">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规划情况</w:t>
            </w:r>
          </w:p>
        </w:tc>
        <w:tc>
          <w:tcPr>
            <w:tcW w:w="8200" w:type="dxa"/>
            <w:gridSpan w:val="5"/>
            <w:noWrap w:val="0"/>
            <w:tcMar>
              <w:top w:w="16" w:type="dxa"/>
              <w:left w:w="16" w:type="dxa"/>
              <w:right w:w="16" w:type="dxa"/>
            </w:tcMar>
            <w:vAlign w:val="center"/>
          </w:tcPr>
          <w:p w14:paraId="55C55368">
            <w:pPr>
              <w:autoSpaceDE w:val="0"/>
              <w:autoSpaceDN w:val="0"/>
              <w:spacing w:line="360" w:lineRule="auto"/>
              <w:ind w:firstLine="480" w:firstLineChars="200"/>
              <w:rPr>
                <w:rFonts w:ascii="Times New Roman" w:hAnsi="Times New Roman"/>
                <w:color w:val="auto"/>
                <w:kern w:val="0"/>
                <w:sz w:val="24"/>
                <w:szCs w:val="24"/>
              </w:rPr>
            </w:pPr>
            <w:r>
              <w:rPr>
                <w:rFonts w:ascii="Times New Roman" w:hAnsi="Times New Roman"/>
                <w:color w:val="auto"/>
                <w:kern w:val="0"/>
                <w:sz w:val="24"/>
                <w:szCs w:val="24"/>
              </w:rPr>
              <w:t>规划名称：《淮南潘谢矿区总体开发规划》</w:t>
            </w:r>
          </w:p>
          <w:p w14:paraId="70645A5E">
            <w:pPr>
              <w:autoSpaceDE w:val="0"/>
              <w:autoSpaceDN w:val="0"/>
              <w:spacing w:line="360" w:lineRule="auto"/>
              <w:ind w:firstLine="480" w:firstLineChars="200"/>
              <w:rPr>
                <w:rFonts w:ascii="Times New Roman" w:hAnsi="Times New Roman"/>
                <w:color w:val="auto"/>
                <w:kern w:val="0"/>
                <w:sz w:val="24"/>
                <w:szCs w:val="24"/>
              </w:rPr>
            </w:pPr>
            <w:r>
              <w:rPr>
                <w:rFonts w:ascii="Times New Roman" w:hAnsi="Times New Roman"/>
                <w:color w:val="auto"/>
                <w:kern w:val="0"/>
                <w:sz w:val="24"/>
                <w:szCs w:val="24"/>
              </w:rPr>
              <w:t>审批机关：国家发展和改革委员会</w:t>
            </w:r>
          </w:p>
          <w:p w14:paraId="5202FF0B">
            <w:pPr>
              <w:autoSpaceDE w:val="0"/>
              <w:autoSpaceDN w:val="0"/>
              <w:spacing w:line="360" w:lineRule="auto"/>
              <w:ind w:firstLine="480" w:firstLineChars="200"/>
              <w:rPr>
                <w:rFonts w:ascii="Times New Roman" w:hAnsi="Times New Roman"/>
                <w:color w:val="auto"/>
                <w:kern w:val="0"/>
                <w:sz w:val="24"/>
                <w:szCs w:val="24"/>
              </w:rPr>
            </w:pPr>
            <w:r>
              <w:rPr>
                <w:rFonts w:ascii="Times New Roman" w:hAnsi="Times New Roman"/>
                <w:color w:val="auto"/>
                <w:kern w:val="0"/>
                <w:sz w:val="24"/>
                <w:szCs w:val="24"/>
              </w:rPr>
              <w:t>审批文件名称：《国家发展改革委关于淮南潘谢矿区开发规划的批复》；</w:t>
            </w:r>
          </w:p>
          <w:p w14:paraId="347D7648">
            <w:pPr>
              <w:spacing w:line="360" w:lineRule="auto"/>
              <w:ind w:firstLine="480" w:firstLineChars="200"/>
              <w:rPr>
                <w:rFonts w:hint="default" w:ascii="Times New Roman" w:hAnsi="Times New Roman" w:cs="Times New Roman"/>
                <w:color w:val="auto"/>
              </w:rPr>
            </w:pPr>
            <w:r>
              <w:rPr>
                <w:rFonts w:hint="eastAsia" w:ascii="Times New Roman" w:hAnsi="Times New Roman"/>
                <w:color w:val="auto"/>
                <w:kern w:val="0"/>
                <w:sz w:val="24"/>
                <w:szCs w:val="24"/>
                <w:lang w:val="en-US" w:eastAsia="zh-CN"/>
              </w:rPr>
              <w:t>审查文号</w:t>
            </w:r>
            <w:r>
              <w:rPr>
                <w:rFonts w:ascii="Times New Roman" w:hAnsi="Times New Roman"/>
                <w:color w:val="auto"/>
                <w:kern w:val="0"/>
                <w:sz w:val="24"/>
                <w:szCs w:val="24"/>
              </w:rPr>
              <w:t>：环函〔2006〕86号</w:t>
            </w:r>
          </w:p>
        </w:tc>
      </w:tr>
      <w:tr w14:paraId="3F421D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 w:hRule="atLeast"/>
          <w:jc w:val="center"/>
        </w:trPr>
        <w:tc>
          <w:tcPr>
            <w:tcW w:w="670" w:type="dxa"/>
            <w:noWrap w:val="0"/>
            <w:tcMar>
              <w:top w:w="16" w:type="dxa"/>
              <w:left w:w="16" w:type="dxa"/>
              <w:right w:w="16" w:type="dxa"/>
            </w:tcMar>
            <w:vAlign w:val="center"/>
          </w:tcPr>
          <w:p w14:paraId="043B6FFD">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规划环境影响评价情况</w:t>
            </w:r>
          </w:p>
        </w:tc>
        <w:tc>
          <w:tcPr>
            <w:tcW w:w="8200" w:type="dxa"/>
            <w:gridSpan w:val="5"/>
            <w:noWrap w:val="0"/>
            <w:tcMar>
              <w:top w:w="16" w:type="dxa"/>
              <w:left w:w="16" w:type="dxa"/>
              <w:right w:w="16" w:type="dxa"/>
            </w:tcMar>
            <w:vAlign w:val="center"/>
          </w:tcPr>
          <w:p w14:paraId="2CD12550">
            <w:pPr>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规划环评名称：《淮南潘谢矿区总体开发规划环境影响报告书》</w:t>
            </w:r>
          </w:p>
          <w:p w14:paraId="00E31E1D">
            <w:pPr>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审查机关：原国家环境保护总局</w:t>
            </w:r>
          </w:p>
          <w:p w14:paraId="6FB48EF5">
            <w:pPr>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审查文件名称：关于印发《淮南潘谢矿区总体开发规划环境影响报告书》审查意见的通知</w:t>
            </w:r>
          </w:p>
          <w:p w14:paraId="3FC48509">
            <w:pPr>
              <w:pStyle w:val="29"/>
              <w:spacing w:line="360" w:lineRule="auto"/>
              <w:ind w:firstLine="480" w:firstLineChars="200"/>
              <w:jc w:val="both"/>
              <w:rPr>
                <w:rFonts w:hint="default" w:ascii="Times New Roman" w:hAnsi="Times New Roman" w:cs="Times New Roman"/>
                <w:color w:val="auto"/>
                <w:kern w:val="0"/>
                <w:lang w:val="en-US" w:eastAsia="zh-CN"/>
              </w:rPr>
            </w:pPr>
            <w:r>
              <w:rPr>
                <w:rFonts w:ascii="Times New Roman" w:hAnsi="Times New Roman"/>
                <w:color w:val="auto"/>
                <w:kern w:val="0"/>
              </w:rPr>
              <w:t>审批文号：环函〔2006〕86号</w:t>
            </w:r>
          </w:p>
        </w:tc>
      </w:tr>
      <w:tr w14:paraId="7B994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 w:hRule="atLeast"/>
          <w:jc w:val="center"/>
        </w:trPr>
        <w:tc>
          <w:tcPr>
            <w:tcW w:w="670" w:type="dxa"/>
            <w:noWrap w:val="0"/>
            <w:tcMar>
              <w:top w:w="16" w:type="dxa"/>
              <w:left w:w="16" w:type="dxa"/>
              <w:right w:w="16" w:type="dxa"/>
            </w:tcMar>
            <w:vAlign w:val="center"/>
          </w:tcPr>
          <w:p w14:paraId="4AD88DF1">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规划及</w:t>
            </w:r>
            <w:r>
              <w:rPr>
                <w:rFonts w:hint="default" w:ascii="Times New Roman" w:hAnsi="Times New Roman" w:cs="Times New Roman"/>
                <w:color w:val="auto"/>
                <w:sz w:val="24"/>
              </w:rPr>
              <w:t>规划环境影响评价</w:t>
            </w:r>
            <w:r>
              <w:rPr>
                <w:rFonts w:hint="default" w:ascii="Times New Roman" w:hAnsi="Times New Roman" w:cs="Times New Roman"/>
                <w:color w:val="auto"/>
                <w:kern w:val="0"/>
                <w:sz w:val="24"/>
              </w:rPr>
              <w:t>符合性分析</w:t>
            </w:r>
          </w:p>
        </w:tc>
        <w:tc>
          <w:tcPr>
            <w:tcW w:w="8200" w:type="dxa"/>
            <w:gridSpan w:val="5"/>
            <w:noWrap w:val="0"/>
            <w:tcMar>
              <w:top w:w="16" w:type="dxa"/>
              <w:left w:w="16" w:type="dxa"/>
              <w:right w:w="16" w:type="dxa"/>
            </w:tcMar>
            <w:vAlign w:val="center"/>
          </w:tcPr>
          <w:p w14:paraId="000F96F9">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（1）规划符合性分析</w:t>
            </w:r>
          </w:p>
          <w:p w14:paraId="6B2BC0EB">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项目位于安徽省淮南市潘集区贺疃镇，</w:t>
            </w:r>
            <w:r>
              <w:rPr>
                <w:rFonts w:hint="eastAsia" w:ascii="Times New Roman" w:hAnsi="Times New Roman" w:eastAsia="宋体" w:cs="Times New Roman"/>
                <w:color w:val="auto"/>
                <w:kern w:val="0"/>
                <w:sz w:val="24"/>
              </w:rPr>
              <w:t>对照</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淮南潘谢矿区总体开发规划》，淮南潘谢矿区总共划分为17个井田和1个后备区，矿区建设总规模为6115万吨/年，其中新建矿井包括张集二期</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即区，300万吨/年</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丁集</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500万吨/年</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、顾桥</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500万吨/年</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、顾北</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300万吨/年</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240万吨/年</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、潘四西</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150万吨/年</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、望峰岗</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300万吨/年</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、朱集</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400万吨/年</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改扩建矿开潘一由300万吨/年扩建到600万吨/年、潘三由300万吨/年扩建到500万吨/年、谢桥由400万吨/年扩建到800万吨/年、张集由400万吨/年扩建到700万吨/年</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现有生产矿井有潘东</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210万吨/年</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、新庄孜</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270万吨/年</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、谢一</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90万吨/年</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、谢李</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210万吨/年</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、孔李</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120万吨/年</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，本项目隶属于淮南潘谢矿区中</w:t>
            </w:r>
            <w:r>
              <w:rPr>
                <w:rFonts w:hint="eastAsia" w:ascii="Times New Roman" w:hAnsi="Times New Roman" w:eastAsia="宋体" w:cs="Times New Roman"/>
                <w:color w:val="auto"/>
                <w:kern w:val="0"/>
                <w:sz w:val="24"/>
                <w:lang w:val="en-US" w:eastAsia="zh-CN"/>
              </w:rPr>
              <w:t>朱集</w:t>
            </w:r>
            <w:r>
              <w:rPr>
                <w:rFonts w:hint="eastAsia" w:ascii="Times New Roman" w:hAnsi="Times New Roman" w:eastAsia="宋体" w:cs="Times New Roman"/>
                <w:color w:val="auto"/>
                <w:kern w:val="0"/>
                <w:sz w:val="24"/>
              </w:rPr>
              <w:t>煤矿范围，项目属于煤炭资源地质勘查项目。</w:t>
            </w:r>
          </w:p>
          <w:p w14:paraId="4B0C2B26">
            <w:pPr>
              <w:pStyle w:val="28"/>
              <w:adjustRightInd/>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因此，该项目建设符合《淮南潘谢矿区总体开发规划》；符合《国家发展改革委关于淮南潘谢矿区开发规划的批复》（发改能源〔2004〕2301号）。</w:t>
            </w:r>
          </w:p>
          <w:p w14:paraId="78D405B4">
            <w:pPr>
              <w:pStyle w:val="28"/>
              <w:numPr>
                <w:ilvl w:val="0"/>
                <w:numId w:val="1"/>
              </w:numPr>
              <w:adjustRightInd/>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规划环境影响评价符合性分析</w:t>
            </w:r>
          </w:p>
          <w:p w14:paraId="772DBCA0">
            <w:pPr>
              <w:pStyle w:val="28"/>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本项目与《淮南潘谢矿区总体开发规划环境影响报告书》审查意见符合性分析如下：</w:t>
            </w:r>
          </w:p>
          <w:p w14:paraId="6420F7B7">
            <w:pPr>
              <w:spacing w:line="360" w:lineRule="auto"/>
              <w:jc w:val="center"/>
              <w:rPr>
                <w:rFonts w:hint="default" w:ascii="Times New Roman" w:hAnsi="Times New Roman"/>
                <w:b/>
                <w:color w:val="auto"/>
                <w:szCs w:val="21"/>
              </w:rPr>
            </w:pPr>
            <w:r>
              <w:rPr>
                <w:rFonts w:hint="default" w:ascii="Times New Roman" w:hAnsi="Times New Roman"/>
                <w:b/>
                <w:color w:val="auto"/>
                <w:szCs w:val="21"/>
              </w:rPr>
              <w:t>表1-2  本项目与《淮南潘谢矿区总体开发规划环境影响报告书》审查意见符合性分析一览表</w:t>
            </w:r>
          </w:p>
          <w:tbl>
            <w:tblPr>
              <w:tblStyle w:val="20"/>
              <w:tblW w:w="49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2"/>
              <w:gridCol w:w="4295"/>
              <w:gridCol w:w="2370"/>
              <w:gridCol w:w="774"/>
            </w:tblGrid>
            <w:tr w14:paraId="38368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06" w:type="dxa"/>
                  <w:noWrap w:val="0"/>
                  <w:vAlign w:val="center"/>
                </w:tcPr>
                <w:p w14:paraId="175F9B3C">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4120" w:type="dxa"/>
                  <w:noWrap w:val="0"/>
                  <w:vAlign w:val="center"/>
                </w:tcPr>
                <w:p w14:paraId="1729BD8B">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审查意见</w:t>
                  </w:r>
                </w:p>
              </w:tc>
              <w:tc>
                <w:tcPr>
                  <w:tcW w:w="2272" w:type="dxa"/>
                  <w:noWrap w:val="0"/>
                  <w:vAlign w:val="center"/>
                </w:tcPr>
                <w:p w14:paraId="2AACD1B8">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项目建设情况</w:t>
                  </w:r>
                </w:p>
              </w:tc>
              <w:tc>
                <w:tcPr>
                  <w:tcW w:w="741" w:type="dxa"/>
                  <w:noWrap w:val="0"/>
                  <w:vAlign w:val="center"/>
                </w:tcPr>
                <w:p w14:paraId="26222AE4">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p w14:paraId="500481E4">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性分析</w:t>
                  </w:r>
                </w:p>
              </w:tc>
            </w:tr>
            <w:tr w14:paraId="32267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06" w:type="dxa"/>
                  <w:noWrap w:val="0"/>
                  <w:vAlign w:val="center"/>
                </w:tcPr>
                <w:p w14:paraId="2F4BB087">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4120" w:type="dxa"/>
                  <w:noWrap w:val="0"/>
                  <w:vAlign w:val="center"/>
                </w:tcPr>
                <w:p w14:paraId="1590DCC5">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一、淮南潘谢矿区煤炭资源极为丰富，资源储量达285亿吨，且深部还有可靠的煤炭资源。充分利用该矿区的资源、区位和市场优势</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依托齐全的基础配套设施，加大煤炭开发力度和就地转化能力，以</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发展先进生产力，保护生命，保护资源，保护环境</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的理念将矿区建设成为华东地区重要的大型煤电基地，对于促进区域经济、社会、环境、资源的协调发展具有重要意义。</w:t>
                  </w:r>
                </w:p>
              </w:tc>
              <w:tc>
                <w:tcPr>
                  <w:tcW w:w="2272" w:type="dxa"/>
                  <w:noWrap w:val="0"/>
                  <w:vAlign w:val="center"/>
                </w:tcPr>
                <w:p w14:paraId="357B844F">
                  <w:pPr>
                    <w:adjustRightInd w:val="0"/>
                    <w:snapToGrid w:val="0"/>
                    <w:rPr>
                      <w:rFonts w:hint="eastAsia" w:ascii="Times New Roman" w:hAnsi="Times New Roman" w:eastAsia="宋体" w:cs="Times New Roman"/>
                      <w:color w:val="auto"/>
                      <w:szCs w:val="21"/>
                      <w:lang w:eastAsia="zh-CN"/>
                    </w:rPr>
                  </w:pPr>
                  <w:r>
                    <w:rPr>
                      <w:rFonts w:hint="eastAsia" w:ascii="Times New Roman" w:hAnsi="Times New Roman"/>
                      <w:color w:val="auto"/>
                      <w:lang w:val="en-US" w:eastAsia="zh-CN"/>
                    </w:rPr>
                    <w:t>本项目属于</w:t>
                  </w:r>
                  <w:r>
                    <w:rPr>
                      <w:rFonts w:ascii="Times New Roman" w:hAnsi="Times New Roman"/>
                      <w:color w:val="auto"/>
                    </w:rPr>
                    <w:t>固体矿产地质勘查项目</w:t>
                  </w:r>
                  <w:r>
                    <w:rPr>
                      <w:rFonts w:hint="eastAsia" w:ascii="Times New Roman" w:hAnsi="Times New Roman"/>
                      <w:color w:val="auto"/>
                      <w:lang w:eastAsia="zh-CN"/>
                    </w:rPr>
                    <w:t>，</w:t>
                  </w:r>
                  <w:r>
                    <w:rPr>
                      <w:rFonts w:hint="eastAsia" w:ascii="Times New Roman" w:hAnsi="Times New Roman"/>
                      <w:color w:val="auto"/>
                      <w:lang w:val="en-US" w:eastAsia="zh-CN"/>
                    </w:rPr>
                    <w:t>为煤炭开采的配套工程</w:t>
                  </w:r>
                  <w:r>
                    <w:rPr>
                      <w:rFonts w:hint="eastAsia" w:ascii="Times New Roman" w:hAnsi="Times New Roman"/>
                      <w:color w:val="auto"/>
                      <w:szCs w:val="21"/>
                    </w:rPr>
                    <w:t>。</w:t>
                  </w:r>
                </w:p>
              </w:tc>
              <w:tc>
                <w:tcPr>
                  <w:tcW w:w="741" w:type="dxa"/>
                  <w:noWrap w:val="0"/>
                  <w:vAlign w:val="center"/>
                </w:tcPr>
                <w:p w14:paraId="04E3DE83">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7611A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06" w:type="dxa"/>
                  <w:noWrap w:val="0"/>
                  <w:vAlign w:val="center"/>
                </w:tcPr>
                <w:p w14:paraId="7709FEB0">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4120" w:type="dxa"/>
                  <w:noWrap w:val="0"/>
                  <w:vAlign w:val="center"/>
                </w:tcPr>
                <w:p w14:paraId="7CA13C68">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二、规划在发展定位、规模、产业结构、市场需求、配套条件方面</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与国家能源战略、国家13个大型煤炭基地规划、安徽省省委、省政府在全面建设小康社会起步阶段提出的</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861</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行动计划的要求相符。基本反映了国家经济发展需求和资源合理配置精神。规划在发展布局、环境保护、水资源利用、土地资源利用等方面，能够与淮南市城市建设总体规划、安徽省国土资源可持续开发利用规划、安徽省生态省建设总体规划纲要、淮南市生态城市建设规划等相衔接，总体上具备较强的协调性。</w:t>
                  </w:r>
                </w:p>
              </w:tc>
              <w:tc>
                <w:tcPr>
                  <w:tcW w:w="2272" w:type="dxa"/>
                  <w:noWrap w:val="0"/>
                  <w:vAlign w:val="center"/>
                </w:tcPr>
                <w:p w14:paraId="1330BC98">
                  <w:pPr>
                    <w:widowControl/>
                    <w:jc w:val="center"/>
                    <w:rPr>
                      <w:rFonts w:hint="default" w:ascii="Times New Roman" w:hAnsi="Times New Roman" w:cs="Times New Roman"/>
                      <w:color w:val="auto"/>
                      <w:szCs w:val="21"/>
                      <w:lang w:val="en-US"/>
                    </w:rPr>
                  </w:pPr>
                  <w:r>
                    <w:rPr>
                      <w:rFonts w:ascii="Times New Roman" w:hAnsi="Times New Roman"/>
                      <w:color w:val="auto"/>
                      <w:szCs w:val="21"/>
                    </w:rPr>
                    <w:t>项目建设地点位于</w:t>
                  </w:r>
                  <w:r>
                    <w:rPr>
                      <w:rFonts w:ascii="Times New Roman" w:hAnsi="Times New Roman"/>
                      <w:color w:val="auto"/>
                    </w:rPr>
                    <w:t>安徽省淮南市潘集区贺疃镇境内，本</w:t>
                  </w:r>
                  <w:r>
                    <w:rPr>
                      <w:rFonts w:ascii="Times New Roman" w:hAnsi="Times New Roman"/>
                      <w:color w:val="auto"/>
                      <w:szCs w:val="21"/>
                    </w:rPr>
                    <w:t>项目属于固体矿产地质勘查项目，</w:t>
                  </w:r>
                  <w:r>
                    <w:rPr>
                      <w:rFonts w:ascii="Times New Roman" w:hAnsi="Times New Roman"/>
                      <w:color w:val="auto"/>
                      <w:szCs w:val="21"/>
                      <w:highlight w:val="none"/>
                    </w:rPr>
                    <w:t>临时用地面积为</w:t>
                  </w:r>
                  <w:r>
                    <w:rPr>
                      <w:rFonts w:hint="eastAsia" w:ascii="Times New Roman" w:hAnsi="Times New Roman"/>
                      <w:color w:val="auto"/>
                      <w:szCs w:val="21"/>
                      <w:highlight w:val="none"/>
                      <w:lang w:val="en-US" w:eastAsia="zh-CN"/>
                    </w:rPr>
                    <w:t>1797</w:t>
                  </w:r>
                  <w:r>
                    <w:rPr>
                      <w:rFonts w:ascii="Times New Roman" w:hAnsi="Times New Roman"/>
                      <w:color w:val="auto"/>
                      <w:szCs w:val="21"/>
                      <w:highlight w:val="none"/>
                    </w:rPr>
                    <w:t>m</w:t>
                  </w:r>
                  <w:r>
                    <w:rPr>
                      <w:rFonts w:ascii="Times New Roman" w:hAnsi="Times New Roman"/>
                      <w:color w:val="auto"/>
                      <w:szCs w:val="21"/>
                      <w:highlight w:val="none"/>
                      <w:vertAlign w:val="superscript"/>
                    </w:rPr>
                    <w:t>2</w:t>
                  </w:r>
                  <w:r>
                    <w:rPr>
                      <w:rFonts w:ascii="Times New Roman" w:hAnsi="Times New Roman"/>
                      <w:color w:val="auto"/>
                      <w:szCs w:val="21"/>
                      <w:highlight w:val="none"/>
                    </w:rPr>
                    <w:t>，</w:t>
                  </w:r>
                  <w:r>
                    <w:rPr>
                      <w:rFonts w:hint="eastAsia" w:ascii="Times New Roman" w:hAnsi="Times New Roman"/>
                      <w:color w:val="auto"/>
                      <w:highlight w:val="none"/>
                      <w:lang w:val="en-US" w:eastAsia="zh-CN"/>
                    </w:rPr>
                    <w:t>井场用地时长预计约6个月</w:t>
                  </w:r>
                  <w:r>
                    <w:rPr>
                      <w:rFonts w:ascii="Times New Roman" w:hAnsi="Times New Roman"/>
                      <w:color w:val="auto"/>
                      <w:highlight w:val="none"/>
                    </w:rPr>
                    <w:t>。中安联合煤化有限责任公司办理了项目临时用地相关手续。项目租用安徽省淮南市潘集区贺疃镇境内的土地作为本项目的临时建设用地</w:t>
                  </w:r>
                  <w:r>
                    <w:rPr>
                      <w:rFonts w:hint="eastAsia" w:ascii="Times New Roman" w:hAnsi="Times New Roman"/>
                      <w:color w:val="auto"/>
                      <w:highlight w:val="none"/>
                    </w:rPr>
                    <w:t>，</w:t>
                  </w:r>
                  <w:r>
                    <w:rPr>
                      <w:rFonts w:hint="eastAsia" w:ascii="Times New Roman" w:hAnsi="Times New Roman"/>
                      <w:color w:val="auto"/>
                      <w:highlight w:val="none"/>
                      <w:lang w:eastAsia="zh-CN"/>
                    </w:rPr>
                    <w:t>2025年11月26日</w:t>
                  </w:r>
                  <w:r>
                    <w:rPr>
                      <w:rFonts w:ascii="Times New Roman" w:hAnsi="Times New Roman"/>
                      <w:color w:val="auto"/>
                      <w:highlight w:val="none"/>
                    </w:rPr>
                    <w:t>淮南市自然资源和规划局</w:t>
                  </w:r>
                  <w:r>
                    <w:rPr>
                      <w:rFonts w:hint="eastAsia" w:ascii="Times New Roman" w:hAnsi="Times New Roman"/>
                      <w:color w:val="auto"/>
                      <w:highlight w:val="none"/>
                    </w:rPr>
                    <w:t>潘集分局</w:t>
                  </w:r>
                  <w:r>
                    <w:rPr>
                      <w:rFonts w:ascii="Times New Roman" w:hAnsi="Times New Roman"/>
                      <w:color w:val="auto"/>
                      <w:highlight w:val="none"/>
                    </w:rPr>
                    <w:t>出具了本项目临时用地</w:t>
                  </w:r>
                  <w:r>
                    <w:rPr>
                      <w:rFonts w:hint="eastAsia" w:ascii="Times New Roman" w:hAnsi="Times New Roman"/>
                      <w:color w:val="auto"/>
                      <w:highlight w:val="none"/>
                    </w:rPr>
                    <w:t>初审意见。</w:t>
                  </w:r>
                </w:p>
              </w:tc>
              <w:tc>
                <w:tcPr>
                  <w:tcW w:w="741" w:type="dxa"/>
                  <w:noWrap w:val="0"/>
                  <w:vAlign w:val="center"/>
                </w:tcPr>
                <w:p w14:paraId="40440CE5">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092F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06" w:type="dxa"/>
                  <w:noWrap w:val="0"/>
                  <w:vAlign w:val="center"/>
                </w:tcPr>
                <w:p w14:paraId="557E2A6C">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4120" w:type="dxa"/>
                  <w:noWrap w:val="0"/>
                  <w:vAlign w:val="center"/>
                </w:tcPr>
                <w:p w14:paraId="35875FA6">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四、规划提出的大气和地表水环境质量指标符合环境保护规划目标要求。规划对采煤沉陷造成的居民搬迁安置提出了可行的解决办法，地表沉陷治理的综合措施和沉陷水域的生态恢复措施合理可行，总体上符合国家有关要求，有利于区域的稳定发展，将促进当地和谐社会的建设。</w:t>
                  </w:r>
                </w:p>
              </w:tc>
              <w:tc>
                <w:tcPr>
                  <w:tcW w:w="2272" w:type="dxa"/>
                  <w:noWrap w:val="0"/>
                  <w:vAlign w:val="center"/>
                </w:tcPr>
                <w:p w14:paraId="5282248B">
                  <w:pPr>
                    <w:widowControl/>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本项目针对可能产生的环境影响提出了针对性的处置措施，项目实施区域未涉及居民搬迁安置问题，采取的生态恢复措施可行</w:t>
                  </w:r>
                  <w:r>
                    <w:rPr>
                      <w:rFonts w:hint="eastAsia" w:ascii="Times New Roman" w:hAnsi="Times New Roman" w:cs="Times New Roman"/>
                      <w:color w:val="auto"/>
                      <w:szCs w:val="21"/>
                      <w:lang w:eastAsia="zh-CN"/>
                    </w:rPr>
                    <w:t>。</w:t>
                  </w:r>
                </w:p>
              </w:tc>
              <w:tc>
                <w:tcPr>
                  <w:tcW w:w="741" w:type="dxa"/>
                  <w:noWrap w:val="0"/>
                  <w:vAlign w:val="center"/>
                </w:tcPr>
                <w:p w14:paraId="0A9894F9">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0DD02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06" w:type="dxa"/>
                  <w:noWrap w:val="0"/>
                  <w:vAlign w:val="center"/>
                </w:tcPr>
                <w:p w14:paraId="490EABF6">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4120" w:type="dxa"/>
                  <w:noWrap w:val="0"/>
                  <w:vAlign w:val="center"/>
                </w:tcPr>
                <w:p w14:paraId="060C2C3C">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七、随着规划的实施，沉陷区面积必将扩大，而且下沉深度也会进一步增加，应按照《淮南市采煤沉陷治理条例》中的有关规定，制定合理可行的治理复垦计划，并与城乡统筹的有关水利规划相衔接，落实资金、设计、施工要求等内容，治理后的土地应该首先满足恢复耕地和生态的需要。积水导致无法耕种的耕地区域，要通过抽排积水维持农田面积，恢复农田平整度和农田水利设施，保证耕地质量。沉陷未积水耕地应进行土地区划，按农田标准平整，确保复垦面积，保证农民妥善安置。季节性积水土地 应采用</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挖深垫浅</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方式恢复为耕地。尚未稳定的沉陷区,须对受破坏的排灌渠道、道路进行临时修复，将沉陷对农业生产的影响减少到最低程度。</w:t>
                  </w:r>
                </w:p>
              </w:tc>
              <w:tc>
                <w:tcPr>
                  <w:tcW w:w="2272" w:type="dxa"/>
                  <w:noWrap w:val="0"/>
                  <w:vAlign w:val="center"/>
                </w:tcPr>
                <w:p w14:paraId="2FA5E011">
                  <w:pPr>
                    <w:keepNext w:val="0"/>
                    <w:keepLines w:val="0"/>
                    <w:widowControl/>
                    <w:suppressLineNumbers w:val="0"/>
                    <w:jc w:val="left"/>
                    <w:rPr>
                      <w:rFonts w:hint="eastAsia" w:ascii="Times New Roman" w:hAnsi="Times New Roman" w:eastAsia="宋体" w:cs="Times New Roman"/>
                      <w:color w:val="auto"/>
                      <w:szCs w:val="21"/>
                      <w:lang w:eastAsia="zh-CN"/>
                    </w:rPr>
                  </w:pPr>
                  <w:r>
                    <w:rPr>
                      <w:rFonts w:ascii="Times New Roman" w:hAnsi="Times New Roman"/>
                      <w:color w:val="auto"/>
                      <w:szCs w:val="21"/>
                    </w:rPr>
                    <w:t>项目建设地点位于</w:t>
                  </w:r>
                  <w:r>
                    <w:rPr>
                      <w:rFonts w:ascii="Times New Roman" w:hAnsi="Times New Roman"/>
                      <w:color w:val="auto"/>
                    </w:rPr>
                    <w:t>安徽省淮南市潘集区贺疃镇，</w:t>
                  </w:r>
                  <w:r>
                    <w:rPr>
                      <w:rFonts w:ascii="Times New Roman" w:hAnsi="Times New Roman"/>
                      <w:color w:val="auto"/>
                      <w:kern w:val="0"/>
                      <w:szCs w:val="21"/>
                      <w:highlight w:val="none"/>
                    </w:rPr>
                    <w:t>本项目</w:t>
                  </w:r>
                  <w:r>
                    <w:rPr>
                      <w:rFonts w:hint="eastAsia" w:ascii="Times New Roman" w:hAnsi="Times New Roman"/>
                      <w:color w:val="auto"/>
                      <w:kern w:val="0"/>
                      <w:szCs w:val="21"/>
                      <w:highlight w:val="none"/>
                    </w:rPr>
                    <w:t>盾构机地面探查</w:t>
                  </w:r>
                  <w:r>
                    <w:rPr>
                      <w:rFonts w:hint="eastAsia" w:ascii="Times New Roman" w:hAnsi="Times New Roman"/>
                      <w:color w:val="auto"/>
                      <w:kern w:val="0"/>
                      <w:szCs w:val="21"/>
                      <w:highlight w:val="none"/>
                      <w:lang w:val="en-US" w:eastAsia="zh-CN"/>
                    </w:rPr>
                    <w:t>工程主要是为后续瓦斯抽放巷盾构机安全、高效推进，</w:t>
                  </w:r>
                  <w:r>
                    <w:rPr>
                      <w:rFonts w:ascii="Times New Roman" w:hAnsi="Times New Roman"/>
                      <w:color w:val="auto"/>
                    </w:rPr>
                    <w:t>属于固体矿产地质勘查项目</w:t>
                  </w:r>
                  <w:r>
                    <w:rPr>
                      <w:rFonts w:ascii="Times New Roman" w:hAnsi="Times New Roman"/>
                      <w:color w:val="auto"/>
                      <w:highlight w:val="none"/>
                    </w:rPr>
                    <w:t>，临时用地面积为</w:t>
                  </w:r>
                  <w:r>
                    <w:rPr>
                      <w:rFonts w:hint="eastAsia" w:ascii="Times New Roman" w:hAnsi="Times New Roman"/>
                      <w:color w:val="auto"/>
                      <w:highlight w:val="none"/>
                      <w:lang w:val="en-US" w:eastAsia="zh-CN"/>
                    </w:rPr>
                    <w:t>1797</w:t>
                  </w:r>
                  <w:r>
                    <w:rPr>
                      <w:rFonts w:ascii="Times New Roman" w:hAnsi="Times New Roman"/>
                      <w:color w:val="auto"/>
                      <w:highlight w:val="none"/>
                    </w:rPr>
                    <w:t>m</w:t>
                  </w:r>
                  <w:r>
                    <w:rPr>
                      <w:rFonts w:ascii="Times New Roman" w:hAnsi="Times New Roman"/>
                      <w:color w:val="auto"/>
                      <w:highlight w:val="none"/>
                      <w:vertAlign w:val="superscript"/>
                    </w:rPr>
                    <w:t>2</w:t>
                  </w:r>
                  <w:r>
                    <w:rPr>
                      <w:rFonts w:ascii="Times New Roman" w:hAnsi="Times New Roman"/>
                      <w:color w:val="auto"/>
                      <w:highlight w:val="none"/>
                    </w:rPr>
                    <w:t>，</w:t>
                  </w:r>
                  <w:r>
                    <w:rPr>
                      <w:rFonts w:hint="eastAsia" w:ascii="Times New Roman" w:hAnsi="Times New Roman"/>
                      <w:color w:val="auto"/>
                      <w:highlight w:val="none"/>
                      <w:lang w:val="en-US" w:eastAsia="zh-CN"/>
                    </w:rPr>
                    <w:t>项目用地时长预计约6个月</w:t>
                  </w:r>
                  <w:r>
                    <w:rPr>
                      <w:rFonts w:ascii="Times New Roman" w:hAnsi="Times New Roman"/>
                      <w:color w:val="auto"/>
                      <w:highlight w:val="none"/>
                    </w:rPr>
                    <w:t>。中安联合煤化有限责任公司办理了项目临时用地相关手续。项目租用安徽省淮南市潘集区贺疃镇境内的土地作为本项目的临时建设用地</w:t>
                  </w:r>
                  <w:r>
                    <w:rPr>
                      <w:rFonts w:hint="eastAsia" w:ascii="Times New Roman" w:hAnsi="Times New Roman"/>
                      <w:color w:val="auto"/>
                      <w:highlight w:val="none"/>
                    </w:rPr>
                    <w:t>，</w:t>
                  </w:r>
                  <w:r>
                    <w:rPr>
                      <w:rFonts w:hint="eastAsia" w:ascii="Times New Roman" w:hAnsi="Times New Roman"/>
                      <w:color w:val="auto"/>
                      <w:highlight w:val="none"/>
                      <w:lang w:eastAsia="zh-CN"/>
                    </w:rPr>
                    <w:t>2025年11月26日</w:t>
                  </w:r>
                  <w:r>
                    <w:rPr>
                      <w:rFonts w:ascii="Times New Roman" w:hAnsi="Times New Roman"/>
                      <w:color w:val="auto"/>
                      <w:highlight w:val="none"/>
                    </w:rPr>
                    <w:t>，淮南市自然资源和规划局</w:t>
                  </w:r>
                  <w:r>
                    <w:rPr>
                      <w:rFonts w:hint="eastAsia" w:ascii="Times New Roman" w:hAnsi="Times New Roman"/>
                      <w:color w:val="auto"/>
                      <w:highlight w:val="none"/>
                    </w:rPr>
                    <w:t>潘集分局</w:t>
                  </w:r>
                  <w:r>
                    <w:rPr>
                      <w:rFonts w:ascii="Times New Roman" w:hAnsi="Times New Roman"/>
                      <w:color w:val="auto"/>
                      <w:highlight w:val="none"/>
                    </w:rPr>
                    <w:t>出具了本项目临时用地</w:t>
                  </w:r>
                  <w:r>
                    <w:rPr>
                      <w:rFonts w:hint="eastAsia" w:ascii="Times New Roman" w:hAnsi="Times New Roman"/>
                      <w:color w:val="auto"/>
                      <w:highlight w:val="none"/>
                    </w:rPr>
                    <w:t>初审意见。</w:t>
                  </w:r>
                </w:p>
              </w:tc>
              <w:tc>
                <w:tcPr>
                  <w:tcW w:w="741" w:type="dxa"/>
                  <w:noWrap w:val="0"/>
                  <w:vAlign w:val="center"/>
                </w:tcPr>
                <w:p w14:paraId="34C0C0DE">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1B4CECDE">
            <w:pPr>
              <w:pStyle w:val="29"/>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lang w:val="en-US" w:eastAsia="zh-CN"/>
              </w:rPr>
              <w:t>综上所述，本项目建设可满足《淮南潘谢矿区总体开发规划环境影响报告书审查意见的通知》（环函〔2006〕86号）要求。</w:t>
            </w:r>
          </w:p>
        </w:tc>
      </w:tr>
      <w:tr w14:paraId="1BD9A2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059" w:hRule="atLeast"/>
          <w:jc w:val="center"/>
        </w:trPr>
        <w:tc>
          <w:tcPr>
            <w:tcW w:w="670" w:type="dxa"/>
            <w:noWrap w:val="0"/>
            <w:tcMar>
              <w:top w:w="16" w:type="dxa"/>
              <w:left w:w="16" w:type="dxa"/>
              <w:right w:w="16" w:type="dxa"/>
            </w:tcMar>
            <w:vAlign w:val="center"/>
          </w:tcPr>
          <w:p w14:paraId="0CC200BA">
            <w:pPr>
              <w:autoSpaceDE w:val="0"/>
              <w:autoSpaceDN w:val="0"/>
              <w:adjustRightInd w:val="0"/>
              <w:snapToGrid w:val="0"/>
              <w:jc w:val="center"/>
              <w:rPr>
                <w:rFonts w:hint="default" w:ascii="Times New Roman" w:hAnsi="Times New Roman" w:cs="Times New Roman"/>
                <w:color w:val="auto"/>
                <w:kern w:val="0"/>
                <w:sz w:val="24"/>
              </w:rPr>
            </w:pPr>
            <w:bookmarkStart w:id="5" w:name="_Hlk56690880"/>
            <w:r>
              <w:rPr>
                <w:rFonts w:hint="default" w:ascii="Times New Roman" w:hAnsi="Times New Roman" w:cs="Times New Roman"/>
                <w:color w:val="auto"/>
                <w:kern w:val="0"/>
                <w:sz w:val="24"/>
              </w:rPr>
              <w:t>其他符合性分析</w:t>
            </w:r>
            <w:bookmarkEnd w:id="5"/>
          </w:p>
        </w:tc>
        <w:tc>
          <w:tcPr>
            <w:tcW w:w="8206" w:type="dxa"/>
            <w:gridSpan w:val="6"/>
            <w:noWrap w:val="0"/>
            <w:tcMar>
              <w:top w:w="16" w:type="dxa"/>
              <w:left w:w="16" w:type="dxa"/>
              <w:right w:w="16" w:type="dxa"/>
            </w:tcMar>
            <w:vAlign w:val="center"/>
          </w:tcPr>
          <w:p w14:paraId="2174E49A">
            <w:pPr>
              <w:spacing w:line="360" w:lineRule="auto"/>
              <w:ind w:firstLine="482" w:firstLineChars="200"/>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1、产业政策符合性</w:t>
            </w:r>
          </w:p>
          <w:p w14:paraId="655C95D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本项目实施是为了盾构施工前的</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地质精准探查前置作业</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，通过钻孔获取</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煤（岩）层-构造-水文</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三维地质数据，从源头上规避施工风险、优化施工方案，确保瓦斯抽放巷盾构机安全、高效推进，同时为煤矿后续生产提供可靠的地质支撑。因此，项目属于《产业结构调整指导目录</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20</w:t>
            </w:r>
            <w:r>
              <w:rPr>
                <w:rFonts w:hint="default" w:ascii="Times New Roman" w:hAnsi="Times New Roman" w:cs="Times New Roman"/>
                <w:color w:val="auto"/>
                <w:sz w:val="24"/>
                <w:lang w:val="en-US" w:eastAsia="zh-CN"/>
              </w:rPr>
              <w:t>24</w:t>
            </w:r>
            <w:r>
              <w:rPr>
                <w:rFonts w:hint="default" w:ascii="Times New Roman" w:hAnsi="Times New Roman" w:cs="Times New Roman"/>
                <w:color w:val="auto"/>
                <w:sz w:val="24"/>
              </w:rPr>
              <w:t>年本</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》第一类鼓励类，即第三项</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煤炭</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中</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矿井灾害</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瓦斯、煤尘、矿井水、火、围岩、地温、冲击地压等</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防治</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范畴。因此，项目符合国家产业政策要求，属于鼓励类。对照《安徽省工业产业结构调整指导目录（2007年版）》，本项目属于</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鼓励类中的一、煤炭1、煤田地质及地球物理勘探</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，本项目为鼓励类，项目符合国家和地方产业政策要求。</w:t>
            </w:r>
          </w:p>
          <w:p w14:paraId="1E923387">
            <w:pPr>
              <w:spacing w:line="360" w:lineRule="auto"/>
              <w:ind w:firstLine="480" w:firstLineChars="200"/>
              <w:rPr>
                <w:rFonts w:hint="default" w:ascii="Times New Roman" w:hAnsi="Times New Roman" w:cs="Times New Roman"/>
                <w:color w:val="auto"/>
                <w:kern w:val="0"/>
                <w:szCs w:val="24"/>
              </w:rPr>
            </w:pPr>
            <w:r>
              <w:rPr>
                <w:rFonts w:hint="default" w:ascii="Times New Roman" w:hAnsi="Times New Roman" w:cs="Times New Roman"/>
                <w:bCs/>
                <w:color w:val="auto"/>
                <w:sz w:val="24"/>
              </w:rPr>
              <w:t>项目已经在潘集区发展和改革委员会备案，项目编码：</w:t>
            </w:r>
            <w:r>
              <w:rPr>
                <w:rFonts w:hint="eastAsia" w:ascii="Times New Roman" w:hAnsi="Times New Roman" w:cs="Times New Roman"/>
                <w:bCs/>
                <w:color w:val="auto"/>
                <w:sz w:val="24"/>
                <w:lang w:eastAsia="zh-CN"/>
              </w:rPr>
              <w:t>2509-340406-04-01-634856</w:t>
            </w:r>
            <w:r>
              <w:rPr>
                <w:rFonts w:hint="default" w:ascii="Times New Roman" w:hAnsi="Times New Roman" w:cs="Times New Roman"/>
                <w:bCs/>
                <w:color w:val="auto"/>
                <w:sz w:val="24"/>
              </w:rPr>
              <w:t>，因此，项目建设符合国家及地方的产业政策。</w:t>
            </w:r>
          </w:p>
          <w:p w14:paraId="52D8F306">
            <w:pPr>
              <w:spacing w:line="360" w:lineRule="auto"/>
              <w:ind w:firstLine="482" w:firstLineChars="200"/>
              <w:rPr>
                <w:rFonts w:hint="default" w:ascii="Times New Roman" w:hAnsi="Times New Roman" w:cs="Times New Roman"/>
                <w:b/>
                <w:color w:val="auto"/>
                <w:sz w:val="24"/>
              </w:rPr>
            </w:pPr>
            <w:r>
              <w:rPr>
                <w:rFonts w:hint="eastAsia" w:ascii="Times New Roman" w:hAnsi="Times New Roman" w:cs="Times New Roman"/>
                <w:b/>
                <w:color w:val="auto"/>
                <w:sz w:val="24"/>
                <w:lang w:val="en-US" w:eastAsia="zh-CN"/>
              </w:rPr>
              <w:t>2</w:t>
            </w:r>
            <w:r>
              <w:rPr>
                <w:rFonts w:hint="default" w:ascii="Times New Roman" w:hAnsi="Times New Roman" w:cs="Times New Roman"/>
                <w:b/>
                <w:color w:val="auto"/>
                <w:sz w:val="24"/>
              </w:rPr>
              <w:t>、与</w:t>
            </w:r>
            <w:r>
              <w:rPr>
                <w:rFonts w:hint="eastAsia" w:ascii="Times New Roman" w:hAnsi="Times New Roman" w:cs="Times New Roman"/>
                <w:b/>
                <w:color w:val="auto"/>
                <w:sz w:val="24"/>
                <w:lang w:eastAsia="zh-CN"/>
              </w:rPr>
              <w:t>“</w:t>
            </w:r>
            <w:r>
              <w:rPr>
                <w:rFonts w:hint="default" w:ascii="Times New Roman" w:hAnsi="Times New Roman" w:cs="Times New Roman"/>
                <w:b/>
                <w:color w:val="auto"/>
                <w:sz w:val="24"/>
              </w:rPr>
              <w:t>三区三线</w:t>
            </w:r>
            <w:r>
              <w:rPr>
                <w:rFonts w:hint="eastAsia" w:ascii="Times New Roman" w:hAnsi="Times New Roman" w:cs="Times New Roman"/>
                <w:b/>
                <w:color w:val="auto"/>
                <w:sz w:val="24"/>
                <w:lang w:eastAsia="zh-CN"/>
              </w:rPr>
              <w:t>”</w:t>
            </w:r>
            <w:r>
              <w:rPr>
                <w:rFonts w:hint="default" w:ascii="Times New Roman" w:hAnsi="Times New Roman" w:cs="Times New Roman"/>
                <w:b/>
                <w:color w:val="auto"/>
                <w:sz w:val="24"/>
              </w:rPr>
              <w:t>相符性分析</w:t>
            </w:r>
          </w:p>
          <w:p w14:paraId="11C37442">
            <w:pPr>
              <w:spacing w:line="360" w:lineRule="auto"/>
              <w:ind w:firstLine="480" w:firstLineChars="200"/>
              <w:rPr>
                <w:rFonts w:ascii="Times New Roman" w:hAnsi="Times New Roman"/>
                <w:sz w:val="24"/>
                <w:highlight w:val="none"/>
              </w:rPr>
            </w:pPr>
            <w:r>
              <w:rPr>
                <w:rFonts w:ascii="Times New Roman" w:hAnsi="Times New Roman"/>
                <w:color w:val="auto"/>
                <w:sz w:val="24"/>
                <w:highlight w:val="none"/>
              </w:rPr>
              <w:t>本项目涉及的</w:t>
            </w:r>
            <w:r>
              <w:rPr>
                <w:rFonts w:hint="eastAsia" w:ascii="Times New Roman" w:hAnsi="Times New Roman"/>
                <w:color w:val="auto"/>
                <w:sz w:val="24"/>
                <w:highlight w:val="none"/>
                <w:lang w:val="en-US" w:eastAsia="zh-CN"/>
              </w:rPr>
              <w:t>3个井场</w:t>
            </w:r>
            <w:r>
              <w:rPr>
                <w:rFonts w:ascii="Times New Roman" w:hAnsi="Times New Roman"/>
                <w:color w:val="auto"/>
                <w:sz w:val="24"/>
                <w:highlight w:val="none"/>
              </w:rPr>
              <w:t>均为临时用地，</w:t>
            </w:r>
            <w:r>
              <w:rPr>
                <w:rFonts w:hint="eastAsia" w:ascii="Times New Roman" w:hAnsi="Times New Roman"/>
                <w:color w:val="auto"/>
                <w:sz w:val="24"/>
                <w:highlight w:val="none"/>
              </w:rPr>
              <w:t>用地时长预计约</w:t>
            </w:r>
            <w:r>
              <w:rPr>
                <w:rFonts w:hint="eastAsia" w:ascii="Times New Roman" w:hAnsi="Times New Roman"/>
                <w:color w:val="auto"/>
                <w:sz w:val="24"/>
                <w:highlight w:val="none"/>
                <w:lang w:val="en-US" w:eastAsia="zh-CN"/>
              </w:rPr>
              <w:t>6</w:t>
            </w:r>
            <w:r>
              <w:rPr>
                <w:rFonts w:hint="eastAsia" w:ascii="Times New Roman" w:hAnsi="Times New Roman"/>
                <w:color w:val="auto"/>
                <w:sz w:val="24"/>
                <w:highlight w:val="none"/>
              </w:rPr>
              <w:t>个月</w:t>
            </w:r>
            <w:r>
              <w:rPr>
                <w:rFonts w:ascii="Times New Roman" w:hAnsi="Times New Roman"/>
                <w:color w:val="auto"/>
                <w:sz w:val="24"/>
                <w:highlight w:val="none"/>
              </w:rPr>
              <w:t>，施工结束后全部恢复原貌，完成复垦。</w:t>
            </w:r>
            <w:r>
              <w:rPr>
                <w:rFonts w:ascii="Times New Roman" w:hAnsi="Times New Roman"/>
                <w:color w:val="auto"/>
                <w:sz w:val="24"/>
                <w:szCs w:val="24"/>
                <w:highlight w:val="none"/>
              </w:rPr>
              <w:t>本项目</w:t>
            </w:r>
            <w:r>
              <w:rPr>
                <w:rFonts w:hint="eastAsia" w:ascii="Times New Roman" w:hAnsi="Times New Roman"/>
                <w:color w:val="auto"/>
                <w:sz w:val="24"/>
                <w:szCs w:val="24"/>
                <w:highlight w:val="none"/>
                <w:lang w:val="en-US" w:eastAsia="zh-CN"/>
              </w:rPr>
              <w:t>3个井场均</w:t>
            </w:r>
            <w:r>
              <w:rPr>
                <w:rFonts w:ascii="Times New Roman" w:hAnsi="Times New Roman"/>
                <w:color w:val="auto"/>
                <w:sz w:val="24"/>
                <w:szCs w:val="24"/>
                <w:highlight w:val="none"/>
              </w:rPr>
              <w:t>涉及基本农田</w:t>
            </w:r>
            <w:r>
              <w:rPr>
                <w:rFonts w:hint="eastAsia" w:ascii="Times New Roman" w:hAnsi="Times New Roman"/>
                <w:color w:val="auto"/>
                <w:sz w:val="24"/>
                <w:szCs w:val="24"/>
                <w:lang w:eastAsia="zh-CN"/>
              </w:rPr>
              <w:t>，</w:t>
            </w:r>
            <w:r>
              <w:rPr>
                <w:rFonts w:hint="eastAsia" w:ascii="Times New Roman" w:hAnsi="Times New Roman"/>
                <w:color w:val="auto"/>
                <w:sz w:val="24"/>
                <w:szCs w:val="24"/>
                <w:highlight w:val="none"/>
                <w:lang w:val="en-US" w:eastAsia="zh-CN"/>
              </w:rPr>
              <w:t>总占用面积约1797</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2</w:t>
            </w:r>
            <w:r>
              <w:rPr>
                <w:rFonts w:ascii="Times New Roman" w:hAnsi="Times New Roman"/>
                <w:color w:val="auto"/>
                <w:sz w:val="24"/>
                <w:highlight w:val="none"/>
              </w:rPr>
              <w:t>，但</w:t>
            </w:r>
            <w:r>
              <w:rPr>
                <w:rFonts w:hint="eastAsia" w:ascii="Times New Roman" w:hAnsi="Times New Roman"/>
                <w:color w:val="auto"/>
                <w:sz w:val="24"/>
                <w:highlight w:val="none"/>
                <w:lang w:val="en-US" w:eastAsia="zh-CN"/>
              </w:rPr>
              <w:t>均</w:t>
            </w:r>
            <w:r>
              <w:rPr>
                <w:rFonts w:ascii="Times New Roman" w:hAnsi="Times New Roman"/>
                <w:color w:val="auto"/>
                <w:sz w:val="24"/>
                <w:highlight w:val="none"/>
              </w:rPr>
              <w:t>不是长期永久占用，本项目施工前需进行表土剥离工作，将表土放在专门的表土堆放区，表土堆放区应设置拦挡、苫盖等措施，同时本项目已编制完成复垦方案，施工结束后按照复垦方案对临时占地进行复垦，剥离的表土回填，恢复原有生态环境功能</w:t>
            </w:r>
            <w:r>
              <w:rPr>
                <w:rFonts w:hint="eastAsia" w:ascii="Times New Roman" w:hAnsi="Times New Roman"/>
                <w:color w:val="auto"/>
                <w:sz w:val="24"/>
                <w:highlight w:val="none"/>
              </w:rPr>
              <w:t>。</w:t>
            </w:r>
            <w:r>
              <w:rPr>
                <w:rFonts w:ascii="Times New Roman" w:hAnsi="Times New Roman"/>
                <w:color w:val="auto"/>
                <w:sz w:val="24"/>
                <w:highlight w:val="none"/>
              </w:rPr>
              <w:t>与淮南市三区三线图比较，不占用生态保护红线，项目临时用地套核</w:t>
            </w:r>
            <w:r>
              <w:rPr>
                <w:rFonts w:hint="eastAsia" w:ascii="Times New Roman" w:hAnsi="Times New Roman"/>
                <w:color w:val="auto"/>
                <w:sz w:val="24"/>
                <w:highlight w:val="none"/>
                <w:lang w:eastAsia="zh-CN"/>
              </w:rPr>
              <w:t>“</w:t>
            </w:r>
            <w:r>
              <w:rPr>
                <w:rFonts w:ascii="Times New Roman" w:hAnsi="Times New Roman"/>
                <w:color w:val="auto"/>
                <w:sz w:val="24"/>
                <w:highlight w:val="none"/>
              </w:rPr>
              <w:t>三区三线</w:t>
            </w:r>
            <w:r>
              <w:rPr>
                <w:rFonts w:hint="eastAsia" w:ascii="Times New Roman" w:hAnsi="Times New Roman"/>
                <w:color w:val="auto"/>
                <w:sz w:val="24"/>
                <w:highlight w:val="none"/>
                <w:lang w:eastAsia="zh-CN"/>
              </w:rPr>
              <w:t>”</w:t>
            </w:r>
            <w:r>
              <w:rPr>
                <w:rFonts w:ascii="Times New Roman" w:hAnsi="Times New Roman"/>
                <w:color w:val="auto"/>
                <w:sz w:val="24"/>
                <w:highlight w:val="none"/>
              </w:rPr>
              <w:t>成果图</w:t>
            </w:r>
            <w:r>
              <w:rPr>
                <w:rFonts w:ascii="Times New Roman" w:hAnsi="Times New Roman"/>
                <w:sz w:val="24"/>
                <w:highlight w:val="none"/>
              </w:rPr>
              <w:t>见附图</w:t>
            </w:r>
            <w:r>
              <w:rPr>
                <w:rFonts w:hint="eastAsia" w:ascii="Times New Roman" w:hAnsi="Times New Roman"/>
                <w:sz w:val="24"/>
                <w:highlight w:val="none"/>
              </w:rPr>
              <w:t>4</w:t>
            </w:r>
            <w:r>
              <w:rPr>
                <w:rFonts w:ascii="Times New Roman" w:hAnsi="Times New Roman"/>
                <w:sz w:val="24"/>
                <w:highlight w:val="none"/>
              </w:rPr>
              <w:t>。</w:t>
            </w:r>
          </w:p>
          <w:p w14:paraId="3738CB95">
            <w:pPr>
              <w:spacing w:line="360" w:lineRule="auto"/>
              <w:ind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3</w:t>
            </w:r>
            <w:r>
              <w:rPr>
                <w:rFonts w:hint="default" w:ascii="Times New Roman" w:hAnsi="Times New Roman" w:cs="Times New Roman"/>
                <w:b/>
                <w:bCs/>
                <w:color w:val="auto"/>
                <w:sz w:val="24"/>
              </w:rPr>
              <w:t>、生态分区管控单元相符性分析</w:t>
            </w:r>
          </w:p>
          <w:p w14:paraId="6DF795D9">
            <w:pPr>
              <w:spacing w:line="360" w:lineRule="auto"/>
              <w:ind w:firstLine="480" w:firstLineChars="200"/>
              <w:rPr>
                <w:rFonts w:ascii="Times New Roman" w:hAnsi="Times New Roman"/>
                <w:color w:val="auto"/>
                <w:sz w:val="24"/>
              </w:rPr>
            </w:pPr>
            <w:r>
              <w:rPr>
                <w:rFonts w:ascii="Times New Roman" w:hAnsi="Times New Roman"/>
                <w:color w:val="auto"/>
                <w:sz w:val="24"/>
              </w:rPr>
              <w:t>根据安徽省生态环境厅《关于印发安徽省</w:t>
            </w:r>
            <w:r>
              <w:rPr>
                <w:rFonts w:hint="eastAsia" w:ascii="Times New Roman" w:hAnsi="Times New Roman"/>
                <w:color w:val="auto"/>
                <w:sz w:val="24"/>
                <w:lang w:eastAsia="zh-CN"/>
              </w:rPr>
              <w:t>“</w:t>
            </w:r>
            <w:r>
              <w:rPr>
                <w:rFonts w:ascii="Times New Roman" w:hAnsi="Times New Roman"/>
                <w:color w:val="auto"/>
                <w:sz w:val="24"/>
              </w:rPr>
              <w:t>三线一单</w:t>
            </w:r>
            <w:r>
              <w:rPr>
                <w:rFonts w:hint="eastAsia" w:ascii="Times New Roman" w:hAnsi="Times New Roman"/>
                <w:color w:val="auto"/>
                <w:sz w:val="24"/>
                <w:lang w:eastAsia="zh-CN"/>
              </w:rPr>
              <w:t>”</w:t>
            </w:r>
            <w:r>
              <w:rPr>
                <w:rFonts w:ascii="Times New Roman" w:hAnsi="Times New Roman"/>
                <w:color w:val="auto"/>
                <w:sz w:val="24"/>
              </w:rPr>
              <w:t>生态环境分区管控管理办法》皖环发〔</w:t>
            </w:r>
            <w:r>
              <w:rPr>
                <w:rFonts w:hint="eastAsia" w:ascii="Times New Roman" w:hAnsi="Times New Roman"/>
                <w:color w:val="auto"/>
                <w:sz w:val="24"/>
              </w:rPr>
              <w:t>2022</w:t>
            </w:r>
            <w:r>
              <w:rPr>
                <w:rFonts w:ascii="Times New Roman" w:hAnsi="Times New Roman"/>
                <w:color w:val="auto"/>
                <w:sz w:val="24"/>
              </w:rPr>
              <w:t>〕5号文要求：基于生态保护红线、环境质量底线、资源利用上线，依据现有法律法规、政策标准和管理要求等，衔接区域发展战略和生态功能定位，坚持目标导向和问题导向，从空间布局约束、污染物排放管控、环境风险防控和资源利用效率等方面明确生态环境准入要求。</w:t>
            </w:r>
          </w:p>
          <w:p w14:paraId="532F919A">
            <w:pPr>
              <w:spacing w:line="360" w:lineRule="auto"/>
              <w:ind w:firstLine="480" w:firstLineChars="200"/>
              <w:rPr>
                <w:rFonts w:ascii="Times New Roman" w:hAnsi="Times New Roman"/>
                <w:color w:val="auto"/>
                <w:sz w:val="24"/>
              </w:rPr>
            </w:pPr>
            <w:r>
              <w:rPr>
                <w:rFonts w:ascii="Times New Roman" w:hAnsi="Times New Roman"/>
                <w:color w:val="auto"/>
                <w:sz w:val="24"/>
              </w:rPr>
              <w:t>（1）生态</w:t>
            </w:r>
            <w:r>
              <w:rPr>
                <w:rFonts w:hint="eastAsia" w:ascii="Times New Roman" w:hAnsi="Times New Roman"/>
                <w:color w:val="auto"/>
                <w:sz w:val="24"/>
              </w:rPr>
              <w:t>保护</w:t>
            </w:r>
            <w:r>
              <w:rPr>
                <w:rFonts w:ascii="Times New Roman" w:hAnsi="Times New Roman"/>
                <w:color w:val="auto"/>
                <w:sz w:val="24"/>
              </w:rPr>
              <w:t>红线</w:t>
            </w:r>
          </w:p>
          <w:p w14:paraId="6B000BFC">
            <w:pPr>
              <w:spacing w:line="360" w:lineRule="auto"/>
              <w:ind w:firstLine="480"/>
              <w:rPr>
                <w:rFonts w:ascii="Times New Roman" w:hAnsi="Times New Roman"/>
                <w:color w:val="auto"/>
                <w:sz w:val="24"/>
              </w:rPr>
            </w:pPr>
            <w:r>
              <w:rPr>
                <w:rFonts w:ascii="Times New Roman" w:hAnsi="Times New Roman"/>
                <w:color w:val="auto"/>
                <w:sz w:val="24"/>
              </w:rPr>
              <w:t>根据《淮南市</w:t>
            </w:r>
            <w:r>
              <w:rPr>
                <w:rFonts w:hint="eastAsia" w:ascii="Times New Roman" w:hAnsi="Times New Roman"/>
                <w:color w:val="auto"/>
                <w:sz w:val="24"/>
                <w:lang w:eastAsia="zh-CN"/>
              </w:rPr>
              <w:t>“</w:t>
            </w:r>
            <w:r>
              <w:rPr>
                <w:rFonts w:ascii="Times New Roman" w:hAnsi="Times New Roman"/>
                <w:color w:val="auto"/>
                <w:sz w:val="24"/>
              </w:rPr>
              <w:t>三线一单</w:t>
            </w:r>
            <w:r>
              <w:rPr>
                <w:rFonts w:hint="eastAsia" w:ascii="Times New Roman" w:hAnsi="Times New Roman"/>
                <w:color w:val="auto"/>
                <w:sz w:val="24"/>
                <w:lang w:eastAsia="zh-CN"/>
              </w:rPr>
              <w:t>”</w:t>
            </w:r>
            <w:r>
              <w:rPr>
                <w:rFonts w:ascii="Times New Roman" w:hAnsi="Times New Roman"/>
                <w:color w:val="auto"/>
                <w:sz w:val="24"/>
              </w:rPr>
              <w:t>文件》，</w:t>
            </w:r>
            <w:r>
              <w:rPr>
                <w:rFonts w:hint="eastAsia" w:ascii="Times New Roman" w:hAnsi="Times New Roman"/>
                <w:color w:val="auto"/>
                <w:sz w:val="24"/>
                <w:lang w:val="en-US" w:eastAsia="zh-CN"/>
              </w:rPr>
              <w:t>本项目评价区域不涉及生态保护红线</w:t>
            </w:r>
            <w:r>
              <w:rPr>
                <w:rFonts w:ascii="Times New Roman" w:hAnsi="Times New Roman"/>
                <w:color w:val="auto"/>
                <w:sz w:val="24"/>
              </w:rPr>
              <w:t>。</w:t>
            </w:r>
          </w:p>
          <w:p w14:paraId="221D7E34">
            <w:pPr>
              <w:autoSpaceDE w:val="0"/>
              <w:autoSpaceDN w:val="0"/>
              <w:adjustRightInd w:val="0"/>
              <w:snapToGrid w:val="0"/>
              <w:spacing w:line="360" w:lineRule="auto"/>
              <w:ind w:firstLine="480" w:firstLineChars="200"/>
              <w:rPr>
                <w:rFonts w:ascii="Times New Roman" w:hAnsi="Times New Roman"/>
                <w:b/>
                <w:szCs w:val="21"/>
              </w:rPr>
            </w:pPr>
            <w:r>
              <w:rPr>
                <w:rFonts w:ascii="Times New Roman" w:hAnsi="Times New Roman"/>
                <w:color w:val="auto"/>
                <w:kern w:val="0"/>
                <w:sz w:val="24"/>
              </w:rPr>
              <w:t>本项目位于</w:t>
            </w:r>
            <w:r>
              <w:rPr>
                <w:rFonts w:ascii="Times New Roman" w:hAnsi="Times New Roman"/>
                <w:color w:val="auto"/>
                <w:sz w:val="24"/>
              </w:rPr>
              <w:t>安徽省淮南市潘集区贺疃镇境内</w:t>
            </w:r>
            <w:r>
              <w:rPr>
                <w:rFonts w:ascii="Times New Roman" w:hAnsi="Times New Roman"/>
                <w:color w:val="auto"/>
                <w:sz w:val="24"/>
                <w:highlight w:val="none"/>
              </w:rPr>
              <w:t>，</w:t>
            </w:r>
            <w:r>
              <w:rPr>
                <w:rFonts w:hint="eastAsia" w:ascii="Times New Roman" w:hAnsi="Times New Roman"/>
                <w:color w:val="auto"/>
                <w:sz w:val="24"/>
                <w:highlight w:val="none"/>
                <w:lang w:eastAsia="zh-CN"/>
              </w:rPr>
              <w:t>2025年11月26日</w:t>
            </w:r>
            <w:r>
              <w:rPr>
                <w:rFonts w:ascii="Times New Roman" w:hAnsi="Times New Roman"/>
                <w:color w:val="auto"/>
                <w:sz w:val="24"/>
                <w:highlight w:val="none"/>
              </w:rPr>
              <w:t>，淮南市自然资源和规划局潘集分局出具了本项目临时用地初审意见。项目涉</w:t>
            </w:r>
            <w:r>
              <w:rPr>
                <w:rFonts w:ascii="Times New Roman" w:hAnsi="Times New Roman"/>
                <w:color w:val="auto"/>
                <w:sz w:val="24"/>
              </w:rPr>
              <w:t>及的</w:t>
            </w:r>
            <w:r>
              <w:rPr>
                <w:rFonts w:hint="eastAsia" w:ascii="Times New Roman" w:hAnsi="Times New Roman"/>
                <w:color w:val="auto"/>
                <w:sz w:val="24"/>
                <w:lang w:val="en-US" w:eastAsia="zh-CN"/>
              </w:rPr>
              <w:t>3</w:t>
            </w:r>
            <w:r>
              <w:rPr>
                <w:rFonts w:hint="eastAsia" w:ascii="Times New Roman" w:hAnsi="Times New Roman"/>
                <w:color w:val="auto"/>
                <w:sz w:val="24"/>
                <w:lang w:eastAsia="zh-CN"/>
              </w:rPr>
              <w:t>个井场</w:t>
            </w:r>
            <w:r>
              <w:rPr>
                <w:rFonts w:ascii="Times New Roman" w:hAnsi="Times New Roman"/>
                <w:color w:val="auto"/>
                <w:sz w:val="24"/>
              </w:rPr>
              <w:t>均为临时用</w:t>
            </w:r>
            <w:r>
              <w:rPr>
                <w:rFonts w:ascii="Times New Roman" w:hAnsi="Times New Roman"/>
                <w:color w:val="auto"/>
                <w:sz w:val="24"/>
                <w:highlight w:val="none"/>
              </w:rPr>
              <w:t>地，</w:t>
            </w:r>
            <w:r>
              <w:rPr>
                <w:rFonts w:hint="eastAsia" w:ascii="Times New Roman" w:hAnsi="Times New Roman"/>
                <w:color w:val="auto"/>
                <w:sz w:val="24"/>
                <w:highlight w:val="none"/>
              </w:rPr>
              <w:t>用地时长预计约</w:t>
            </w:r>
            <w:r>
              <w:rPr>
                <w:rFonts w:hint="eastAsia" w:ascii="Times New Roman" w:hAnsi="Times New Roman"/>
                <w:color w:val="auto"/>
                <w:sz w:val="24"/>
                <w:highlight w:val="none"/>
                <w:lang w:val="en-US" w:eastAsia="zh-CN"/>
              </w:rPr>
              <w:t>6</w:t>
            </w:r>
            <w:r>
              <w:rPr>
                <w:rFonts w:hint="eastAsia" w:ascii="Times New Roman" w:hAnsi="Times New Roman"/>
                <w:color w:val="auto"/>
                <w:sz w:val="24"/>
                <w:highlight w:val="none"/>
              </w:rPr>
              <w:t>个月</w:t>
            </w:r>
            <w:r>
              <w:rPr>
                <w:rFonts w:ascii="Times New Roman" w:hAnsi="Times New Roman"/>
                <w:color w:val="auto"/>
                <w:sz w:val="24"/>
                <w:highlight w:val="none"/>
              </w:rPr>
              <w:t>，施工结束后全部恢复原貌，完成复垦。</w:t>
            </w:r>
            <w:r>
              <w:rPr>
                <w:rFonts w:ascii="Times New Roman" w:hAnsi="Times New Roman"/>
                <w:color w:val="auto"/>
                <w:kern w:val="0"/>
                <w:sz w:val="24"/>
                <w:highlight w:val="none"/>
              </w:rPr>
              <w:t>通过与《淮南市生态保护红线分布图》进行对比，本项目所在区域不在淮南市生态保护红线范围内，选址周边其他无自然</w:t>
            </w:r>
            <w:r>
              <w:rPr>
                <w:rFonts w:ascii="Times New Roman" w:hAnsi="Times New Roman"/>
                <w:color w:val="auto"/>
                <w:kern w:val="0"/>
                <w:sz w:val="24"/>
              </w:rPr>
              <w:t>保护区、风景名胜区、世界文化和自然遗产地、森林公园、地质公园、重要湿地等敏感点存在，因此符合生态保护红线要求，</w:t>
            </w:r>
            <w:r>
              <w:rPr>
                <w:rFonts w:ascii="Times New Roman" w:hAnsi="Times New Roman"/>
                <w:kern w:val="0"/>
                <w:sz w:val="24"/>
              </w:rPr>
              <w:t>本项目在生态保护红线中的位置图见报告附图</w:t>
            </w:r>
            <w:r>
              <w:rPr>
                <w:rFonts w:hint="eastAsia" w:ascii="Times New Roman" w:hAnsi="Times New Roman"/>
                <w:kern w:val="0"/>
                <w:sz w:val="24"/>
              </w:rPr>
              <w:t>5</w:t>
            </w:r>
            <w:r>
              <w:rPr>
                <w:rFonts w:ascii="Times New Roman" w:hAnsi="Times New Roman"/>
                <w:kern w:val="0"/>
                <w:sz w:val="24"/>
              </w:rPr>
              <w:t>。</w:t>
            </w:r>
          </w:p>
          <w:p w14:paraId="146C0254">
            <w:pPr>
              <w:autoSpaceDE w:val="0"/>
              <w:autoSpaceDN w:val="0"/>
              <w:spacing w:line="360" w:lineRule="auto"/>
              <w:ind w:firstLine="480" w:firstLineChars="200"/>
              <w:jc w:val="left"/>
              <w:rPr>
                <w:rFonts w:ascii="Times New Roman" w:hAnsi="Times New Roman"/>
                <w:kern w:val="0"/>
                <w:sz w:val="24"/>
              </w:rPr>
            </w:pPr>
            <w:r>
              <w:rPr>
                <w:rFonts w:ascii="Times New Roman" w:hAnsi="Times New Roman"/>
                <w:kern w:val="0"/>
                <w:sz w:val="24"/>
              </w:rPr>
              <w:t>（2）分区管控要求</w:t>
            </w:r>
          </w:p>
          <w:p w14:paraId="4F2395EE">
            <w:pPr>
              <w:autoSpaceDE w:val="0"/>
              <w:autoSpaceDN w:val="0"/>
              <w:adjustRightInd w:val="0"/>
              <w:snapToGrid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①水环境管控分区管控要求</w:t>
            </w:r>
          </w:p>
          <w:p w14:paraId="7249CEA0">
            <w:pPr>
              <w:autoSpaceDE w:val="0"/>
              <w:autoSpaceDN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对照《淮南市水环境分区管控图》，本项目所在区域属于一般管控区，</w:t>
            </w:r>
          </w:p>
          <w:p w14:paraId="6A07E4D8">
            <w:pPr>
              <w:autoSpaceDE w:val="0"/>
              <w:autoSpaceDN w:val="0"/>
              <w:spacing w:line="360" w:lineRule="auto"/>
              <w:rPr>
                <w:rFonts w:ascii="Times New Roman" w:hAnsi="Times New Roman"/>
                <w:color w:val="auto"/>
                <w:kern w:val="0"/>
                <w:sz w:val="24"/>
              </w:rPr>
            </w:pPr>
            <w:r>
              <w:rPr>
                <w:rFonts w:ascii="Times New Roman" w:hAnsi="Times New Roman"/>
                <w:color w:val="auto"/>
                <w:kern w:val="0"/>
                <w:sz w:val="24"/>
              </w:rPr>
              <w:t>项目在淮南市水环境分区图中的位置图见报告附图</w:t>
            </w:r>
            <w:r>
              <w:rPr>
                <w:rFonts w:hint="eastAsia" w:ascii="Times New Roman" w:hAnsi="Times New Roman"/>
                <w:color w:val="auto"/>
                <w:kern w:val="0"/>
                <w:sz w:val="24"/>
              </w:rPr>
              <w:t>6</w:t>
            </w:r>
            <w:r>
              <w:rPr>
                <w:rFonts w:ascii="Times New Roman" w:hAnsi="Times New Roman"/>
                <w:color w:val="auto"/>
                <w:kern w:val="0"/>
                <w:sz w:val="24"/>
              </w:rPr>
              <w:t>。一般管控区分区管控要求如下：依据《中华人民共和国水污染防治法》《水污染防治行动计划》《安徽省水污染防治工作方案》及各市水污染防治工作方案对一般管控区实施管控；依据《安徽省淮河流域水污染防治条例》对淮河流域实施管控。</w:t>
            </w:r>
            <w:r>
              <w:rPr>
                <w:rFonts w:ascii="Times New Roman" w:hAnsi="Times New Roman"/>
                <w:color w:val="auto"/>
                <w:kern w:val="0"/>
                <w:sz w:val="24"/>
                <w:highlight w:val="none"/>
              </w:rPr>
              <w:t>本项目施工期无废水外排</w:t>
            </w:r>
            <w:r>
              <w:rPr>
                <w:rFonts w:ascii="Times New Roman" w:hAnsi="Times New Roman"/>
                <w:color w:val="auto"/>
                <w:kern w:val="0"/>
                <w:sz w:val="24"/>
              </w:rPr>
              <w:t>，项目区不设置员工食宿，员工食宿依托附近村庄，生活污水经化粪池处理后定期清掏</w:t>
            </w:r>
            <w:r>
              <w:rPr>
                <w:rFonts w:ascii="Times New Roman" w:hAnsi="Times New Roman"/>
                <w:kern w:val="0"/>
                <w:sz w:val="24"/>
              </w:rPr>
              <w:t>用于当地农作物施肥。</w:t>
            </w:r>
            <w:r>
              <w:rPr>
                <w:rFonts w:ascii="Times New Roman" w:hAnsi="Times New Roman"/>
                <w:color w:val="auto"/>
                <w:kern w:val="0"/>
                <w:sz w:val="24"/>
              </w:rPr>
              <w:t>项目实施钻井仅为施工期，每个井场需要对车</w:t>
            </w:r>
            <w:r>
              <w:rPr>
                <w:rFonts w:ascii="Times New Roman" w:hAnsi="Times New Roman"/>
                <w:color w:val="auto"/>
                <w:kern w:val="0"/>
                <w:sz w:val="24"/>
                <w:highlight w:val="none"/>
              </w:rPr>
              <w:t>辆冲洗，配套建设容积</w:t>
            </w:r>
            <w:r>
              <w:rPr>
                <w:rFonts w:hint="eastAsia" w:ascii="Times New Roman" w:hAnsi="Times New Roman"/>
                <w:color w:val="auto"/>
                <w:kern w:val="0"/>
                <w:sz w:val="24"/>
                <w:highlight w:val="none"/>
                <w:lang w:val="en-US" w:eastAsia="zh-CN"/>
              </w:rPr>
              <w:t>8</w:t>
            </w:r>
            <w:r>
              <w:rPr>
                <w:rFonts w:ascii="Times New Roman" w:hAnsi="Times New Roman"/>
                <w:color w:val="auto"/>
                <w:kern w:val="0"/>
                <w:sz w:val="24"/>
                <w:highlight w:val="none"/>
              </w:rPr>
              <w:t>m</w:t>
            </w:r>
            <w:r>
              <w:rPr>
                <w:rFonts w:ascii="Times New Roman" w:hAnsi="Times New Roman"/>
                <w:color w:val="auto"/>
                <w:kern w:val="0"/>
                <w:sz w:val="24"/>
                <w:highlight w:val="none"/>
                <w:vertAlign w:val="superscript"/>
              </w:rPr>
              <w:t>3</w:t>
            </w:r>
            <w:r>
              <w:rPr>
                <w:rFonts w:ascii="Times New Roman" w:hAnsi="Times New Roman"/>
                <w:color w:val="auto"/>
                <w:kern w:val="0"/>
                <w:sz w:val="24"/>
                <w:highlight w:val="none"/>
              </w:rPr>
              <w:t>循环沉淀池，车辆清洗废水</w:t>
            </w:r>
            <w:r>
              <w:rPr>
                <w:rFonts w:ascii="Times New Roman" w:hAnsi="Times New Roman"/>
                <w:kern w:val="0"/>
                <w:sz w:val="24"/>
              </w:rPr>
              <w:t>经沉淀池沉淀后循环使用，</w:t>
            </w:r>
            <w:r>
              <w:rPr>
                <w:rFonts w:ascii="Times New Roman" w:hAnsi="Times New Roman"/>
                <w:color w:val="auto"/>
                <w:kern w:val="0"/>
                <w:sz w:val="24"/>
                <w:highlight w:val="none"/>
              </w:rPr>
              <w:t>不外排；每个井场钻探废水设置设1个</w:t>
            </w:r>
            <w:r>
              <w:rPr>
                <w:rFonts w:hint="eastAsia" w:ascii="Times New Roman" w:hAnsi="Times New Roman"/>
                <w:color w:val="auto"/>
                <w:kern w:val="0"/>
                <w:sz w:val="24"/>
                <w:highlight w:val="none"/>
                <w:lang w:eastAsia="zh-CN"/>
              </w:rPr>
              <w:t>泥浆池</w:t>
            </w:r>
            <w:r>
              <w:rPr>
                <w:rFonts w:ascii="Times New Roman" w:hAnsi="Times New Roman"/>
                <w:color w:val="auto"/>
                <w:kern w:val="0"/>
                <w:sz w:val="24"/>
                <w:highlight w:val="none"/>
              </w:rPr>
              <w:t>，容积</w:t>
            </w:r>
            <w:r>
              <w:rPr>
                <w:rFonts w:hint="eastAsia" w:ascii="Times New Roman" w:hAnsi="Times New Roman"/>
                <w:color w:val="auto"/>
                <w:kern w:val="0"/>
                <w:sz w:val="24"/>
                <w:highlight w:val="none"/>
                <w:lang w:val="en-US" w:eastAsia="zh-CN"/>
              </w:rPr>
              <w:t>36</w:t>
            </w:r>
            <w:r>
              <w:rPr>
                <w:rFonts w:ascii="Times New Roman" w:hAnsi="Times New Roman"/>
                <w:color w:val="auto"/>
                <w:kern w:val="0"/>
                <w:sz w:val="24"/>
                <w:highlight w:val="none"/>
              </w:rPr>
              <w:t>m</w:t>
            </w:r>
            <w:r>
              <w:rPr>
                <w:rFonts w:ascii="Times New Roman" w:hAnsi="Times New Roman"/>
                <w:color w:val="auto"/>
                <w:kern w:val="0"/>
                <w:sz w:val="24"/>
                <w:highlight w:val="none"/>
                <w:vertAlign w:val="superscript"/>
              </w:rPr>
              <w:t>3</w:t>
            </w:r>
            <w:r>
              <w:rPr>
                <w:rFonts w:ascii="Times New Roman" w:hAnsi="Times New Roman"/>
                <w:color w:val="auto"/>
                <w:kern w:val="0"/>
                <w:sz w:val="24"/>
                <w:highlight w:val="none"/>
              </w:rPr>
              <w:t>，设置设1个干化池，容积</w:t>
            </w:r>
            <w:r>
              <w:rPr>
                <w:rFonts w:hint="eastAsia" w:ascii="Times New Roman" w:hAnsi="Times New Roman"/>
                <w:color w:val="auto"/>
                <w:kern w:val="0"/>
                <w:sz w:val="24"/>
                <w:highlight w:val="none"/>
                <w:lang w:val="en-US" w:eastAsia="zh-CN"/>
              </w:rPr>
              <w:t>36</w:t>
            </w:r>
            <w:r>
              <w:rPr>
                <w:rFonts w:ascii="Times New Roman" w:hAnsi="Times New Roman"/>
                <w:color w:val="auto"/>
                <w:kern w:val="0"/>
                <w:sz w:val="24"/>
                <w:highlight w:val="none"/>
              </w:rPr>
              <w:t>m</w:t>
            </w:r>
            <w:r>
              <w:rPr>
                <w:rFonts w:ascii="Times New Roman" w:hAnsi="Times New Roman"/>
                <w:color w:val="auto"/>
                <w:kern w:val="0"/>
                <w:sz w:val="24"/>
                <w:highlight w:val="none"/>
                <w:vertAlign w:val="superscript"/>
              </w:rPr>
              <w:t>3</w:t>
            </w:r>
            <w:r>
              <w:rPr>
                <w:rFonts w:ascii="Times New Roman" w:hAnsi="Times New Roman"/>
                <w:color w:val="auto"/>
                <w:kern w:val="0"/>
                <w:sz w:val="24"/>
                <w:highlight w:val="none"/>
              </w:rPr>
              <w:t>，钻探废水经沉淀后回用于钻探</w:t>
            </w:r>
            <w:r>
              <w:rPr>
                <w:rFonts w:hint="eastAsia" w:ascii="Times New Roman" w:hAnsi="Times New Roman"/>
                <w:color w:val="auto"/>
                <w:kern w:val="0"/>
                <w:sz w:val="24"/>
                <w:highlight w:val="none"/>
              </w:rPr>
              <w:t>工序，</w:t>
            </w:r>
            <w:r>
              <w:rPr>
                <w:rFonts w:ascii="Times New Roman" w:hAnsi="Times New Roman"/>
                <w:color w:val="auto"/>
                <w:kern w:val="0"/>
                <w:sz w:val="24"/>
                <w:highlight w:val="none"/>
              </w:rPr>
              <w:t>不直接排入地表水环境，符合《中华人民共和国水污染防治法》《水污染防治行动计划》《安徽省水污染防治工作方案》以及《安徽省淮河流域水污染防治条例》中要求，符合分区</w:t>
            </w:r>
            <w:r>
              <w:rPr>
                <w:rFonts w:ascii="Times New Roman" w:hAnsi="Times New Roman"/>
                <w:color w:val="auto"/>
                <w:kern w:val="0"/>
                <w:sz w:val="24"/>
              </w:rPr>
              <w:t>管控要求。</w:t>
            </w:r>
          </w:p>
          <w:p w14:paraId="7190E2DE">
            <w:pPr>
              <w:autoSpaceDE w:val="0"/>
              <w:autoSpaceDN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②大气环境分区管控要求</w:t>
            </w:r>
          </w:p>
          <w:p w14:paraId="564662F4">
            <w:pPr>
              <w:autoSpaceDE w:val="0"/>
              <w:autoSpaceDN w:val="0"/>
              <w:spacing w:line="360" w:lineRule="auto"/>
              <w:ind w:firstLine="480" w:firstLineChars="200"/>
              <w:rPr>
                <w:rFonts w:ascii="Times New Roman" w:hAnsi="Times New Roman"/>
                <w:b/>
                <w:color w:val="auto"/>
                <w:szCs w:val="21"/>
              </w:rPr>
            </w:pPr>
            <w:r>
              <w:rPr>
                <w:rFonts w:ascii="Times New Roman" w:hAnsi="Times New Roman"/>
                <w:color w:val="auto"/>
                <w:kern w:val="0"/>
                <w:sz w:val="24"/>
              </w:rPr>
              <w:t>对照《淮南市大气环境分区管控图》，本项目所在区域属于大气环境一般管控区，项目在淮南市大气环境分区图中的位置图见报告附图</w:t>
            </w:r>
            <w:r>
              <w:rPr>
                <w:rFonts w:hint="eastAsia" w:ascii="Times New Roman" w:hAnsi="Times New Roman"/>
                <w:color w:val="auto"/>
                <w:kern w:val="0"/>
                <w:sz w:val="24"/>
              </w:rPr>
              <w:t>7</w:t>
            </w:r>
            <w:r>
              <w:rPr>
                <w:rFonts w:ascii="Times New Roman" w:hAnsi="Times New Roman"/>
                <w:color w:val="auto"/>
                <w:kern w:val="0"/>
                <w:sz w:val="24"/>
              </w:rPr>
              <w:t>。根据《淮南市</w:t>
            </w:r>
            <w:r>
              <w:rPr>
                <w:rFonts w:hint="eastAsia" w:ascii="Times New Roman" w:hAnsi="Times New Roman"/>
                <w:color w:val="auto"/>
                <w:kern w:val="0"/>
                <w:sz w:val="24"/>
                <w:lang w:eastAsia="zh-CN"/>
              </w:rPr>
              <w:t>“</w:t>
            </w:r>
            <w:r>
              <w:rPr>
                <w:rFonts w:ascii="Times New Roman" w:hAnsi="Times New Roman"/>
                <w:color w:val="auto"/>
                <w:kern w:val="0"/>
                <w:sz w:val="24"/>
              </w:rPr>
              <w:t>三线一单</w:t>
            </w:r>
            <w:r>
              <w:rPr>
                <w:rFonts w:hint="eastAsia" w:ascii="Times New Roman" w:hAnsi="Times New Roman"/>
                <w:color w:val="auto"/>
                <w:kern w:val="0"/>
                <w:sz w:val="24"/>
                <w:lang w:eastAsia="zh-CN"/>
              </w:rPr>
              <w:t>”</w:t>
            </w:r>
            <w:r>
              <w:rPr>
                <w:rFonts w:ascii="Times New Roman" w:hAnsi="Times New Roman"/>
                <w:color w:val="auto"/>
                <w:kern w:val="0"/>
                <w:sz w:val="24"/>
              </w:rPr>
              <w:t>文本》，本项目所在区域属于大气环境一般管控区。依据《中华人民共和国大气污染防治法》等法律法规和规章对一般管控区实施管控。上年度PM</w:t>
            </w:r>
            <w:r>
              <w:rPr>
                <w:rFonts w:ascii="Times New Roman" w:hAnsi="Times New Roman"/>
                <w:color w:val="auto"/>
                <w:kern w:val="0"/>
                <w:sz w:val="24"/>
                <w:vertAlign w:val="subscript"/>
              </w:rPr>
              <w:t>2.5</w:t>
            </w:r>
            <w:r>
              <w:rPr>
                <w:rFonts w:ascii="Times New Roman" w:hAnsi="Times New Roman"/>
                <w:color w:val="auto"/>
                <w:kern w:val="0"/>
                <w:sz w:val="24"/>
              </w:rPr>
              <w:t>不达标城市新建、改建和扩建项目大气污染物实施</w:t>
            </w:r>
            <w:r>
              <w:rPr>
                <w:rFonts w:hint="eastAsia" w:ascii="Times New Roman" w:hAnsi="Times New Roman"/>
                <w:color w:val="auto"/>
                <w:kern w:val="0"/>
                <w:sz w:val="24"/>
                <w:lang w:eastAsia="zh-CN"/>
              </w:rPr>
              <w:t>“</w:t>
            </w:r>
            <w:r>
              <w:rPr>
                <w:rFonts w:ascii="Times New Roman" w:hAnsi="Times New Roman"/>
                <w:color w:val="auto"/>
                <w:kern w:val="0"/>
                <w:sz w:val="24"/>
              </w:rPr>
              <w:t>倍量替代</w:t>
            </w:r>
            <w:r>
              <w:rPr>
                <w:rFonts w:hint="eastAsia" w:ascii="Times New Roman" w:hAnsi="Times New Roman"/>
                <w:color w:val="auto"/>
                <w:kern w:val="0"/>
                <w:sz w:val="24"/>
                <w:lang w:eastAsia="zh-CN"/>
              </w:rPr>
              <w:t>”</w:t>
            </w:r>
            <w:r>
              <w:rPr>
                <w:rFonts w:ascii="Times New Roman" w:hAnsi="Times New Roman"/>
                <w:color w:val="auto"/>
                <w:kern w:val="0"/>
                <w:sz w:val="24"/>
              </w:rPr>
              <w:t>，执行特别排放标准的行业实施提标升级改造。本项目仅施工期产生少量颗粒物，通过洒水抑尘等方式减小</w:t>
            </w:r>
            <w:r>
              <w:rPr>
                <w:rFonts w:hint="eastAsia" w:ascii="Times New Roman" w:hAnsi="Times New Roman"/>
                <w:color w:val="auto"/>
                <w:kern w:val="0"/>
                <w:sz w:val="24"/>
              </w:rPr>
              <w:t>颗粒物</w:t>
            </w:r>
            <w:r>
              <w:rPr>
                <w:rFonts w:ascii="Times New Roman" w:hAnsi="Times New Roman"/>
                <w:color w:val="auto"/>
                <w:kern w:val="0"/>
                <w:sz w:val="24"/>
              </w:rPr>
              <w:t>影响，符合分区管控要求。</w:t>
            </w:r>
          </w:p>
          <w:p w14:paraId="4E44802C">
            <w:pPr>
              <w:autoSpaceDE w:val="0"/>
              <w:autoSpaceDN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③土壤环境分区管控要求</w:t>
            </w:r>
          </w:p>
          <w:p w14:paraId="2E9FC86F">
            <w:pPr>
              <w:autoSpaceDE w:val="0"/>
              <w:autoSpaceDN w:val="0"/>
              <w:spacing w:line="360" w:lineRule="auto"/>
              <w:ind w:firstLine="480" w:firstLineChars="200"/>
              <w:rPr>
                <w:rFonts w:ascii="Times New Roman" w:hAnsi="Times New Roman"/>
                <w:b/>
                <w:color w:val="auto"/>
                <w:szCs w:val="21"/>
              </w:rPr>
            </w:pPr>
            <w:r>
              <w:rPr>
                <w:rFonts w:ascii="Times New Roman" w:hAnsi="Times New Roman"/>
                <w:color w:val="auto"/>
                <w:kern w:val="0"/>
                <w:sz w:val="24"/>
              </w:rPr>
              <w:t>对照《淮南市土壤环境分区管控图》，本项目属于土壤环境优先保护区，项目在淮南市土壤污染风险分区图中的位置图见报告附图</w:t>
            </w:r>
            <w:r>
              <w:rPr>
                <w:rFonts w:hint="eastAsia" w:ascii="Times New Roman" w:hAnsi="Times New Roman"/>
                <w:color w:val="auto"/>
                <w:kern w:val="0"/>
                <w:sz w:val="24"/>
              </w:rPr>
              <w:t>8</w:t>
            </w:r>
            <w:r>
              <w:rPr>
                <w:rFonts w:ascii="Times New Roman" w:hAnsi="Times New Roman"/>
                <w:color w:val="auto"/>
                <w:kern w:val="0"/>
                <w:sz w:val="24"/>
              </w:rPr>
              <w:t>。依据《中华人民共和国土壤污染防治法》《土壤污染防治行动计划》《安徽省土壤污染防治工作方案》《安徽省</w:t>
            </w:r>
            <w:r>
              <w:rPr>
                <w:rFonts w:hint="eastAsia" w:ascii="Times New Roman" w:hAnsi="Times New Roman"/>
                <w:color w:val="auto"/>
                <w:kern w:val="0"/>
                <w:sz w:val="24"/>
                <w:lang w:eastAsia="zh-CN"/>
              </w:rPr>
              <w:t>“</w:t>
            </w:r>
            <w:r>
              <w:rPr>
                <w:rFonts w:ascii="Times New Roman" w:hAnsi="Times New Roman"/>
                <w:color w:val="auto"/>
                <w:kern w:val="0"/>
                <w:sz w:val="24"/>
              </w:rPr>
              <w:t>十四五</w:t>
            </w:r>
            <w:r>
              <w:rPr>
                <w:rFonts w:hint="eastAsia" w:ascii="Times New Roman" w:hAnsi="Times New Roman"/>
                <w:color w:val="auto"/>
                <w:kern w:val="0"/>
                <w:sz w:val="24"/>
                <w:lang w:eastAsia="zh-CN"/>
              </w:rPr>
              <w:t>”</w:t>
            </w:r>
            <w:r>
              <w:rPr>
                <w:rFonts w:ascii="Times New Roman" w:hAnsi="Times New Roman"/>
                <w:color w:val="auto"/>
                <w:kern w:val="0"/>
                <w:sz w:val="24"/>
              </w:rPr>
              <w:t>生态环境保护规划》等要求及各市土壤污染防治工作方案对土壤环境优先保护区管控。本项目施工时使用的泥浆添加剂不含有毒有害成分，固井用</w:t>
            </w:r>
            <w:r>
              <w:rPr>
                <w:rFonts w:hint="eastAsia" w:ascii="Times New Roman" w:hAnsi="Times New Roman"/>
                <w:color w:val="auto"/>
                <w:kern w:val="0"/>
                <w:sz w:val="24"/>
              </w:rPr>
              <w:t>商品混凝土</w:t>
            </w:r>
            <w:r>
              <w:rPr>
                <w:rFonts w:ascii="Times New Roman" w:hAnsi="Times New Roman"/>
                <w:color w:val="auto"/>
                <w:kern w:val="0"/>
                <w:sz w:val="24"/>
              </w:rPr>
              <w:t>为普通/复合硅酸盐水泥，质量符合国家标准，因此不存在土壤污染风险，符合分区管控措施。</w:t>
            </w:r>
          </w:p>
          <w:p w14:paraId="6431C02A">
            <w:pPr>
              <w:autoSpaceDE w:val="0"/>
              <w:autoSpaceDN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（3）环境质量底线</w:t>
            </w:r>
          </w:p>
          <w:p w14:paraId="7A793A31">
            <w:pPr>
              <w:pStyle w:val="32"/>
              <w:adjustRightInd/>
              <w:snapToGrid/>
              <w:ind w:firstLine="480"/>
              <w:jc w:val="both"/>
              <w:rPr>
                <w:color w:val="auto"/>
                <w:sz w:val="24"/>
              </w:rPr>
            </w:pPr>
            <w:r>
              <w:rPr>
                <w:color w:val="auto"/>
                <w:sz w:val="24"/>
              </w:rPr>
              <w:t>①环境空气质量</w:t>
            </w:r>
          </w:p>
          <w:p w14:paraId="11D8A6F2">
            <w:pPr>
              <w:pStyle w:val="32"/>
              <w:adjustRightInd/>
              <w:snapToGrid/>
              <w:ind w:firstLine="480"/>
              <w:jc w:val="both"/>
              <w:rPr>
                <w:color w:val="auto"/>
                <w:sz w:val="24"/>
              </w:rPr>
            </w:pPr>
            <w:r>
              <w:rPr>
                <w:color w:val="auto"/>
                <w:sz w:val="24"/>
              </w:rPr>
              <w:t>根据淮南市生态环境局发布的《2024年淮南市生态环境质量状况公报》，淮南市市区环境空气中的主要污染物二氧化硫（SO</w:t>
            </w:r>
            <w:r>
              <w:rPr>
                <w:color w:val="auto"/>
                <w:sz w:val="24"/>
                <w:vertAlign w:val="subscript"/>
              </w:rPr>
              <w:t>2</w:t>
            </w:r>
            <w:r>
              <w:rPr>
                <w:color w:val="auto"/>
                <w:sz w:val="24"/>
              </w:rPr>
              <w:t>）年均浓度、二氧化氮（NO</w:t>
            </w:r>
            <w:r>
              <w:rPr>
                <w:color w:val="auto"/>
                <w:sz w:val="24"/>
                <w:vertAlign w:val="subscript"/>
              </w:rPr>
              <w:t>2</w:t>
            </w:r>
            <w:r>
              <w:rPr>
                <w:color w:val="auto"/>
                <w:sz w:val="24"/>
              </w:rPr>
              <w:t>）年均浓度、可吸入颗粒物（PM</w:t>
            </w:r>
            <w:r>
              <w:rPr>
                <w:color w:val="auto"/>
                <w:sz w:val="24"/>
                <w:vertAlign w:val="subscript"/>
              </w:rPr>
              <w:t>10</w:t>
            </w:r>
            <w:r>
              <w:rPr>
                <w:color w:val="auto"/>
                <w:sz w:val="24"/>
              </w:rPr>
              <w:t>）年均浓度、细颗粒物（PM</w:t>
            </w:r>
            <w:r>
              <w:rPr>
                <w:color w:val="auto"/>
                <w:sz w:val="24"/>
                <w:vertAlign w:val="subscript"/>
              </w:rPr>
              <w:t>2.5</w:t>
            </w:r>
            <w:r>
              <w:rPr>
                <w:color w:val="auto"/>
                <w:sz w:val="24"/>
              </w:rPr>
              <w:t>）年均浓度、一氧化碳（CO）日均值第95百分位浓度、臭氧（O</w:t>
            </w:r>
            <w:r>
              <w:rPr>
                <w:color w:val="auto"/>
                <w:sz w:val="24"/>
                <w:vertAlign w:val="subscript"/>
              </w:rPr>
              <w:t>3</w:t>
            </w:r>
            <w:r>
              <w:rPr>
                <w:color w:val="auto"/>
                <w:sz w:val="24"/>
              </w:rPr>
              <w:t>）日最大8小时平均第90百分位浓度分别为7微克/立方米、19微克/立方米、65微克/立方米、40微克/立方米、0.8毫克/立方米和160微克/立方米，二氧化硫（SO</w:t>
            </w:r>
            <w:r>
              <w:rPr>
                <w:color w:val="auto"/>
                <w:sz w:val="24"/>
                <w:vertAlign w:val="subscript"/>
              </w:rPr>
              <w:t>2</w:t>
            </w:r>
            <w:r>
              <w:rPr>
                <w:color w:val="auto"/>
                <w:sz w:val="24"/>
              </w:rPr>
              <w:t>）、二氧化氮（NO</w:t>
            </w:r>
            <w:r>
              <w:rPr>
                <w:color w:val="auto"/>
                <w:sz w:val="24"/>
                <w:vertAlign w:val="subscript"/>
              </w:rPr>
              <w:t>2</w:t>
            </w:r>
            <w:r>
              <w:rPr>
                <w:color w:val="auto"/>
                <w:sz w:val="24"/>
              </w:rPr>
              <w:t>）、可吸入颗粒物（PM</w:t>
            </w:r>
            <w:r>
              <w:rPr>
                <w:color w:val="auto"/>
                <w:sz w:val="24"/>
                <w:vertAlign w:val="subscript"/>
              </w:rPr>
              <w:t>10</w:t>
            </w:r>
            <w:r>
              <w:rPr>
                <w:color w:val="auto"/>
                <w:sz w:val="24"/>
              </w:rPr>
              <w:t>）年均浓度、臭氧（O</w:t>
            </w:r>
            <w:r>
              <w:rPr>
                <w:color w:val="auto"/>
                <w:sz w:val="24"/>
                <w:vertAlign w:val="subscript"/>
              </w:rPr>
              <w:t>3</w:t>
            </w:r>
            <w:r>
              <w:rPr>
                <w:color w:val="auto"/>
                <w:sz w:val="24"/>
              </w:rPr>
              <w:t>）和一氧化碳（CO）均符合《环境空气质量标准》（GB3095-2012）二级标准，细颗粒物（PM</w:t>
            </w:r>
            <w:r>
              <w:rPr>
                <w:color w:val="auto"/>
                <w:sz w:val="24"/>
                <w:vertAlign w:val="subscript"/>
              </w:rPr>
              <w:t>2.5</w:t>
            </w:r>
            <w:r>
              <w:rPr>
                <w:color w:val="auto"/>
                <w:sz w:val="24"/>
              </w:rPr>
              <w:t>）年均浓度超过《环境空气质量标准》（GB3095-2012）二级标准。项目仅施工期废气，主要有施工扬尘</w:t>
            </w:r>
            <w:r>
              <w:rPr>
                <w:rFonts w:hint="eastAsia"/>
                <w:color w:val="auto"/>
                <w:sz w:val="24"/>
              </w:rPr>
              <w:t>、</w:t>
            </w:r>
            <w:r>
              <w:rPr>
                <w:color w:val="auto"/>
                <w:sz w:val="24"/>
              </w:rPr>
              <w:t>车辆和施工机械尾气</w:t>
            </w:r>
            <w:r>
              <w:rPr>
                <w:rFonts w:hint="eastAsia"/>
                <w:color w:val="auto"/>
                <w:sz w:val="24"/>
              </w:rPr>
              <w:t>，</w:t>
            </w:r>
            <w:r>
              <w:rPr>
                <w:color w:val="auto"/>
                <w:sz w:val="24"/>
              </w:rPr>
              <w:t>通过洒水抑尘等方式减小</w:t>
            </w:r>
            <w:r>
              <w:rPr>
                <w:rFonts w:hint="eastAsia"/>
                <w:color w:val="auto"/>
                <w:sz w:val="24"/>
              </w:rPr>
              <w:t>扬尘</w:t>
            </w:r>
            <w:r>
              <w:rPr>
                <w:color w:val="auto"/>
                <w:sz w:val="24"/>
              </w:rPr>
              <w:t>影响</w:t>
            </w:r>
            <w:r>
              <w:rPr>
                <w:rFonts w:hint="eastAsia"/>
                <w:color w:val="auto"/>
                <w:sz w:val="24"/>
              </w:rPr>
              <w:t>，</w:t>
            </w:r>
            <w:r>
              <w:rPr>
                <w:color w:val="auto"/>
                <w:sz w:val="24"/>
              </w:rPr>
              <w:t>本项目在采用相应的污染防治措施后各污染物均能达标排放，对周围环境影响较小，本项目的建设不会恶化区域环境质量功能，不会触碰区域环境质量底线。</w:t>
            </w:r>
          </w:p>
          <w:p w14:paraId="4795A2F4">
            <w:pPr>
              <w:pStyle w:val="32"/>
              <w:adjustRightInd/>
              <w:snapToGrid/>
              <w:ind w:firstLine="480"/>
              <w:jc w:val="both"/>
              <w:rPr>
                <w:color w:val="auto"/>
                <w:sz w:val="24"/>
              </w:rPr>
            </w:pPr>
            <w:r>
              <w:rPr>
                <w:color w:val="auto"/>
                <w:sz w:val="24"/>
              </w:rPr>
              <w:t>②地表水环境</w:t>
            </w:r>
          </w:p>
          <w:p w14:paraId="45BF074D">
            <w:pPr>
              <w:pStyle w:val="32"/>
              <w:adjustRightInd/>
              <w:snapToGrid/>
              <w:ind w:firstLine="480"/>
              <w:jc w:val="both"/>
              <w:rPr>
                <w:color w:val="auto"/>
                <w:sz w:val="24"/>
              </w:rPr>
            </w:pPr>
            <w:r>
              <w:rPr>
                <w:color w:val="auto"/>
                <w:sz w:val="24"/>
              </w:rPr>
              <w:t>根据淮南市生态环境局发布的《2024年淮南市生态环境质量状况公报》，2024年淮南市地表水24个监测断面中优良水质比例为91.7%，比上年下降了4.1个百分点，Ⅳ类水质比例8.3%，总体水质状况优。</w:t>
            </w:r>
          </w:p>
          <w:p w14:paraId="02083516">
            <w:pPr>
              <w:pStyle w:val="32"/>
              <w:adjustRightInd/>
              <w:snapToGrid/>
              <w:ind w:firstLine="480"/>
              <w:jc w:val="both"/>
              <w:rPr>
                <w:color w:val="auto"/>
                <w:sz w:val="24"/>
                <w:highlight w:val="none"/>
              </w:rPr>
            </w:pPr>
            <w:r>
              <w:rPr>
                <w:color w:val="auto"/>
                <w:sz w:val="24"/>
              </w:rPr>
              <w:t>河流：全市辖区内淮河干流水质状况为优，永幸河和丁家沟水质状况为优，西淝河、东淝河、架河、泥河、万小河、瓦西干渠、陡涧河和便民沟水质状况为良好。20个监测断面中优良水质比例为100%，与去年持平。其中黄圩和丁家沟河口断面水质均有所好转（Ⅲ类→Ⅱ类），五里闸（II类→Ⅲ类）和西淝河闸下（II类→Ⅲ类）水质均有所下降，其他断面水质保持稳定。本项目施工期无废水外排，项目区不设置员工食宿，员工食宿依托附近村庄，生活污</w:t>
            </w:r>
            <w:r>
              <w:rPr>
                <w:color w:val="auto"/>
                <w:sz w:val="24"/>
                <w:highlight w:val="none"/>
              </w:rPr>
              <w:t>水经化粪池处理后定期清掏用于当地农作物施肥。项目实施钻井仅为施工期，每个井场需要对车辆冲洗</w:t>
            </w:r>
            <w:r>
              <w:rPr>
                <w:rFonts w:hint="eastAsia"/>
                <w:color w:val="auto"/>
                <w:sz w:val="24"/>
                <w:highlight w:val="none"/>
              </w:rPr>
              <w:t>，</w:t>
            </w:r>
            <w:r>
              <w:rPr>
                <w:color w:val="auto"/>
                <w:sz w:val="24"/>
                <w:highlight w:val="none"/>
              </w:rPr>
              <w:t>车辆清洗废水经沉淀池沉淀后循环使用，不外排；每个井场钻探废水经沉淀后回用于钻探</w:t>
            </w:r>
            <w:r>
              <w:rPr>
                <w:rFonts w:hint="eastAsia"/>
                <w:color w:val="auto"/>
                <w:sz w:val="24"/>
                <w:highlight w:val="none"/>
              </w:rPr>
              <w:t>工序，</w:t>
            </w:r>
            <w:r>
              <w:rPr>
                <w:color w:val="auto"/>
                <w:sz w:val="24"/>
                <w:highlight w:val="none"/>
              </w:rPr>
              <w:t>不直接排入地表水环境</w:t>
            </w:r>
            <w:r>
              <w:rPr>
                <w:rFonts w:hint="eastAsia"/>
                <w:color w:val="auto"/>
                <w:sz w:val="24"/>
                <w:highlight w:val="none"/>
              </w:rPr>
              <w:t>。</w:t>
            </w:r>
          </w:p>
          <w:p w14:paraId="1D823B05">
            <w:pPr>
              <w:pStyle w:val="32"/>
              <w:adjustRightInd/>
              <w:snapToGrid/>
              <w:ind w:firstLine="480"/>
              <w:jc w:val="both"/>
              <w:rPr>
                <w:color w:val="auto"/>
                <w:sz w:val="24"/>
                <w:highlight w:val="none"/>
              </w:rPr>
            </w:pPr>
            <w:r>
              <w:rPr>
                <w:color w:val="auto"/>
                <w:sz w:val="24"/>
                <w:highlight w:val="none"/>
              </w:rPr>
              <w:t>综上所述，项目废气</w:t>
            </w:r>
            <w:r>
              <w:rPr>
                <w:rFonts w:hint="eastAsia"/>
                <w:color w:val="auto"/>
                <w:sz w:val="24"/>
                <w:highlight w:val="none"/>
              </w:rPr>
              <w:t>、</w:t>
            </w:r>
            <w:r>
              <w:rPr>
                <w:color w:val="auto"/>
                <w:sz w:val="24"/>
                <w:highlight w:val="none"/>
              </w:rPr>
              <w:t>废水在采取报告表提出的治理措施后，能够达到相应的标准要求，对周边环境影响较小。因此本项目符合环境质量底线要求。</w:t>
            </w:r>
          </w:p>
          <w:p w14:paraId="378E1E08">
            <w:pPr>
              <w:autoSpaceDE w:val="0"/>
              <w:autoSpaceDN w:val="0"/>
              <w:spacing w:line="360" w:lineRule="auto"/>
              <w:ind w:firstLine="480" w:firstLineChars="200"/>
              <w:rPr>
                <w:rFonts w:ascii="Times New Roman" w:hAnsi="Times New Roman"/>
                <w:color w:val="auto"/>
                <w:kern w:val="0"/>
                <w:sz w:val="24"/>
                <w:highlight w:val="none"/>
              </w:rPr>
            </w:pPr>
            <w:r>
              <w:rPr>
                <w:rFonts w:ascii="Times New Roman" w:hAnsi="Times New Roman"/>
                <w:color w:val="auto"/>
                <w:kern w:val="0"/>
                <w:sz w:val="24"/>
                <w:highlight w:val="none"/>
              </w:rPr>
              <w:t>（4）资源利用上线</w:t>
            </w:r>
          </w:p>
          <w:p w14:paraId="2DF55215">
            <w:pPr>
              <w:autoSpaceDE w:val="0"/>
              <w:autoSpaceDN w:val="0"/>
              <w:spacing w:line="360" w:lineRule="auto"/>
              <w:ind w:firstLine="480" w:firstLineChars="200"/>
              <w:rPr>
                <w:rFonts w:hint="default" w:ascii="Times New Roman" w:hAnsi="Times New Roman" w:cs="Times New Roman"/>
                <w:color w:val="auto"/>
                <w:kern w:val="0"/>
                <w:sz w:val="24"/>
              </w:rPr>
            </w:pPr>
            <w:r>
              <w:rPr>
                <w:rFonts w:ascii="Times New Roman" w:hAnsi="Times New Roman"/>
                <w:color w:val="auto"/>
                <w:kern w:val="0"/>
                <w:sz w:val="24"/>
                <w:highlight w:val="none"/>
              </w:rPr>
              <w:t>项目</w:t>
            </w:r>
            <w:r>
              <w:rPr>
                <w:rFonts w:hint="eastAsia" w:ascii="Times New Roman" w:hAnsi="Times New Roman"/>
                <w:color w:val="auto"/>
                <w:kern w:val="0"/>
                <w:sz w:val="24"/>
                <w:highlight w:val="none"/>
              </w:rPr>
              <w:t>施工用水依托井场周边村庄，采用罐车拉运生产用水，生活用水为桶装纯净水</w:t>
            </w:r>
            <w:r>
              <w:rPr>
                <w:rFonts w:ascii="Times New Roman" w:hAnsi="Times New Roman"/>
                <w:color w:val="auto"/>
                <w:kern w:val="0"/>
                <w:sz w:val="24"/>
                <w:highlight w:val="none"/>
              </w:rPr>
              <w:t>，</w:t>
            </w:r>
            <w:r>
              <w:rPr>
                <w:rFonts w:hint="eastAsia" w:ascii="Times New Roman" w:hAnsi="Times New Roman"/>
                <w:color w:val="auto"/>
                <w:kern w:val="0"/>
                <w:sz w:val="24"/>
                <w:highlight w:val="none"/>
              </w:rPr>
              <w:t>用电依托当地供电系统</w:t>
            </w:r>
            <w:r>
              <w:rPr>
                <w:rFonts w:ascii="Times New Roman" w:hAnsi="Times New Roman"/>
                <w:color w:val="auto"/>
                <w:kern w:val="0"/>
                <w:sz w:val="24"/>
                <w:highlight w:val="none"/>
              </w:rPr>
              <w:t>，项目不会突破当地资源利用上线；符合当地规划要求，亦不会达到资源利用上线。</w:t>
            </w:r>
          </w:p>
          <w:p w14:paraId="21F93531">
            <w:pPr>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（5）生态环境准入清单</w:t>
            </w:r>
          </w:p>
          <w:p w14:paraId="0ABBF51B">
            <w:pPr>
              <w:pStyle w:val="9"/>
              <w:snapToGrid/>
              <w:spacing w:before="0" w:after="0" w:line="360" w:lineRule="auto"/>
              <w:ind w:right="0" w:firstLine="480" w:firstLineChars="200"/>
              <w:rPr>
                <w:rFonts w:hint="default"/>
                <w:color w:val="auto"/>
                <w:lang w:val="en-US" w:eastAsia="zh-CN"/>
              </w:rPr>
            </w:pPr>
            <w:r>
              <w:rPr>
                <w:rFonts w:hint="default" w:ascii="Times New Roman" w:hAnsi="Times New Roman" w:cs="Times New Roman"/>
                <w:color w:val="auto"/>
                <w:sz w:val="24"/>
                <w:szCs w:val="24"/>
                <w:lang w:val="en-US" w:eastAsia="zh-CN"/>
              </w:rPr>
              <w:t>本项目位于淮南市</w:t>
            </w:r>
            <w:r>
              <w:rPr>
                <w:rFonts w:hint="eastAsia" w:ascii="Times New Roman" w:hAnsi="Times New Roman" w:cs="Times New Roman"/>
                <w:color w:val="auto"/>
                <w:sz w:val="24"/>
                <w:szCs w:val="24"/>
                <w:lang w:val="en-US" w:eastAsia="zh-CN"/>
              </w:rPr>
              <w:t>潘集区贺疃镇</w:t>
            </w:r>
            <w:r>
              <w:rPr>
                <w:rFonts w:hint="default" w:ascii="Times New Roman" w:hAnsi="Times New Roman" w:cs="Times New Roman"/>
                <w:color w:val="auto"/>
                <w:sz w:val="24"/>
                <w:szCs w:val="24"/>
                <w:lang w:val="en-US" w:eastAsia="zh-CN"/>
              </w:rPr>
              <w:t>境内，经与安徽省</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三线一单</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公众服务平台查询分析可知，本项目</w:t>
            </w:r>
            <w:r>
              <w:rPr>
                <w:rFonts w:hint="eastAsia" w:ascii="Times New Roman" w:hAnsi="Times New Roman" w:cs="Times New Roman"/>
                <w:color w:val="auto"/>
                <w:sz w:val="24"/>
                <w:szCs w:val="24"/>
                <w:lang w:val="en-US" w:eastAsia="zh-CN"/>
              </w:rPr>
              <w:t>1个井场均</w:t>
            </w:r>
            <w:r>
              <w:rPr>
                <w:rFonts w:hint="default" w:ascii="Times New Roman" w:hAnsi="Times New Roman" w:cs="Times New Roman"/>
                <w:color w:val="auto"/>
                <w:sz w:val="24"/>
                <w:szCs w:val="24"/>
                <w:lang w:val="en-US" w:eastAsia="zh-CN"/>
              </w:rPr>
              <w:t>与1个环境管控单元存在交叠（环境管控单元编码ZH34040630004），其中优先保护类0个，重点管控类0个，一般管控类1个，属于一般管控单元</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w:t>
            </w:r>
          </w:p>
        </w:tc>
      </w:tr>
    </w:tbl>
    <w:p w14:paraId="09ED768F">
      <w:pPr>
        <w:autoSpaceDE w:val="0"/>
        <w:autoSpaceDN w:val="0"/>
        <w:adjustRightInd w:val="0"/>
        <w:snapToGrid w:val="0"/>
        <w:jc w:val="center"/>
        <w:rPr>
          <w:rFonts w:hint="default" w:ascii="Times New Roman" w:hAnsi="Times New Roman" w:cs="Times New Roman"/>
          <w:color w:val="auto"/>
          <w:kern w:val="0"/>
          <w:sz w:val="24"/>
        </w:rPr>
        <w:sectPr>
          <w:footerReference r:id="rId6" w:type="default"/>
          <w:pgSz w:w="11906" w:h="16838"/>
          <w:pgMar w:top="1701" w:right="1531" w:bottom="1701" w:left="1531" w:header="851" w:footer="1077" w:gutter="0"/>
          <w:pgNumType w:fmt="decimal" w:start="1"/>
          <w:cols w:space="720" w:num="1"/>
          <w:docGrid w:linePitch="312" w:charSpace="0"/>
        </w:sectPr>
      </w:pP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17"/>
        <w:gridCol w:w="12451"/>
      </w:tblGrid>
      <w:tr w14:paraId="0274A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059" w:hRule="atLeast"/>
          <w:jc w:val="center"/>
        </w:trPr>
        <w:tc>
          <w:tcPr>
            <w:tcW w:w="670" w:type="dxa"/>
            <w:noWrap w:val="0"/>
            <w:tcMar>
              <w:top w:w="16" w:type="dxa"/>
              <w:left w:w="16" w:type="dxa"/>
              <w:right w:w="16" w:type="dxa"/>
            </w:tcMar>
            <w:vAlign w:val="center"/>
          </w:tcPr>
          <w:p w14:paraId="2D641B7A">
            <w:pPr>
              <w:autoSpaceDE w:val="0"/>
              <w:autoSpaceDN w:val="0"/>
              <w:adjustRightInd w:val="0"/>
              <w:snapToGrid w:val="0"/>
              <w:jc w:val="center"/>
              <w:rPr>
                <w:rFonts w:hint="default" w:ascii="Times New Roman" w:hAnsi="Times New Roman" w:cs="Times New Roman"/>
                <w:color w:val="auto"/>
                <w:kern w:val="0"/>
                <w:sz w:val="24"/>
              </w:rPr>
            </w:pPr>
          </w:p>
        </w:tc>
        <w:tc>
          <w:tcPr>
            <w:tcW w:w="8206" w:type="dxa"/>
            <w:noWrap w:val="0"/>
            <w:tcMar>
              <w:top w:w="16" w:type="dxa"/>
              <w:left w:w="16" w:type="dxa"/>
              <w:right w:w="16" w:type="dxa"/>
            </w:tcMar>
            <w:vAlign w:val="center"/>
          </w:tcPr>
          <w:p w14:paraId="7D4001AE">
            <w:pPr>
              <w:spacing w:line="360" w:lineRule="auto"/>
              <w:jc w:val="center"/>
              <w:rPr>
                <w:rFonts w:hint="default" w:ascii="Times New Roman" w:hAnsi="Times New Roman"/>
                <w:b/>
                <w:color w:val="auto"/>
                <w:szCs w:val="21"/>
                <w:lang w:val="en-US" w:eastAsia="zh-CN"/>
              </w:rPr>
            </w:pPr>
            <w:r>
              <w:rPr>
                <w:rFonts w:hint="default" w:ascii="Times New Roman" w:hAnsi="Times New Roman"/>
                <w:b/>
                <w:color w:val="auto"/>
                <w:szCs w:val="21"/>
                <w:lang w:val="en-US" w:eastAsia="zh-CN"/>
              </w:rPr>
              <w:t>表1-</w:t>
            </w:r>
            <w:r>
              <w:rPr>
                <w:rFonts w:hint="eastAsia" w:ascii="Times New Roman" w:hAnsi="Times New Roman"/>
                <w:b/>
                <w:color w:val="auto"/>
                <w:szCs w:val="21"/>
                <w:lang w:val="en-US" w:eastAsia="zh-CN"/>
              </w:rPr>
              <w:t>3</w:t>
            </w:r>
            <w:r>
              <w:rPr>
                <w:rFonts w:hint="default" w:ascii="Times New Roman" w:hAnsi="Times New Roman"/>
                <w:b/>
                <w:color w:val="auto"/>
                <w:szCs w:val="21"/>
                <w:lang w:val="en-US" w:eastAsia="zh-CN"/>
              </w:rPr>
              <w:t xml:space="preserve"> </w:t>
            </w:r>
            <w:r>
              <w:rPr>
                <w:rFonts w:hint="eastAsia" w:ascii="Times New Roman" w:hAnsi="Times New Roman"/>
                <w:b/>
                <w:color w:val="auto"/>
                <w:szCs w:val="21"/>
                <w:lang w:val="en-US" w:eastAsia="zh-CN"/>
              </w:rPr>
              <w:t xml:space="preserve"> </w:t>
            </w:r>
            <w:r>
              <w:rPr>
                <w:rFonts w:hint="default" w:ascii="Times New Roman" w:hAnsi="Times New Roman"/>
                <w:b/>
                <w:color w:val="auto"/>
                <w:szCs w:val="21"/>
                <w:lang w:val="en-US" w:eastAsia="zh-CN"/>
              </w:rPr>
              <w:t>环境准入负面清单分析对照</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204"/>
              <w:gridCol w:w="1160"/>
              <w:gridCol w:w="853"/>
              <w:gridCol w:w="4091"/>
              <w:gridCol w:w="2865"/>
              <w:gridCol w:w="1196"/>
            </w:tblGrid>
            <w:tr w14:paraId="432F3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vAlign w:val="center"/>
                </w:tcPr>
                <w:p w14:paraId="40D1B20F">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环境管控单元编码</w:t>
                  </w:r>
                </w:p>
              </w:tc>
              <w:tc>
                <w:tcPr>
                  <w:tcW w:w="485" w:type="pct"/>
                  <w:vAlign w:val="center"/>
                </w:tcPr>
                <w:p w14:paraId="64E706A3">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环境管控单元名称</w:t>
                  </w:r>
                </w:p>
              </w:tc>
              <w:tc>
                <w:tcPr>
                  <w:tcW w:w="467" w:type="pct"/>
                  <w:vAlign w:val="center"/>
                </w:tcPr>
                <w:p w14:paraId="6D2CC41B">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环境管控单元分类</w:t>
                  </w:r>
                </w:p>
              </w:tc>
              <w:tc>
                <w:tcPr>
                  <w:tcW w:w="344" w:type="pct"/>
                  <w:vAlign w:val="center"/>
                </w:tcPr>
                <w:p w14:paraId="2A5C9911">
                  <w:pPr>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管控类别</w:t>
                  </w:r>
                </w:p>
              </w:tc>
              <w:tc>
                <w:tcPr>
                  <w:tcW w:w="1649" w:type="pct"/>
                  <w:vAlign w:val="center"/>
                </w:tcPr>
                <w:p w14:paraId="458E6497">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管控要求</w:t>
                  </w:r>
                </w:p>
              </w:tc>
              <w:tc>
                <w:tcPr>
                  <w:tcW w:w="1155" w:type="pct"/>
                  <w:vAlign w:val="center"/>
                </w:tcPr>
                <w:p w14:paraId="6B3C67DF">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本项目情况</w:t>
                  </w:r>
                </w:p>
              </w:tc>
              <w:tc>
                <w:tcPr>
                  <w:tcW w:w="482" w:type="pct"/>
                  <w:vAlign w:val="center"/>
                </w:tcPr>
                <w:p w14:paraId="729DE2B5">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符合性分析</w:t>
                  </w:r>
                </w:p>
              </w:tc>
            </w:tr>
            <w:tr w14:paraId="3F09F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1" w:hRule="atLeast"/>
                <w:jc w:val="center"/>
              </w:trPr>
              <w:tc>
                <w:tcPr>
                  <w:tcW w:w="415" w:type="pct"/>
                  <w:vMerge w:val="restart"/>
                  <w:vAlign w:val="center"/>
                </w:tcPr>
                <w:p w14:paraId="0357335F">
                  <w:pPr>
                    <w:spacing w:line="240" w:lineRule="auto"/>
                    <w:jc w:val="center"/>
                    <w:rPr>
                      <w:rFonts w:hint="eastAsia" w:ascii="Times New Roman" w:hAnsi="Times New Roman" w:eastAsia="宋体" w:cs="Times New Roman"/>
                      <w:color w:val="auto"/>
                      <w:szCs w:val="21"/>
                      <w:highlight w:val="none"/>
                      <w:lang w:val="zh-CN"/>
                    </w:rPr>
                  </w:pPr>
                  <w:r>
                    <w:rPr>
                      <w:rFonts w:hint="eastAsia" w:ascii="Times New Roman" w:hAnsi="Times New Roman" w:eastAsia="宋体" w:cs="Times New Roman"/>
                      <w:color w:val="auto"/>
                      <w:szCs w:val="21"/>
                      <w:highlight w:val="none"/>
                      <w:lang w:val="zh-CN"/>
                    </w:rPr>
                    <w:t>ZH340</w:t>
                  </w:r>
                  <w:r>
                    <w:rPr>
                      <w:rFonts w:hint="eastAsia" w:ascii="Times New Roman" w:hAnsi="Times New Roman" w:eastAsia="宋体" w:cs="Times New Roman"/>
                      <w:color w:val="auto"/>
                      <w:szCs w:val="21"/>
                      <w:highlight w:val="none"/>
                      <w:lang w:val="en-US" w:eastAsia="zh-CN"/>
                    </w:rPr>
                    <w:t>406</w:t>
                  </w:r>
                  <w:r>
                    <w:rPr>
                      <w:rFonts w:hint="eastAsia" w:ascii="Times New Roman" w:hAnsi="Times New Roman" w:eastAsia="宋体" w:cs="Times New Roman"/>
                      <w:color w:val="auto"/>
                      <w:szCs w:val="21"/>
                      <w:highlight w:val="none"/>
                      <w:lang w:val="zh-CN"/>
                    </w:rPr>
                    <w:t>3000</w:t>
                  </w:r>
                  <w:r>
                    <w:rPr>
                      <w:rFonts w:hint="eastAsia" w:ascii="Times New Roman" w:hAnsi="Times New Roman" w:eastAsia="宋体" w:cs="Times New Roman"/>
                      <w:color w:val="auto"/>
                      <w:szCs w:val="21"/>
                      <w:highlight w:val="none"/>
                      <w:lang w:val="en-US" w:eastAsia="zh-CN"/>
                    </w:rPr>
                    <w:t>4</w:t>
                  </w:r>
                </w:p>
              </w:tc>
              <w:tc>
                <w:tcPr>
                  <w:tcW w:w="485" w:type="pct"/>
                  <w:vMerge w:val="restart"/>
                  <w:vAlign w:val="center"/>
                </w:tcPr>
                <w:p w14:paraId="3D8DF51B">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rPr>
                    <w:t>一般管控单元</w:t>
                  </w:r>
                  <w:r>
                    <w:rPr>
                      <w:rFonts w:hint="eastAsia" w:ascii="Times New Roman" w:hAnsi="Times New Roman" w:eastAsia="宋体" w:cs="Times New Roman"/>
                      <w:color w:val="auto"/>
                      <w:szCs w:val="21"/>
                      <w:highlight w:val="none"/>
                      <w:lang w:val="en-US" w:eastAsia="zh-CN"/>
                    </w:rPr>
                    <w:t>5</w:t>
                  </w:r>
                </w:p>
              </w:tc>
              <w:tc>
                <w:tcPr>
                  <w:tcW w:w="467" w:type="pct"/>
                  <w:vMerge w:val="restart"/>
                  <w:vAlign w:val="center"/>
                </w:tcPr>
                <w:p w14:paraId="0BD2788E">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rPr>
                    <w:t>一般管控单元</w:t>
                  </w:r>
                </w:p>
              </w:tc>
              <w:tc>
                <w:tcPr>
                  <w:tcW w:w="344" w:type="pct"/>
                  <w:vAlign w:val="center"/>
                </w:tcPr>
                <w:p w14:paraId="22648B10">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空间布局约束</w:t>
                  </w:r>
                </w:p>
              </w:tc>
              <w:tc>
                <w:tcPr>
                  <w:tcW w:w="1649" w:type="pct"/>
                  <w:vAlign w:val="center"/>
                </w:tcPr>
                <w:p w14:paraId="588C34ED">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1、禁止任何单位和个人在基本农田保护区内建窑、建房、建坟、挖砂、采石、采矿、取土、堆放固体废弃物或者进行其他破坏基本农田的活动；2、在永久基本农田集中区域，不得规划新建可能造成土壤污染的建设项目；3、实行耕地保护补偿激励制度，具体按照国家和省有关规定执行。加大优先保护类耕地保护力度，综合采取占补数量和质量平衡、高标准农田建设、周边污染企业搬迁整治等措施；4、优先保护类耕地集中区域现有可能造成土壤污染的相关行业企业应当按照有关规定采取措施，防止对耕地造成污染。</w:t>
                  </w:r>
                </w:p>
              </w:tc>
              <w:tc>
                <w:tcPr>
                  <w:tcW w:w="1155" w:type="pct"/>
                  <w:vAlign w:val="center"/>
                </w:tcPr>
                <w:p w14:paraId="7E07408D">
                  <w:pPr>
                    <w:pStyle w:val="52"/>
                    <w:spacing w:line="240" w:lineRule="auto"/>
                    <w:ind w:left="0" w:leftChars="0" w:firstLine="0" w:firstLineChars="0"/>
                    <w:jc w:val="center"/>
                    <w:rPr>
                      <w:rFonts w:hint="eastAsia"/>
                      <w:color w:val="auto"/>
                      <w:vertAlign w:val="baseline"/>
                      <w:lang w:eastAsia="zh-CN"/>
                    </w:rPr>
                  </w:pPr>
                  <w:r>
                    <w:rPr>
                      <w:rFonts w:hint="eastAsia"/>
                      <w:color w:val="auto"/>
                      <w:sz w:val="21"/>
                      <w:szCs w:val="21"/>
                      <w:highlight w:val="none"/>
                    </w:rPr>
                    <w:t>1、</w:t>
                  </w:r>
                  <w:r>
                    <w:rPr>
                      <w:rFonts w:hint="eastAsia"/>
                      <w:color w:val="auto"/>
                      <w:sz w:val="21"/>
                      <w:szCs w:val="21"/>
                      <w:highlight w:val="none"/>
                      <w:lang w:val="en-US" w:eastAsia="zh-CN"/>
                    </w:rPr>
                    <w:t>根据淮南市生态保护红线图</w:t>
                  </w:r>
                  <w:r>
                    <w:rPr>
                      <w:rFonts w:hint="eastAsia"/>
                      <w:color w:val="auto"/>
                      <w:sz w:val="21"/>
                      <w:szCs w:val="21"/>
                      <w:highlight w:val="none"/>
                    </w:rPr>
                    <w:t>，本项目</w:t>
                  </w:r>
                  <w:r>
                    <w:rPr>
                      <w:rFonts w:hint="eastAsia"/>
                      <w:color w:val="auto"/>
                      <w:sz w:val="21"/>
                      <w:szCs w:val="21"/>
                      <w:highlight w:val="none"/>
                      <w:lang w:val="en-US" w:eastAsia="zh-CN"/>
                    </w:rPr>
                    <w:t>评价区域</w:t>
                  </w:r>
                  <w:r>
                    <w:rPr>
                      <w:rFonts w:hint="eastAsia"/>
                      <w:color w:val="auto"/>
                      <w:sz w:val="21"/>
                      <w:szCs w:val="21"/>
                      <w:highlight w:val="none"/>
                    </w:rPr>
                    <w:t>不涉及生态</w:t>
                  </w:r>
                  <w:r>
                    <w:rPr>
                      <w:rFonts w:hint="eastAsia"/>
                      <w:color w:val="auto"/>
                      <w:sz w:val="21"/>
                      <w:szCs w:val="21"/>
                      <w:highlight w:val="none"/>
                      <w:lang w:val="en-US" w:eastAsia="zh-CN"/>
                    </w:rPr>
                    <w:t>保护</w:t>
                  </w:r>
                  <w:r>
                    <w:rPr>
                      <w:rFonts w:hint="eastAsia"/>
                      <w:color w:val="auto"/>
                      <w:sz w:val="21"/>
                      <w:szCs w:val="21"/>
                      <w:highlight w:val="none"/>
                    </w:rPr>
                    <w:t>红线</w:t>
                  </w:r>
                  <w:r>
                    <w:rPr>
                      <w:rFonts w:hint="eastAsia"/>
                      <w:color w:val="auto"/>
                      <w:sz w:val="21"/>
                      <w:szCs w:val="21"/>
                      <w:highlight w:val="none"/>
                      <w:lang w:val="zh-CN"/>
                    </w:rPr>
                    <w:t>；</w:t>
                  </w:r>
                  <w:r>
                    <w:rPr>
                      <w:rFonts w:hint="eastAsia"/>
                      <w:color w:val="auto"/>
                      <w:sz w:val="21"/>
                      <w:szCs w:val="21"/>
                      <w:highlight w:val="none"/>
                    </w:rPr>
                    <w:t>2、</w:t>
                  </w:r>
                  <w:r>
                    <w:rPr>
                      <w:rFonts w:ascii="Times New Roman" w:hAnsi="Times New Roman"/>
                      <w:color w:val="auto"/>
                      <w:sz w:val="21"/>
                      <w:szCs w:val="21"/>
                      <w:highlight w:val="none"/>
                    </w:rPr>
                    <w:t>本项目</w:t>
                  </w:r>
                  <w:r>
                    <w:rPr>
                      <w:rFonts w:hint="eastAsia"/>
                      <w:color w:val="auto"/>
                      <w:sz w:val="21"/>
                      <w:szCs w:val="21"/>
                      <w:highlight w:val="none"/>
                      <w:lang w:val="en-US" w:eastAsia="zh-CN"/>
                    </w:rPr>
                    <w:t>3个井场</w:t>
                  </w:r>
                  <w:r>
                    <w:rPr>
                      <w:rFonts w:hint="eastAsia" w:ascii="Times New Roman" w:hAnsi="Times New Roman"/>
                      <w:color w:val="auto"/>
                      <w:sz w:val="21"/>
                      <w:szCs w:val="21"/>
                      <w:highlight w:val="none"/>
                      <w:lang w:val="en-US" w:eastAsia="zh-CN"/>
                    </w:rPr>
                    <w:t>均</w:t>
                  </w:r>
                  <w:r>
                    <w:rPr>
                      <w:rFonts w:ascii="Times New Roman" w:hAnsi="Times New Roman"/>
                      <w:color w:val="auto"/>
                      <w:sz w:val="21"/>
                      <w:szCs w:val="21"/>
                      <w:highlight w:val="none"/>
                    </w:rPr>
                    <w:t>涉及基本农田</w:t>
                  </w:r>
                  <w:r>
                    <w:rPr>
                      <w:rFonts w:hint="eastAsia"/>
                      <w:color w:val="auto"/>
                      <w:sz w:val="21"/>
                      <w:szCs w:val="21"/>
                      <w:highlight w:val="none"/>
                      <w:lang w:eastAsia="zh-CN"/>
                    </w:rPr>
                    <w:t>，</w:t>
                  </w:r>
                  <w:r>
                    <w:rPr>
                      <w:rFonts w:hint="eastAsia"/>
                      <w:color w:val="auto"/>
                      <w:sz w:val="21"/>
                      <w:szCs w:val="21"/>
                      <w:highlight w:val="none"/>
                      <w:lang w:val="en-US" w:eastAsia="zh-CN"/>
                    </w:rPr>
                    <w:t>总占用面积约</w:t>
                  </w:r>
                  <w:r>
                    <w:rPr>
                      <w:rFonts w:hint="eastAsia" w:cs="Times New Roman"/>
                      <w:color w:val="auto"/>
                      <w:sz w:val="21"/>
                      <w:szCs w:val="21"/>
                      <w:highlight w:val="none"/>
                      <w:lang w:val="en-US" w:eastAsia="zh-CN"/>
                    </w:rPr>
                    <w:t>1797</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ascii="Times New Roman" w:hAnsi="Times New Roman"/>
                      <w:color w:val="auto"/>
                      <w:sz w:val="21"/>
                      <w:szCs w:val="21"/>
                      <w:highlight w:val="none"/>
                    </w:rPr>
                    <w:t>，但</w:t>
                  </w:r>
                  <w:r>
                    <w:rPr>
                      <w:rFonts w:hint="eastAsia" w:ascii="Times New Roman" w:hAnsi="Times New Roman"/>
                      <w:color w:val="auto"/>
                      <w:sz w:val="21"/>
                      <w:szCs w:val="21"/>
                      <w:highlight w:val="none"/>
                      <w:lang w:val="en-US" w:eastAsia="zh-CN"/>
                    </w:rPr>
                    <w:t>均</w:t>
                  </w:r>
                  <w:r>
                    <w:rPr>
                      <w:rFonts w:ascii="Times New Roman" w:hAnsi="Times New Roman"/>
                      <w:color w:val="auto"/>
                      <w:sz w:val="21"/>
                      <w:szCs w:val="21"/>
                      <w:highlight w:val="none"/>
                    </w:rPr>
                    <w:t>不是长期永久占用，本项目施工前需进行表土剥离工作，将表土放在专门的表土堆放区，表土堆放区应设置拦挡、苫盖等措施，同时本项目已编制完成复垦方案，施工结束后按照复垦方案对临时占地进行复垦，剥离的表土回填，恢复原有生态环境功能</w:t>
                  </w:r>
                  <w:r>
                    <w:rPr>
                      <w:rFonts w:hint="eastAsia"/>
                      <w:color w:val="auto"/>
                      <w:sz w:val="21"/>
                      <w:szCs w:val="21"/>
                      <w:highlight w:val="none"/>
                      <w:lang w:val="zh-CN"/>
                    </w:rPr>
                    <w:t>；</w:t>
                  </w:r>
                  <w:r>
                    <w:rPr>
                      <w:rFonts w:hint="eastAsia"/>
                      <w:color w:val="auto"/>
                      <w:sz w:val="21"/>
                      <w:szCs w:val="21"/>
                      <w:highlight w:val="none"/>
                    </w:rPr>
                    <w:t>3、</w:t>
                  </w:r>
                  <w:r>
                    <w:rPr>
                      <w:rFonts w:hint="eastAsia"/>
                      <w:color w:val="auto"/>
                      <w:sz w:val="21"/>
                      <w:szCs w:val="21"/>
                      <w:highlight w:val="none"/>
                      <w:lang w:val="zh-CN"/>
                    </w:rPr>
                    <w:t>已按照临时用地相关政策要求编制完成复垦方案并取得了淮南市自然资源和规划局潘集分局出具了本项目临时用地初审意见。</w:t>
                  </w:r>
                  <w:r>
                    <w:rPr>
                      <w:rFonts w:hint="eastAsia"/>
                      <w:color w:val="auto"/>
                      <w:sz w:val="21"/>
                      <w:szCs w:val="21"/>
                      <w:highlight w:val="none"/>
                    </w:rPr>
                    <w:t>4、</w:t>
                  </w:r>
                  <w:r>
                    <w:rPr>
                      <w:rFonts w:hint="eastAsia"/>
                      <w:color w:val="auto"/>
                      <w:sz w:val="21"/>
                      <w:szCs w:val="21"/>
                      <w:highlight w:val="none"/>
                      <w:lang w:val="zh-CN"/>
                    </w:rPr>
                    <w:t>本项目施工完成后将按照已批复的土地复垦方案进行土地复垦，及时恢复种植条件。</w:t>
                  </w:r>
                </w:p>
              </w:tc>
              <w:tc>
                <w:tcPr>
                  <w:tcW w:w="482" w:type="pct"/>
                  <w:vAlign w:val="center"/>
                </w:tcPr>
                <w:p w14:paraId="6487C662">
                  <w:pPr>
                    <w:pStyle w:val="52"/>
                    <w:spacing w:line="240" w:lineRule="auto"/>
                    <w:ind w:left="0" w:leftChars="0" w:firstLine="0" w:firstLineChars="0"/>
                    <w:jc w:val="center"/>
                    <w:rPr>
                      <w:rFonts w:hint="eastAsia"/>
                      <w:color w:val="auto"/>
                      <w:vertAlign w:val="baseline"/>
                      <w:lang w:eastAsia="zh-CN"/>
                    </w:rPr>
                  </w:pPr>
                  <w:r>
                    <w:rPr>
                      <w:rFonts w:hint="eastAsia"/>
                      <w:color w:val="auto"/>
                      <w:vertAlign w:val="baseline"/>
                      <w:lang w:eastAsia="zh-CN"/>
                    </w:rPr>
                    <w:t>符合</w:t>
                  </w:r>
                </w:p>
              </w:tc>
            </w:tr>
            <w:tr w14:paraId="6F9B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15" w:type="pct"/>
                  <w:vMerge w:val="continue"/>
                  <w:vAlign w:val="center"/>
                </w:tcPr>
                <w:p w14:paraId="2D03CEC5">
                  <w:pPr>
                    <w:spacing w:line="240" w:lineRule="auto"/>
                    <w:jc w:val="center"/>
                    <w:rPr>
                      <w:rFonts w:hint="eastAsia"/>
                      <w:color w:val="auto"/>
                      <w:sz w:val="24"/>
                      <w:szCs w:val="24"/>
                    </w:rPr>
                  </w:pPr>
                </w:p>
              </w:tc>
              <w:tc>
                <w:tcPr>
                  <w:tcW w:w="485" w:type="pct"/>
                  <w:vMerge w:val="continue"/>
                  <w:vAlign w:val="center"/>
                </w:tcPr>
                <w:p w14:paraId="6035CD66">
                  <w:pPr>
                    <w:spacing w:line="240" w:lineRule="auto"/>
                    <w:jc w:val="center"/>
                    <w:rPr>
                      <w:rFonts w:hint="eastAsia" w:ascii="Times New Roman" w:hAnsi="Times New Roman" w:eastAsia="宋体" w:cs="Times New Roman"/>
                      <w:color w:val="auto"/>
                      <w:szCs w:val="21"/>
                      <w:highlight w:val="none"/>
                      <w:lang w:val="zh-CN"/>
                    </w:rPr>
                  </w:pPr>
                </w:p>
              </w:tc>
              <w:tc>
                <w:tcPr>
                  <w:tcW w:w="467" w:type="pct"/>
                  <w:vMerge w:val="continue"/>
                  <w:vAlign w:val="center"/>
                </w:tcPr>
                <w:p w14:paraId="29BBC400">
                  <w:pPr>
                    <w:spacing w:line="240" w:lineRule="auto"/>
                    <w:jc w:val="center"/>
                    <w:rPr>
                      <w:rFonts w:hint="eastAsia" w:ascii="Times New Roman" w:hAnsi="Times New Roman" w:eastAsia="宋体" w:cs="Times New Roman"/>
                      <w:color w:val="auto"/>
                      <w:szCs w:val="21"/>
                      <w:highlight w:val="none"/>
                      <w:lang w:val="zh-CN"/>
                    </w:rPr>
                  </w:pPr>
                </w:p>
              </w:tc>
              <w:tc>
                <w:tcPr>
                  <w:tcW w:w="344" w:type="pct"/>
                  <w:vAlign w:val="center"/>
                </w:tcPr>
                <w:p w14:paraId="3022F47E">
                  <w:pPr>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rPr>
                    <w:t>污染物排放管控</w:t>
                  </w:r>
                </w:p>
              </w:tc>
              <w:tc>
                <w:tcPr>
                  <w:tcW w:w="1649" w:type="pct"/>
                  <w:vAlign w:val="center"/>
                </w:tcPr>
                <w:p w14:paraId="2831D329">
                  <w:pPr>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155" w:type="pct"/>
                  <w:vAlign w:val="center"/>
                </w:tcPr>
                <w:p w14:paraId="0AE14906">
                  <w:pPr>
                    <w:pStyle w:val="52"/>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82" w:type="pct"/>
                  <w:vAlign w:val="center"/>
                </w:tcPr>
                <w:p w14:paraId="2794D8E5">
                  <w:pPr>
                    <w:pStyle w:val="52"/>
                    <w:spacing w:line="240" w:lineRule="auto"/>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w:t>
                  </w:r>
                </w:p>
              </w:tc>
            </w:tr>
            <w:tr w14:paraId="47E7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0" w:hRule="atLeast"/>
                <w:jc w:val="center"/>
              </w:trPr>
              <w:tc>
                <w:tcPr>
                  <w:tcW w:w="415" w:type="pct"/>
                  <w:vMerge w:val="continue"/>
                  <w:vAlign w:val="center"/>
                </w:tcPr>
                <w:p w14:paraId="03D15EB2">
                  <w:pPr>
                    <w:spacing w:line="240" w:lineRule="auto"/>
                    <w:jc w:val="center"/>
                    <w:rPr>
                      <w:rFonts w:hint="eastAsia"/>
                      <w:color w:val="auto"/>
                      <w:sz w:val="24"/>
                      <w:szCs w:val="24"/>
                    </w:rPr>
                  </w:pPr>
                </w:p>
              </w:tc>
              <w:tc>
                <w:tcPr>
                  <w:tcW w:w="485" w:type="pct"/>
                  <w:vMerge w:val="continue"/>
                  <w:vAlign w:val="center"/>
                </w:tcPr>
                <w:p w14:paraId="16B79CB8">
                  <w:pPr>
                    <w:spacing w:line="240" w:lineRule="auto"/>
                    <w:jc w:val="center"/>
                    <w:rPr>
                      <w:rFonts w:hint="eastAsia" w:ascii="Times New Roman" w:hAnsi="Times New Roman" w:eastAsia="宋体" w:cs="Times New Roman"/>
                      <w:color w:val="auto"/>
                      <w:szCs w:val="21"/>
                      <w:highlight w:val="none"/>
                      <w:lang w:val="zh-CN"/>
                    </w:rPr>
                  </w:pPr>
                </w:p>
              </w:tc>
              <w:tc>
                <w:tcPr>
                  <w:tcW w:w="467" w:type="pct"/>
                  <w:vMerge w:val="continue"/>
                  <w:vAlign w:val="center"/>
                </w:tcPr>
                <w:p w14:paraId="1BD92C89">
                  <w:pPr>
                    <w:spacing w:line="240" w:lineRule="auto"/>
                    <w:jc w:val="center"/>
                    <w:rPr>
                      <w:rFonts w:hint="eastAsia" w:ascii="Times New Roman" w:hAnsi="Times New Roman" w:eastAsia="宋体" w:cs="Times New Roman"/>
                      <w:color w:val="auto"/>
                      <w:szCs w:val="21"/>
                      <w:highlight w:val="none"/>
                      <w:lang w:val="zh-CN"/>
                    </w:rPr>
                  </w:pPr>
                </w:p>
              </w:tc>
              <w:tc>
                <w:tcPr>
                  <w:tcW w:w="344" w:type="pct"/>
                  <w:vAlign w:val="center"/>
                </w:tcPr>
                <w:p w14:paraId="024F643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资源开发效率要求</w:t>
                  </w:r>
                </w:p>
              </w:tc>
              <w:tc>
                <w:tcPr>
                  <w:tcW w:w="1649" w:type="pct"/>
                  <w:vAlign w:val="center"/>
                </w:tcPr>
                <w:p w14:paraId="6A42109C">
                  <w:pPr>
                    <w:spacing w:line="240" w:lineRule="auto"/>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上年度PM2.5不达标城市新建、改建和扩建项目大气污染物实施“倍量替代”，执行特别排放标准的行业实施提标升级改造；2、资源利用部分落实《安徽省煤炭消费减量替代工作方案（2018-2020年）》要求；3、水环境部分依据《中华人民共和国水污染防治法》《水污染防治行动计划》《安徽省水污染防治工作方案》及各市水污染防治工作方案对一般管控区实施管控；4、土壤环境部分依据《中华人民共和国土壤污染防治法》《土壤污染防治行动计划》《安徽省土壤污染防治工作方案》等要求及各市土壤污染防治工作方案对一般管控区实施管控。</w:t>
                  </w:r>
                </w:p>
              </w:tc>
              <w:tc>
                <w:tcPr>
                  <w:tcW w:w="1155" w:type="pct"/>
                  <w:vAlign w:val="center"/>
                </w:tcPr>
                <w:p w14:paraId="5A2B2AC6">
                  <w:pPr>
                    <w:pStyle w:val="52"/>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项目位于淮南市潘集区，所在评价区域为不达标区，本项目仅施工期废气，施工期影响主要为施工扬尘、机械尾气等。通过加强施工机械、车辆管理，进行物料覆盖，对施工道路进行固化、洒水处理等措施，施工期结束后环境污染立即消失对大气环境影响较小；2、本项目属于M7475地质勘查技术服务，不涉及煤炭资源使用；3、项目水环境严格按照《中华人民共和国水污染防治法》《水污染防治行动计划》《安徽省水污染防治工作方案》要求落实；4、项目土壤环境严格按照《中华人民共和国土壤污染防治法》《土壤污染防治行动计划》《安徽省土壤污染防治工作方案》等要求落实。</w:t>
                  </w:r>
                </w:p>
              </w:tc>
              <w:tc>
                <w:tcPr>
                  <w:tcW w:w="482" w:type="pct"/>
                  <w:vAlign w:val="center"/>
                </w:tcPr>
                <w:p w14:paraId="4BEBD1F6">
                  <w:pPr>
                    <w:pStyle w:val="52"/>
                    <w:spacing w:line="240" w:lineRule="auto"/>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符合</w:t>
                  </w:r>
                </w:p>
              </w:tc>
            </w:tr>
          </w:tbl>
          <w:p w14:paraId="3F1906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lang w:val="en-US" w:eastAsia="zh-CN"/>
              </w:rPr>
            </w:pPr>
          </w:p>
        </w:tc>
      </w:tr>
    </w:tbl>
    <w:p w14:paraId="4F2D028C">
      <w:pPr>
        <w:autoSpaceDE w:val="0"/>
        <w:autoSpaceDN w:val="0"/>
        <w:adjustRightInd w:val="0"/>
        <w:snapToGrid w:val="0"/>
        <w:jc w:val="center"/>
        <w:rPr>
          <w:rFonts w:hint="default" w:ascii="Times New Roman" w:hAnsi="Times New Roman" w:cs="Times New Roman"/>
          <w:color w:val="auto"/>
          <w:kern w:val="0"/>
          <w:sz w:val="24"/>
        </w:rPr>
        <w:sectPr>
          <w:pgSz w:w="16838" w:h="11906" w:orient="landscape"/>
          <w:pgMar w:top="1531" w:right="1701" w:bottom="1531" w:left="1701" w:header="851" w:footer="1077" w:gutter="0"/>
          <w:pgNumType w:fmt="decimal"/>
          <w:cols w:space="720" w:num="1"/>
          <w:docGrid w:linePitch="312" w:charSpace="0"/>
        </w:sectPr>
      </w:pP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70"/>
        <w:gridCol w:w="8206"/>
      </w:tblGrid>
      <w:tr w14:paraId="416BAD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059" w:hRule="atLeast"/>
          <w:jc w:val="center"/>
        </w:trPr>
        <w:tc>
          <w:tcPr>
            <w:tcW w:w="670" w:type="dxa"/>
            <w:noWrap w:val="0"/>
            <w:tcMar>
              <w:top w:w="16" w:type="dxa"/>
              <w:left w:w="16" w:type="dxa"/>
              <w:right w:w="16" w:type="dxa"/>
            </w:tcMar>
            <w:vAlign w:val="center"/>
          </w:tcPr>
          <w:p w14:paraId="53A3DBA9">
            <w:pPr>
              <w:autoSpaceDE w:val="0"/>
              <w:autoSpaceDN w:val="0"/>
              <w:adjustRightInd w:val="0"/>
              <w:snapToGrid w:val="0"/>
              <w:jc w:val="center"/>
              <w:rPr>
                <w:rFonts w:hint="default" w:ascii="Times New Roman" w:hAnsi="Times New Roman" w:cs="Times New Roman"/>
                <w:color w:val="auto"/>
                <w:kern w:val="0"/>
                <w:sz w:val="24"/>
              </w:rPr>
            </w:pPr>
          </w:p>
        </w:tc>
        <w:tc>
          <w:tcPr>
            <w:tcW w:w="8206" w:type="dxa"/>
            <w:noWrap w:val="0"/>
            <w:tcMar>
              <w:top w:w="16" w:type="dxa"/>
              <w:left w:w="16" w:type="dxa"/>
              <w:right w:w="16" w:type="dxa"/>
            </w:tcMar>
            <w:vAlign w:val="center"/>
          </w:tcPr>
          <w:p w14:paraId="6FB3015C">
            <w:pPr>
              <w:pStyle w:val="9"/>
              <w:snapToGrid/>
              <w:spacing w:before="0" w:after="0" w:line="360" w:lineRule="auto"/>
              <w:ind w:right="0"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对照《市场准入负面清单（202</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年版）》（发改体改规〔2025〕466号）相关文件的相符性进行分析，经对照分析，本项目不属于负面清单中所禁止或限制类的项目，符合相关准入要求。</w:t>
            </w:r>
          </w:p>
          <w:p w14:paraId="3919CE1D">
            <w:pPr>
              <w:spacing w:line="360" w:lineRule="auto"/>
              <w:jc w:val="center"/>
              <w:rPr>
                <w:rFonts w:hint="default" w:ascii="Times New Roman" w:hAnsi="Times New Roman"/>
                <w:b/>
                <w:color w:val="auto"/>
                <w:szCs w:val="21"/>
              </w:rPr>
            </w:pPr>
            <w:r>
              <w:rPr>
                <w:rFonts w:hint="default" w:ascii="Times New Roman" w:hAnsi="Times New Roman"/>
                <w:b/>
                <w:color w:val="auto"/>
                <w:szCs w:val="21"/>
              </w:rPr>
              <w:t>表1-</w:t>
            </w:r>
            <w:r>
              <w:rPr>
                <w:rFonts w:hint="eastAsia" w:ascii="Times New Roman" w:hAnsi="Times New Roman"/>
                <w:b/>
                <w:color w:val="auto"/>
                <w:szCs w:val="21"/>
                <w:lang w:val="en-US" w:eastAsia="zh-CN"/>
              </w:rPr>
              <w:t xml:space="preserve">4 </w:t>
            </w:r>
            <w:r>
              <w:rPr>
                <w:rFonts w:hint="default" w:ascii="Times New Roman" w:hAnsi="Times New Roman"/>
                <w:b/>
                <w:color w:val="auto"/>
                <w:szCs w:val="21"/>
              </w:rPr>
              <w:t xml:space="preserve"> 环境准入负面清单分析对照表</w:t>
            </w:r>
          </w:p>
          <w:tbl>
            <w:tblPr>
              <w:tblStyle w:val="2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84"/>
              <w:gridCol w:w="4320"/>
              <w:gridCol w:w="3054"/>
            </w:tblGrid>
            <w:tr w14:paraId="75B54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0" w:type="pct"/>
                  <w:noWrap w:val="0"/>
                  <w:vAlign w:val="center"/>
                </w:tcPr>
                <w:p w14:paraId="78279224">
                  <w:pPr>
                    <w:pStyle w:val="34"/>
                    <w:spacing w:before="0"/>
                    <w:rPr>
                      <w:rFonts w:hint="default" w:ascii="Times New Roman" w:hAnsi="Times New Roman" w:cs="Times New Roman"/>
                      <w:b/>
                      <w:bCs/>
                      <w:color w:val="auto"/>
                      <w:sz w:val="21"/>
                    </w:rPr>
                  </w:pPr>
                  <w:r>
                    <w:rPr>
                      <w:rFonts w:hint="default" w:ascii="Times New Roman" w:hAnsi="Times New Roman" w:cs="Times New Roman"/>
                      <w:b/>
                      <w:bCs/>
                      <w:color w:val="auto"/>
                      <w:sz w:val="21"/>
                    </w:rPr>
                    <w:t>序号</w:t>
                  </w:r>
                </w:p>
              </w:tc>
              <w:tc>
                <w:tcPr>
                  <w:tcW w:w="2648" w:type="pct"/>
                  <w:noWrap w:val="0"/>
                  <w:vAlign w:val="center"/>
                </w:tcPr>
                <w:p w14:paraId="192A946C">
                  <w:pPr>
                    <w:pStyle w:val="34"/>
                    <w:spacing w:before="0"/>
                    <w:rPr>
                      <w:rFonts w:hint="default" w:ascii="Times New Roman" w:hAnsi="Times New Roman" w:cs="Times New Roman"/>
                      <w:b/>
                      <w:bCs/>
                      <w:color w:val="auto"/>
                      <w:sz w:val="21"/>
                    </w:rPr>
                  </w:pPr>
                  <w:r>
                    <w:rPr>
                      <w:rFonts w:hint="default" w:ascii="Times New Roman" w:hAnsi="Times New Roman" w:cs="Times New Roman"/>
                      <w:b/>
                      <w:bCs/>
                      <w:color w:val="auto"/>
                      <w:sz w:val="21"/>
                    </w:rPr>
                    <w:t>文件</w:t>
                  </w:r>
                </w:p>
              </w:tc>
              <w:tc>
                <w:tcPr>
                  <w:tcW w:w="1872" w:type="pct"/>
                  <w:noWrap w:val="0"/>
                  <w:vAlign w:val="center"/>
                </w:tcPr>
                <w:p w14:paraId="46A30CF4">
                  <w:pPr>
                    <w:pStyle w:val="34"/>
                    <w:spacing w:before="0"/>
                    <w:rPr>
                      <w:rFonts w:hint="default" w:ascii="Times New Roman" w:hAnsi="Times New Roman" w:cs="Times New Roman"/>
                      <w:b/>
                      <w:bCs/>
                      <w:color w:val="auto"/>
                      <w:sz w:val="21"/>
                    </w:rPr>
                  </w:pPr>
                  <w:r>
                    <w:rPr>
                      <w:rFonts w:hint="default" w:ascii="Times New Roman" w:hAnsi="Times New Roman" w:cs="Times New Roman"/>
                      <w:b/>
                      <w:bCs/>
                      <w:color w:val="auto"/>
                      <w:sz w:val="21"/>
                    </w:rPr>
                    <w:t>相符性分析</w:t>
                  </w:r>
                </w:p>
              </w:tc>
            </w:tr>
            <w:tr w14:paraId="511952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0" w:type="pct"/>
                  <w:noWrap w:val="0"/>
                  <w:vAlign w:val="center"/>
                </w:tcPr>
                <w:p w14:paraId="2E0C9FDB">
                  <w:pPr>
                    <w:pStyle w:val="34"/>
                    <w:spacing w:before="0"/>
                    <w:rPr>
                      <w:rFonts w:hint="default" w:ascii="Times New Roman" w:hAnsi="Times New Roman" w:cs="Times New Roman"/>
                      <w:color w:val="auto"/>
                      <w:sz w:val="21"/>
                    </w:rPr>
                  </w:pPr>
                  <w:r>
                    <w:rPr>
                      <w:rFonts w:hint="default" w:ascii="Times New Roman" w:hAnsi="Times New Roman" w:cs="Times New Roman"/>
                      <w:color w:val="auto"/>
                      <w:sz w:val="21"/>
                    </w:rPr>
                    <w:t>1</w:t>
                  </w:r>
                </w:p>
              </w:tc>
              <w:tc>
                <w:tcPr>
                  <w:tcW w:w="2648" w:type="pct"/>
                  <w:noWrap w:val="0"/>
                  <w:vAlign w:val="center"/>
                </w:tcPr>
                <w:p w14:paraId="36B72467">
                  <w:pPr>
                    <w:pStyle w:val="34"/>
                    <w:spacing w:before="0"/>
                    <w:rPr>
                      <w:rFonts w:hint="default" w:ascii="Times New Roman" w:hAnsi="Times New Roman" w:cs="Times New Roman"/>
                      <w:color w:val="auto"/>
                      <w:sz w:val="21"/>
                    </w:rPr>
                  </w:pPr>
                  <w:r>
                    <w:rPr>
                      <w:rFonts w:hint="default" w:ascii="Times New Roman" w:hAnsi="Times New Roman" w:cs="Times New Roman"/>
                      <w:color w:val="auto"/>
                      <w:sz w:val="21"/>
                    </w:rPr>
                    <w:t>《市场准入负面清单》（202</w:t>
                  </w:r>
                  <w:r>
                    <w:rPr>
                      <w:rFonts w:hint="eastAsia" w:ascii="Times New Roman" w:hAnsi="Times New Roman" w:cs="Times New Roman"/>
                      <w:color w:val="auto"/>
                      <w:sz w:val="21"/>
                      <w:lang w:val="en-US" w:eastAsia="zh-CN"/>
                    </w:rPr>
                    <w:t>5</w:t>
                  </w:r>
                  <w:r>
                    <w:rPr>
                      <w:rFonts w:hint="default" w:ascii="Times New Roman" w:hAnsi="Times New Roman" w:cs="Times New Roman"/>
                      <w:color w:val="auto"/>
                      <w:sz w:val="21"/>
                    </w:rPr>
                    <w:t>年版）</w:t>
                  </w:r>
                </w:p>
              </w:tc>
              <w:tc>
                <w:tcPr>
                  <w:tcW w:w="1872" w:type="pct"/>
                  <w:noWrap w:val="0"/>
                  <w:vAlign w:val="center"/>
                </w:tcPr>
                <w:p w14:paraId="27CDF735">
                  <w:pPr>
                    <w:widowControl/>
                    <w:jc w:val="left"/>
                    <w:rPr>
                      <w:rFonts w:hint="default" w:ascii="Times New Roman" w:hAnsi="Times New Roman" w:cs="Times New Roman"/>
                      <w:color w:val="auto"/>
                      <w:szCs w:val="21"/>
                    </w:rPr>
                  </w:pPr>
                  <w:r>
                    <w:rPr>
                      <w:rFonts w:hint="default" w:ascii="Times New Roman" w:hAnsi="Times New Roman" w:cs="Times New Roman"/>
                      <w:color w:val="auto"/>
                      <w:szCs w:val="21"/>
                    </w:rPr>
                    <w:t>不属于禁止准入类项目</w:t>
                  </w:r>
                </w:p>
              </w:tc>
            </w:tr>
            <w:tr w14:paraId="4AE1D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0" w:type="pct"/>
                  <w:noWrap w:val="0"/>
                  <w:vAlign w:val="center"/>
                </w:tcPr>
                <w:p w14:paraId="443F476C">
                  <w:pPr>
                    <w:pStyle w:val="34"/>
                    <w:spacing w:before="0"/>
                    <w:rPr>
                      <w:rFonts w:hint="default" w:ascii="Times New Roman" w:hAnsi="Times New Roman" w:cs="Times New Roman"/>
                      <w:color w:val="auto"/>
                      <w:sz w:val="21"/>
                    </w:rPr>
                  </w:pPr>
                  <w:r>
                    <w:rPr>
                      <w:rFonts w:hint="default" w:ascii="Times New Roman" w:hAnsi="Times New Roman" w:cs="Times New Roman"/>
                      <w:color w:val="auto"/>
                      <w:sz w:val="21"/>
                    </w:rPr>
                    <w:t>2</w:t>
                  </w:r>
                </w:p>
              </w:tc>
              <w:tc>
                <w:tcPr>
                  <w:tcW w:w="2648" w:type="pct"/>
                  <w:noWrap w:val="0"/>
                  <w:vAlign w:val="center"/>
                </w:tcPr>
                <w:p w14:paraId="79416EAA">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《产业结构调整指导目录（</w:t>
                  </w:r>
                  <w:r>
                    <w:rPr>
                      <w:rFonts w:hint="default" w:ascii="Times New Roman" w:hAnsi="Times New Roman" w:cs="Times New Roman"/>
                      <w:color w:val="auto"/>
                      <w:szCs w:val="21"/>
                      <w:lang w:val="en-US" w:eastAsia="zh-CN"/>
                    </w:rPr>
                    <w:t>2024</w:t>
                  </w:r>
                  <w:r>
                    <w:rPr>
                      <w:rFonts w:hint="default" w:ascii="Times New Roman" w:hAnsi="Times New Roman" w:cs="Times New Roman"/>
                      <w:color w:val="auto"/>
                      <w:szCs w:val="21"/>
                    </w:rPr>
                    <w:t>年本）》</w:t>
                  </w:r>
                </w:p>
              </w:tc>
              <w:tc>
                <w:tcPr>
                  <w:tcW w:w="1872" w:type="pct"/>
                  <w:noWrap w:val="0"/>
                  <w:vAlign w:val="center"/>
                </w:tcPr>
                <w:p w14:paraId="56FBC0F3">
                  <w:pPr>
                    <w:widowControl/>
                    <w:jc w:val="left"/>
                    <w:rPr>
                      <w:rFonts w:hint="default" w:ascii="Times New Roman" w:hAnsi="Times New Roman" w:cs="Times New Roman"/>
                      <w:color w:val="auto"/>
                      <w:szCs w:val="21"/>
                    </w:rPr>
                  </w:pPr>
                  <w:r>
                    <w:rPr>
                      <w:rFonts w:hint="default" w:ascii="Times New Roman" w:hAnsi="Times New Roman" w:cs="Times New Roman"/>
                      <w:color w:val="auto"/>
                      <w:szCs w:val="21"/>
                    </w:rPr>
                    <w:t>不属于限制类和淘汰类项目</w:t>
                  </w:r>
                </w:p>
              </w:tc>
            </w:tr>
            <w:tr w14:paraId="7DC98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0" w:type="pct"/>
                  <w:noWrap w:val="0"/>
                  <w:vAlign w:val="center"/>
                </w:tcPr>
                <w:p w14:paraId="5884E53C">
                  <w:pPr>
                    <w:pStyle w:val="34"/>
                    <w:spacing w:before="0"/>
                    <w:rPr>
                      <w:rFonts w:hint="default" w:ascii="Times New Roman" w:hAnsi="Times New Roman" w:cs="Times New Roman"/>
                      <w:color w:val="auto"/>
                      <w:sz w:val="21"/>
                    </w:rPr>
                  </w:pPr>
                  <w:r>
                    <w:rPr>
                      <w:rFonts w:hint="default" w:ascii="Times New Roman" w:hAnsi="Times New Roman" w:cs="Times New Roman"/>
                      <w:color w:val="auto"/>
                      <w:sz w:val="21"/>
                    </w:rPr>
                    <w:t>3</w:t>
                  </w:r>
                </w:p>
              </w:tc>
              <w:tc>
                <w:tcPr>
                  <w:tcW w:w="4317" w:type="dxa"/>
                  <w:noWrap w:val="0"/>
                  <w:vAlign w:val="center"/>
                </w:tcPr>
                <w:p w14:paraId="6C5A33AA">
                  <w:pPr>
                    <w:widowControl/>
                    <w:jc w:val="center"/>
                    <w:rPr>
                      <w:rFonts w:hint="default" w:ascii="Times New Roman" w:hAnsi="Times New Roman" w:cs="Times New Roman"/>
                      <w:color w:val="auto"/>
                      <w:szCs w:val="21"/>
                    </w:rPr>
                  </w:pPr>
                  <w:r>
                    <w:rPr>
                      <w:rFonts w:hint="eastAsia" w:ascii="Times New Roman" w:hAnsi="Times New Roman"/>
                      <w:color w:val="auto"/>
                      <w:szCs w:val="21"/>
                    </w:rPr>
                    <w:t>《自然资源要素支撑产业高质量发展指导目录</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2024年本</w:t>
                  </w:r>
                  <w:r>
                    <w:rPr>
                      <w:rFonts w:hint="eastAsia" w:ascii="Times New Roman" w:hAnsi="Times New Roman"/>
                      <w:color w:val="auto"/>
                      <w:szCs w:val="21"/>
                      <w:lang w:eastAsia="zh-CN"/>
                    </w:rPr>
                    <w:t>）</w:t>
                  </w:r>
                  <w:r>
                    <w:rPr>
                      <w:rFonts w:hint="eastAsia" w:ascii="Times New Roman" w:hAnsi="Times New Roman"/>
                      <w:color w:val="auto"/>
                      <w:szCs w:val="21"/>
                    </w:rPr>
                    <w:t>》</w:t>
                  </w:r>
                </w:p>
              </w:tc>
              <w:tc>
                <w:tcPr>
                  <w:tcW w:w="3052" w:type="dxa"/>
                  <w:noWrap w:val="0"/>
                  <w:vAlign w:val="center"/>
                </w:tcPr>
                <w:p w14:paraId="110F3B51">
                  <w:pPr>
                    <w:widowControl/>
                    <w:jc w:val="left"/>
                    <w:rPr>
                      <w:rFonts w:hint="default" w:ascii="Times New Roman" w:hAnsi="Times New Roman" w:cs="Times New Roman"/>
                      <w:color w:val="auto"/>
                      <w:szCs w:val="21"/>
                    </w:rPr>
                  </w:pPr>
                  <w:r>
                    <w:rPr>
                      <w:rFonts w:ascii="Times New Roman" w:hAnsi="Times New Roman"/>
                      <w:color w:val="auto"/>
                      <w:szCs w:val="21"/>
                    </w:rPr>
                    <w:t>不属于限制和禁止用地</w:t>
                  </w:r>
                </w:p>
              </w:tc>
            </w:tr>
          </w:tbl>
          <w:p w14:paraId="3823A09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综上，本项目符合《关于以改善环境质量为核心加强环境影响评价管理的通知》（环环评</w:t>
            </w:r>
            <w:r>
              <w:rPr>
                <w:rFonts w:hint="default" w:ascii="Times New Roman" w:hAnsi="Times New Roman" w:cs="Times New Roman"/>
                <w:color w:val="auto"/>
                <w:sz w:val="24"/>
                <w:szCs w:val="24"/>
                <w:lang w:val="en-US" w:eastAsia="zh-CN"/>
              </w:rPr>
              <w:t>〔20</w:t>
            </w:r>
            <w:r>
              <w:rPr>
                <w:rFonts w:hint="eastAsia" w:ascii="Times New Roman" w:hAnsi="Times New Roman" w:cs="Times New Roman"/>
                <w:color w:val="auto"/>
                <w:sz w:val="24"/>
                <w:szCs w:val="24"/>
                <w:lang w:val="en-US" w:eastAsia="zh-CN"/>
              </w:rPr>
              <w:t>16</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rPr>
              <w:t>150号）中</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三线一单</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相关要求。</w:t>
            </w:r>
          </w:p>
          <w:p w14:paraId="25CD4A7E">
            <w:pPr>
              <w:spacing w:line="360" w:lineRule="auto"/>
              <w:ind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4</w:t>
            </w:r>
            <w:r>
              <w:rPr>
                <w:rFonts w:hint="default" w:ascii="Times New Roman" w:hAnsi="Times New Roman" w:cs="Times New Roman"/>
                <w:b/>
                <w:bCs/>
                <w:color w:val="auto"/>
                <w:sz w:val="24"/>
              </w:rPr>
              <w:t>、与《安徽省淮河流域水污染防治条例》符合性分析</w:t>
            </w:r>
          </w:p>
          <w:p w14:paraId="29782512">
            <w:pPr>
              <w:pStyle w:val="19"/>
              <w:spacing w:before="0" w:beforeAutospacing="0" w:after="0" w:afterAutospacing="0" w:line="360" w:lineRule="auto"/>
              <w:ind w:firstLine="480" w:firstLineChars="200"/>
              <w:jc w:val="both"/>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根据《</w:t>
            </w:r>
            <w:r>
              <w:rPr>
                <w:rFonts w:hint="default" w:ascii="Times New Roman" w:hAnsi="Times New Roman" w:cs="Times New Roman"/>
                <w:bCs/>
                <w:color w:val="auto"/>
                <w:szCs w:val="24"/>
                <w:lang w:val="en-US" w:eastAsia="zh-CN"/>
              </w:rPr>
              <w:t>安徽省淮河流域水污染防治条例</w:t>
            </w:r>
            <w:r>
              <w:rPr>
                <w:rFonts w:hint="default" w:ascii="Times New Roman" w:hAnsi="Times New Roman" w:cs="Times New Roman"/>
                <w:color w:val="auto"/>
                <w:szCs w:val="24"/>
                <w:lang w:val="en-US" w:eastAsia="zh-CN"/>
              </w:rPr>
              <w:t>》中相关内容，禁止在淮河流域新建化学制浆造纸企业。禁止在淮河流域新建制革、化工、印染、电镀、酿造等污染严重的小型企业。严格限制在淮河流域新建前款所列大中型项目或者其他污染严重的项目；建设该类项目的，必须事先征得有关省人民政府环境保护行政主管部门的同意，并报国务院环境保护行政主管部门备案。禁止和严格限制的产业、产品名录，由国务院环境保护行政主管部门商国务院有关行业主管部门拟订，经领导小组审核同意，报国务院批准后公布施行。</w:t>
            </w:r>
          </w:p>
          <w:p w14:paraId="2E962265">
            <w:pPr>
              <w:pStyle w:val="28"/>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综上分析，项目建设地点位于安徽省淮南市潘集区贺疃镇境内，</w:t>
            </w:r>
            <w:r>
              <w:rPr>
                <w:rFonts w:hint="default" w:ascii="Times New Roman" w:hAnsi="Times New Roman" w:cs="Times New Roman"/>
                <w:color w:val="auto"/>
                <w:highlight w:val="none"/>
              </w:rPr>
              <w:t>本项目</w:t>
            </w:r>
            <w:r>
              <w:rPr>
                <w:rFonts w:hint="eastAsia" w:ascii="Times New Roman" w:hAnsi="Times New Roman"/>
                <w:color w:val="auto"/>
                <w:highlight w:val="none"/>
              </w:rPr>
              <w:t>主要是为后续瓦斯抽放巷盾构机安全、高效推进</w:t>
            </w:r>
            <w:r>
              <w:rPr>
                <w:rFonts w:hint="default" w:ascii="Times New Roman" w:hAnsi="Times New Roman" w:cs="Times New Roman"/>
                <w:color w:val="auto"/>
                <w:highlight w:val="none"/>
              </w:rPr>
              <w:t>，属于矿井掘进前的关键地质探查工程项目，临时用地面积为</w:t>
            </w:r>
            <w:r>
              <w:rPr>
                <w:rFonts w:hint="eastAsia" w:ascii="Times New Roman" w:hAnsi="Times New Roman" w:cs="Times New Roman"/>
                <w:color w:val="auto"/>
                <w:highlight w:val="none"/>
                <w:lang w:val="en-US" w:eastAsia="zh-CN"/>
              </w:rPr>
              <w:t>1797</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，用地时间预计为</w:t>
            </w:r>
            <w:r>
              <w:rPr>
                <w:rFonts w:hint="eastAsia" w:ascii="Times New Roman" w:hAnsi="Times New Roman" w:cs="Times New Roman"/>
                <w:color w:val="auto"/>
                <w:highlight w:val="none"/>
                <w:lang w:val="en-US" w:eastAsia="zh-CN"/>
              </w:rPr>
              <w:t>6月</w:t>
            </w:r>
            <w:r>
              <w:rPr>
                <w:rFonts w:hint="default" w:ascii="Times New Roman" w:hAnsi="Times New Roman" w:cs="Times New Roman"/>
                <w:color w:val="auto"/>
                <w:highlight w:val="none"/>
              </w:rPr>
              <w:t>。中安联合煤化有限责任公司办理了项目临时用地相关手续。项目租用安徽省淮南市潘集区贺疃镇境内的土地作为本项目的临时建设用地</w:t>
            </w:r>
            <w:r>
              <w:rPr>
                <w:rFonts w:hint="eastAsia" w:ascii="Times New Roman" w:hAnsi="Times New Roman" w:cs="Times New Roman"/>
                <w:color w:val="auto"/>
                <w:highlight w:val="none"/>
                <w:lang w:eastAsia="zh-CN"/>
              </w:rPr>
              <w:t>，2025年11月26日</w:t>
            </w:r>
            <w:r>
              <w:rPr>
                <w:rFonts w:hint="default" w:ascii="Times New Roman" w:hAnsi="Times New Roman" w:cs="Times New Roman"/>
                <w:color w:val="auto"/>
                <w:highlight w:val="none"/>
              </w:rPr>
              <w:t>，淮南市自然资源和规划局潘集分局出具了本项目临时用地初审意见。项目距离淮河岸线1</w:t>
            </w:r>
            <w:r>
              <w:rPr>
                <w:rFonts w:hint="default" w:ascii="Times New Roman" w:hAnsi="Times New Roman" w:cs="Times New Roman"/>
                <w:color w:val="auto"/>
                <w:highlight w:val="none"/>
                <w:lang w:val="en-US" w:eastAsia="zh-CN"/>
              </w:rPr>
              <w:t>5.725</w:t>
            </w:r>
            <w:r>
              <w:rPr>
                <w:rFonts w:hint="default" w:ascii="Times New Roman" w:hAnsi="Times New Roman" w:cs="Times New Roman"/>
                <w:color w:val="auto"/>
                <w:highlight w:val="none"/>
              </w:rPr>
              <w:t>km，不在淮河岸线1公里范围内。项目不属于中华人民共和国国家发展和改革委员会颁布的《产业结构调整指导目录》</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20</w:t>
            </w:r>
            <w:r>
              <w:rPr>
                <w:rFonts w:hint="eastAsia" w:ascii="Times New Roman" w:hAnsi="Times New Roman" w:cs="Times New Roman"/>
                <w:color w:val="auto"/>
                <w:highlight w:val="none"/>
                <w:lang w:val="en-US" w:eastAsia="zh-CN"/>
              </w:rPr>
              <w:t>24</w:t>
            </w:r>
            <w:r>
              <w:rPr>
                <w:rFonts w:hint="default" w:ascii="Times New Roman" w:hAnsi="Times New Roman" w:cs="Times New Roman"/>
                <w:color w:val="auto"/>
                <w:highlight w:val="none"/>
              </w:rPr>
              <w:t>年本</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中限制类和淘汰类项目；不属于环境保护部发布《环境保护综合目录（20</w:t>
            </w:r>
            <w:r>
              <w:rPr>
                <w:rFonts w:hint="eastAsia" w:ascii="Times New Roman" w:hAnsi="Times New Roman" w:cs="Times New Roman"/>
                <w:color w:val="auto"/>
                <w:highlight w:val="none"/>
                <w:lang w:val="en-US" w:eastAsia="zh-CN"/>
              </w:rPr>
              <w:t>21</w:t>
            </w:r>
            <w:r>
              <w:rPr>
                <w:rFonts w:hint="default" w:ascii="Times New Roman" w:hAnsi="Times New Roman" w:cs="Times New Roman"/>
                <w:color w:val="auto"/>
                <w:highlight w:val="none"/>
              </w:rPr>
              <w:t>年版）》中高污染、高环境风险产品。项目符合《</w:t>
            </w:r>
            <w:r>
              <w:rPr>
                <w:rFonts w:hint="default" w:ascii="Times New Roman" w:hAnsi="Times New Roman" w:cs="Times New Roman"/>
                <w:bCs/>
                <w:color w:val="auto"/>
                <w:highlight w:val="none"/>
              </w:rPr>
              <w:t>安徽省淮河流域水污染防治条例</w:t>
            </w:r>
            <w:r>
              <w:rPr>
                <w:rFonts w:hint="default" w:ascii="Times New Roman" w:hAnsi="Times New Roman" w:cs="Times New Roman"/>
                <w:color w:val="auto"/>
                <w:highlight w:val="none"/>
              </w:rPr>
              <w:t>》中的相关要求。</w:t>
            </w:r>
          </w:p>
          <w:p w14:paraId="2B531CD5">
            <w:pPr>
              <w:pStyle w:val="28"/>
              <w:adjustRightInd/>
              <w:spacing w:line="360" w:lineRule="auto"/>
              <w:ind w:firstLine="482" w:firstLineChars="200"/>
              <w:jc w:val="both"/>
              <w:rPr>
                <w:rFonts w:hint="default" w:ascii="Times New Roman" w:hAnsi="Times New Roman" w:cs="Times New Roman"/>
                <w:b/>
                <w:bCs/>
                <w:color w:val="auto"/>
              </w:rPr>
            </w:pPr>
            <w:r>
              <w:rPr>
                <w:rFonts w:hint="eastAsia" w:ascii="Times New Roman" w:hAnsi="Times New Roman" w:cs="Times New Roman"/>
                <w:b/>
                <w:bCs/>
                <w:color w:val="auto"/>
                <w:lang w:val="en-US" w:eastAsia="zh-CN"/>
              </w:rPr>
              <w:t>5</w:t>
            </w:r>
            <w:r>
              <w:rPr>
                <w:rFonts w:hint="default" w:ascii="Times New Roman" w:hAnsi="Times New Roman" w:cs="Times New Roman"/>
                <w:b/>
                <w:bCs/>
                <w:color w:val="auto"/>
              </w:rPr>
              <w:t>、与《基本农田保护条例》符合性分析</w:t>
            </w:r>
          </w:p>
          <w:p w14:paraId="1CBF383C">
            <w:pPr>
              <w:pStyle w:val="28"/>
              <w:adjustRightInd/>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rPr>
              <w:t>《基本农田保护条例》（国务院第257号）中第十五条提到，基本农田保护区经依法划定后，任何单位和个人不得改变或者占用。国家能源、交通、水利、军事设施等重点建设项目选址确实无法避开基本农田，需要占用基本农田，涉及用地转用或者征收土地的，必须经国务院批准。</w:t>
            </w:r>
            <w:r>
              <w:rPr>
                <w:rFonts w:hint="eastAsia" w:ascii="Times New Roman" w:hAnsi="Times New Roman" w:cs="Times New Roman"/>
                <w:color w:val="auto"/>
                <w:lang w:val="en-US" w:eastAsia="zh-CN"/>
              </w:rPr>
              <w:t>其中第十六条规定：经国务院批准占用基本农田的，当地人民政府应当按照国务院的批准文件修改土地利用总体规划，并补充划入数量和质量相当的基本农田。占用单位应当按照占多少、垦多少的原则，负责开垦与所占基本农田的数量与质量相当的耕地;没有条件开垦或者开垦的耕地不符合要求的，应当按照省、自治区、直辖市的规定缴纳耕地开垦费，专款用于开垦新的耕地。</w:t>
            </w:r>
            <w:r>
              <w:rPr>
                <w:rFonts w:hint="default" w:ascii="Times New Roman" w:hAnsi="Times New Roman" w:cs="Times New Roman"/>
                <w:color w:val="auto"/>
              </w:rPr>
              <w:t>占用基本农田的单位应当按照县级以上地方人民政府的要求，将所占用基本农田耕作层的土壤用于新开垦耕地劣质地或者其他耕地的土壤改</w:t>
            </w:r>
            <w:r>
              <w:rPr>
                <w:rFonts w:hint="default" w:ascii="Times New Roman" w:hAnsi="Times New Roman" w:cs="Times New Roman"/>
                <w:color w:val="auto"/>
                <w:highlight w:val="none"/>
              </w:rPr>
              <w:t>良。</w:t>
            </w:r>
          </w:p>
          <w:p w14:paraId="3B2646D1">
            <w:pPr>
              <w:pStyle w:val="28"/>
              <w:adjustRightInd/>
              <w:spacing w:line="360" w:lineRule="auto"/>
              <w:ind w:firstLine="480" w:firstLineChars="200"/>
              <w:jc w:val="both"/>
              <w:rPr>
                <w:rFonts w:ascii="Times New Roman" w:hAnsi="Times New Roman"/>
                <w:color w:val="auto"/>
                <w:highlight w:val="none"/>
              </w:rPr>
            </w:pPr>
            <w:r>
              <w:rPr>
                <w:rFonts w:hint="eastAsia" w:ascii="Times New Roman" w:hAnsi="Times New Roman"/>
                <w:color w:val="auto"/>
                <w:highlight w:val="none"/>
              </w:rPr>
              <w:t>本项目</w:t>
            </w:r>
            <w:r>
              <w:rPr>
                <w:rFonts w:ascii="Times New Roman" w:hAnsi="Times New Roman"/>
                <w:color w:val="auto"/>
                <w:highlight w:val="none"/>
              </w:rPr>
              <w:t>临时用地面积为</w:t>
            </w:r>
            <w:r>
              <w:rPr>
                <w:rFonts w:hint="eastAsia" w:ascii="Times New Roman" w:hAnsi="Times New Roman"/>
                <w:color w:val="auto"/>
                <w:highlight w:val="none"/>
                <w:lang w:val="en-US" w:eastAsia="zh-CN"/>
              </w:rPr>
              <w:t>1797</w:t>
            </w:r>
            <w:r>
              <w:rPr>
                <w:rFonts w:ascii="Times New Roman" w:hAnsi="Times New Roman"/>
                <w:color w:val="auto"/>
                <w:highlight w:val="none"/>
              </w:rPr>
              <w:t>m</w:t>
            </w:r>
            <w:r>
              <w:rPr>
                <w:rFonts w:ascii="Times New Roman" w:hAnsi="Times New Roman"/>
                <w:color w:val="auto"/>
                <w:highlight w:val="none"/>
                <w:vertAlign w:val="superscript"/>
              </w:rPr>
              <w:t>2</w:t>
            </w:r>
            <w:r>
              <w:rPr>
                <w:rFonts w:ascii="Times New Roman" w:hAnsi="Times New Roman"/>
                <w:color w:val="auto"/>
                <w:highlight w:val="none"/>
              </w:rPr>
              <w:t>，</w:t>
            </w:r>
            <w:r>
              <w:rPr>
                <w:rFonts w:hint="eastAsia" w:ascii="Times New Roman" w:hAnsi="Times New Roman"/>
                <w:color w:val="auto"/>
                <w:highlight w:val="none"/>
              </w:rPr>
              <w:t>占地类型为农用地，</w:t>
            </w:r>
            <w:r>
              <w:rPr>
                <w:rFonts w:hint="eastAsia" w:ascii="Times New Roman" w:hAnsi="Times New Roman"/>
                <w:color w:val="auto"/>
                <w:highlight w:val="none"/>
                <w:lang w:val="en-US" w:eastAsia="zh-CN"/>
              </w:rPr>
              <w:t>占地</w:t>
            </w:r>
            <w:r>
              <w:rPr>
                <w:rFonts w:hint="eastAsia" w:ascii="Times New Roman" w:hAnsi="Times New Roman"/>
                <w:color w:val="auto"/>
                <w:kern w:val="21"/>
                <w:highlight w:val="none"/>
              </w:rPr>
              <w:t>已划定永久基本农田</w:t>
            </w:r>
            <w:r>
              <w:rPr>
                <w:rFonts w:hint="eastAsia" w:ascii="Times New Roman" w:hAnsi="Times New Roman"/>
                <w:color w:val="auto"/>
                <w:kern w:val="21"/>
                <w:highlight w:val="none"/>
                <w:lang w:val="en-US" w:eastAsia="zh-CN"/>
              </w:rPr>
              <w:t>1797</w:t>
            </w:r>
            <w:r>
              <w:rPr>
                <w:rFonts w:hint="eastAsia" w:ascii="Times New Roman" w:hAnsi="Times New Roman"/>
                <w:color w:val="auto"/>
                <w:highlight w:val="none"/>
              </w:rPr>
              <w:t>m</w:t>
            </w:r>
            <w:r>
              <w:rPr>
                <w:rFonts w:hint="eastAsia" w:ascii="Times New Roman" w:hAnsi="Times New Roman"/>
                <w:color w:val="auto"/>
                <w:highlight w:val="none"/>
                <w:vertAlign w:val="superscript"/>
              </w:rPr>
              <w:t>2</w:t>
            </w:r>
            <w:r>
              <w:rPr>
                <w:rFonts w:hint="eastAsia" w:ascii="Times New Roman" w:hAnsi="Times New Roman"/>
                <w:color w:val="auto"/>
                <w:highlight w:val="none"/>
              </w:rPr>
              <w:t>，占地不涉及生态保护红线。本项目为煤矿开采过程中一项辅助性工程，根据井田布局及开采需要项目施工无法避让基本农田，建设单位已按照相关要求取得了淮南市自然资源和规划局潘集分局出具了本项目临时用地初审意见，根据临时用地相关政策要求</w:t>
            </w:r>
            <w:r>
              <w:rPr>
                <w:rFonts w:hint="eastAsia" w:ascii="Times New Roman" w:hAnsi="Times New Roman"/>
                <w:color w:val="auto"/>
                <w:highlight w:val="none"/>
                <w:lang w:eastAsia="zh-CN"/>
              </w:rPr>
              <w:t>，</w:t>
            </w:r>
            <w:r>
              <w:rPr>
                <w:rFonts w:hint="eastAsia" w:ascii="Times New Roman" w:hAnsi="Times New Roman"/>
                <w:color w:val="auto"/>
                <w:highlight w:val="none"/>
              </w:rPr>
              <w:t>本</w:t>
            </w:r>
            <w:r>
              <w:rPr>
                <w:rFonts w:hint="eastAsia" w:ascii="Times New Roman" w:hAnsi="Times New Roman"/>
                <w:color w:val="auto"/>
                <w:highlight w:val="none"/>
                <w:lang w:val="en-US" w:eastAsia="zh-CN"/>
              </w:rPr>
              <w:t>项目用地时长预计约6个月</w:t>
            </w:r>
            <w:r>
              <w:rPr>
                <w:rFonts w:hint="eastAsia" w:ascii="Times New Roman" w:hAnsi="Times New Roman"/>
                <w:color w:val="auto"/>
                <w:highlight w:val="none"/>
              </w:rPr>
              <w:t>。</w:t>
            </w:r>
            <w:r>
              <w:rPr>
                <w:rFonts w:ascii="Times New Roman" w:hAnsi="Times New Roman"/>
                <w:color w:val="auto"/>
                <w:highlight w:val="none"/>
              </w:rPr>
              <w:t>在施工过程中，建设单位采取土方开挖、分层开挖、分区堆放等措施减少基本农田破坏；在施工结束后，除补偿因临时占地对农田产量的直接损失外，还将考虑施工结束后因土壤结构破坏、养分流失而成的影响，对农作物产量的间接损失以及土壤恢复进行补偿，并依据分层回填的原则、严格按照《土地复垦方案》对临时用地进行耕作层土恢复。</w:t>
            </w:r>
          </w:p>
          <w:p w14:paraId="6C8FB106">
            <w:pPr>
              <w:pStyle w:val="28"/>
              <w:adjustRightInd/>
              <w:spacing w:line="360" w:lineRule="auto"/>
              <w:ind w:firstLine="482" w:firstLineChars="200"/>
              <w:jc w:val="both"/>
              <w:rPr>
                <w:rFonts w:ascii="Times New Roman" w:hAnsi="Times New Roman"/>
                <w:b/>
                <w:bCs/>
                <w:color w:val="auto"/>
              </w:rPr>
            </w:pPr>
            <w:r>
              <w:rPr>
                <w:rFonts w:hint="eastAsia" w:ascii="Times New Roman" w:hAnsi="Times New Roman"/>
                <w:b/>
                <w:bCs/>
                <w:color w:val="auto"/>
                <w:lang w:val="en-US" w:eastAsia="zh-CN"/>
              </w:rPr>
              <w:t>6</w:t>
            </w:r>
            <w:r>
              <w:rPr>
                <w:rFonts w:ascii="Times New Roman" w:hAnsi="Times New Roman"/>
                <w:b/>
                <w:bCs/>
                <w:color w:val="auto"/>
              </w:rPr>
              <w:t>、</w:t>
            </w:r>
            <w:r>
              <w:rPr>
                <w:rFonts w:hint="eastAsia" w:ascii="Times New Roman" w:hAnsi="Times New Roman"/>
                <w:b/>
                <w:bCs/>
                <w:color w:val="auto"/>
              </w:rPr>
              <w:t>与《关于加强和改进永久基本农田保护工作的通知》（自然资规</w:t>
            </w:r>
            <w:r>
              <w:rPr>
                <w:rFonts w:ascii="Times New Roman" w:hAnsi="Times New Roman"/>
                <w:b/>
                <w:bCs/>
                <w:color w:val="auto"/>
              </w:rPr>
              <w:t>〔20</w:t>
            </w:r>
            <w:r>
              <w:rPr>
                <w:rFonts w:hint="eastAsia" w:ascii="Times New Roman" w:hAnsi="Times New Roman"/>
                <w:b/>
                <w:bCs/>
                <w:color w:val="auto"/>
              </w:rPr>
              <w:t>19</w:t>
            </w:r>
            <w:r>
              <w:rPr>
                <w:rFonts w:ascii="Times New Roman" w:hAnsi="Times New Roman"/>
                <w:b/>
                <w:bCs/>
                <w:color w:val="auto"/>
              </w:rPr>
              <w:t>〕</w:t>
            </w:r>
            <w:r>
              <w:rPr>
                <w:rFonts w:hint="eastAsia" w:ascii="Times New Roman" w:hAnsi="Times New Roman"/>
                <w:b/>
                <w:bCs/>
                <w:color w:val="auto"/>
              </w:rPr>
              <w:t>1号）符合性分析</w:t>
            </w:r>
          </w:p>
          <w:p w14:paraId="04F0E4D1">
            <w:pPr>
              <w:pStyle w:val="28"/>
              <w:adjustRightInd/>
              <w:spacing w:line="360" w:lineRule="auto"/>
              <w:ind w:firstLine="480" w:firstLineChars="200"/>
              <w:jc w:val="both"/>
              <w:rPr>
                <w:rFonts w:hint="eastAsia" w:ascii="Times New Roman" w:hAnsi="Times New Roman" w:eastAsia="宋体"/>
                <w:color w:val="auto"/>
                <w:lang w:eastAsia="zh-CN"/>
              </w:rPr>
            </w:pPr>
            <w:r>
              <w:rPr>
                <w:rFonts w:hint="eastAsia" w:ascii="Times New Roman" w:hAnsi="Times New Roman"/>
                <w:color w:val="auto"/>
              </w:rPr>
              <w:t>根据</w:t>
            </w:r>
            <w:r>
              <w:rPr>
                <w:rFonts w:ascii="Times New Roman" w:hAnsi="Times New Roman"/>
                <w:color w:val="auto"/>
              </w:rPr>
              <w:t>自然资源部、农业农村部印发《关于加强和改进永久基本农田保护工作的通知》（自然资规</w:t>
            </w:r>
            <w:r>
              <w:rPr>
                <w:rFonts w:ascii="Times New Roman" w:hAnsi="Times New Roman"/>
                <w:b w:val="0"/>
                <w:bCs w:val="0"/>
                <w:color w:val="auto"/>
              </w:rPr>
              <w:t>〔20</w:t>
            </w:r>
            <w:r>
              <w:rPr>
                <w:rFonts w:hint="eastAsia" w:ascii="Times New Roman" w:hAnsi="Times New Roman"/>
                <w:b w:val="0"/>
                <w:bCs w:val="0"/>
                <w:color w:val="auto"/>
              </w:rPr>
              <w:t>19</w:t>
            </w:r>
            <w:r>
              <w:rPr>
                <w:rFonts w:ascii="Times New Roman" w:hAnsi="Times New Roman"/>
                <w:b w:val="0"/>
                <w:bCs w:val="0"/>
                <w:color w:val="auto"/>
              </w:rPr>
              <w:t>〕</w:t>
            </w:r>
            <w:r>
              <w:rPr>
                <w:rFonts w:hint="eastAsia" w:ascii="Times New Roman" w:hAnsi="Times New Roman"/>
                <w:b w:val="0"/>
                <w:bCs w:val="0"/>
                <w:color w:val="auto"/>
              </w:rPr>
              <w:t>1号</w:t>
            </w:r>
            <w:r>
              <w:rPr>
                <w:rFonts w:ascii="Times New Roman" w:hAnsi="Times New Roman"/>
                <w:b w:val="0"/>
                <w:bCs w:val="0"/>
                <w:color w:val="auto"/>
              </w:rPr>
              <w:t>）中</w:t>
            </w:r>
            <w:r>
              <w:rPr>
                <w:rFonts w:ascii="Times New Roman" w:hAnsi="Times New Roman"/>
                <w:color w:val="auto"/>
              </w:rPr>
              <w:t>相关规定，</w:t>
            </w:r>
            <w:r>
              <w:rPr>
                <w:rFonts w:hint="eastAsia" w:ascii="Times New Roman" w:hAnsi="Times New Roman"/>
                <w:color w:val="auto"/>
                <w:lang w:eastAsia="zh-CN"/>
              </w:rPr>
              <w:t>“</w:t>
            </w:r>
            <w:r>
              <w:rPr>
                <w:rFonts w:ascii="Times New Roman" w:hAnsi="Times New Roman"/>
                <w:color w:val="auto"/>
              </w:rPr>
              <w:t>临时用地一般不得占用永久基本农田，建设项目施工和地质勘查需要临时用地、选址确实难以避让永久基本农田的，在不修建永久性建（构）筑物、经复垦能恢复原种植条件的前提下，土地使用者按法定程序申请临时用地并编制土地复垦方案，经县级自然资源主管部门批准可临时占用，并在市级自然资源主管部门备案，一般不超过两年。同时，通过耕地耕作层土壤剥离再利用等工程技术措施，减少对耕作层的破坏。临时用地到期后土地使用者应及时复垦恢复原种植条件，自然资源主管部门会同农业农村等相关主管部门开展土地复垦验收，验收合格的，继续按照永久基本农田保护和管理；验收不合格的，责令土地使用者进行整改，经整改仍不合格的，按照《土地复垦条例》规定由自然资源主管部门使用缴纳的土地复垦费代为组织复垦，并由自然资源主管部门会同农业农村等相关主管部门开展土地复垦验收。自然资源主管部门要切实履行职责，对在临时用地上修建永久性建（构）筑物或其他造成无法恢复原种植条件的行为依法进行处理；市级自然资源主管部门负责临时用地使用情况的监督管理，通过日常检查、年度卫片执法检查等，及时发现并纠正临时用地中存在的问题。</w:t>
            </w:r>
            <w:r>
              <w:rPr>
                <w:rFonts w:hint="eastAsia" w:ascii="Times New Roman" w:hAnsi="Times New Roman"/>
                <w:color w:val="auto"/>
                <w:lang w:eastAsia="zh-CN"/>
              </w:rPr>
              <w:t>”</w:t>
            </w:r>
          </w:p>
          <w:p w14:paraId="7D580015">
            <w:pPr>
              <w:pStyle w:val="28"/>
              <w:adjustRightInd/>
              <w:spacing w:line="360" w:lineRule="auto"/>
              <w:ind w:firstLine="480" w:firstLineChars="200"/>
              <w:jc w:val="both"/>
              <w:rPr>
                <w:rFonts w:ascii="Times New Roman" w:hAnsi="Times New Roman"/>
                <w:color w:val="auto"/>
                <w:highlight w:val="none"/>
              </w:rPr>
            </w:pPr>
            <w:r>
              <w:rPr>
                <w:rFonts w:hint="eastAsia" w:ascii="Times New Roman" w:hAnsi="Times New Roman"/>
                <w:color w:val="auto"/>
                <w:highlight w:val="none"/>
              </w:rPr>
              <w:t>本项目主要是为后续瓦斯抽放巷盾构机安全、高效推进</w:t>
            </w:r>
            <w:r>
              <w:rPr>
                <w:rFonts w:hint="eastAsia" w:ascii="Times New Roman" w:hAnsi="Times New Roman"/>
                <w:color w:val="auto"/>
                <w:highlight w:val="none"/>
                <w:lang w:eastAsia="zh-CN"/>
              </w:rPr>
              <w:t>，</w:t>
            </w:r>
            <w:r>
              <w:rPr>
                <w:rFonts w:ascii="Times New Roman" w:hAnsi="Times New Roman"/>
                <w:color w:val="auto"/>
                <w:highlight w:val="none"/>
              </w:rPr>
              <w:t>属于地质勘查技术服务项目，临时用地面积为</w:t>
            </w:r>
            <w:r>
              <w:rPr>
                <w:rFonts w:hint="eastAsia" w:ascii="Times New Roman" w:hAnsi="Times New Roman"/>
                <w:color w:val="auto"/>
                <w:highlight w:val="none"/>
                <w:lang w:val="en-US" w:eastAsia="zh-CN"/>
              </w:rPr>
              <w:t>1797</w:t>
            </w:r>
            <w:r>
              <w:rPr>
                <w:rFonts w:ascii="Times New Roman" w:hAnsi="Times New Roman"/>
                <w:color w:val="auto"/>
                <w:highlight w:val="none"/>
              </w:rPr>
              <w:t>m</w:t>
            </w:r>
            <w:r>
              <w:rPr>
                <w:rFonts w:ascii="Times New Roman" w:hAnsi="Times New Roman"/>
                <w:color w:val="auto"/>
                <w:highlight w:val="none"/>
                <w:vertAlign w:val="superscript"/>
              </w:rPr>
              <w:t>2</w:t>
            </w:r>
            <w:r>
              <w:rPr>
                <w:rFonts w:ascii="Times New Roman" w:hAnsi="Times New Roman"/>
                <w:color w:val="auto"/>
                <w:highlight w:val="none"/>
              </w:rPr>
              <w:t>，</w:t>
            </w:r>
            <w:r>
              <w:rPr>
                <w:rFonts w:hint="eastAsia" w:ascii="Times New Roman" w:hAnsi="Times New Roman"/>
                <w:color w:val="auto"/>
                <w:highlight w:val="none"/>
              </w:rPr>
              <w:t>用地时长</w:t>
            </w:r>
            <w:r>
              <w:rPr>
                <w:rFonts w:hint="eastAsia" w:ascii="Times New Roman" w:hAnsi="Times New Roman"/>
                <w:color w:val="auto"/>
                <w:highlight w:val="none"/>
                <w:lang w:val="en-US" w:eastAsia="zh-CN"/>
              </w:rPr>
              <w:t>预计约6个月</w:t>
            </w:r>
            <w:r>
              <w:rPr>
                <w:rFonts w:ascii="Times New Roman" w:hAnsi="Times New Roman"/>
                <w:color w:val="auto"/>
                <w:highlight w:val="none"/>
              </w:rPr>
              <w:t>。中安联合煤化有限责任公司委托施工单位</w:t>
            </w:r>
            <w:r>
              <w:rPr>
                <w:rFonts w:hint="eastAsia" w:ascii="Times New Roman" w:hAnsi="Times New Roman"/>
                <w:color w:val="auto"/>
                <w:highlight w:val="none"/>
                <w:lang w:eastAsia="zh-CN"/>
              </w:rPr>
              <w:t>淮北工程勘察院有限公司</w:t>
            </w:r>
            <w:r>
              <w:rPr>
                <w:rFonts w:ascii="Times New Roman" w:hAnsi="Times New Roman"/>
                <w:color w:val="auto"/>
                <w:highlight w:val="none"/>
              </w:rPr>
              <w:t>办理了项目临时用地相关手续。项目租用安徽省淮南市潘集区贺疃镇境内的土地作为本项目的临时建设用地</w:t>
            </w:r>
            <w:r>
              <w:rPr>
                <w:rFonts w:hint="eastAsia" w:ascii="Times New Roman" w:hAnsi="Times New Roman"/>
                <w:color w:val="auto"/>
                <w:highlight w:val="none"/>
              </w:rPr>
              <w:t>，</w:t>
            </w:r>
            <w:r>
              <w:rPr>
                <w:rFonts w:hint="eastAsia" w:ascii="Times New Roman" w:hAnsi="Times New Roman"/>
                <w:color w:val="auto"/>
                <w:highlight w:val="none"/>
                <w:lang w:eastAsia="zh-CN"/>
              </w:rPr>
              <w:t>2025年11月26日</w:t>
            </w:r>
            <w:r>
              <w:rPr>
                <w:rFonts w:ascii="Times New Roman" w:hAnsi="Times New Roman"/>
                <w:color w:val="auto"/>
                <w:highlight w:val="none"/>
              </w:rPr>
              <w:t>，淮南市自然资源和规划局潘集分局出具了本项目临时用地初审意见。</w:t>
            </w:r>
          </w:p>
          <w:p w14:paraId="3457F08F">
            <w:pPr>
              <w:pStyle w:val="28"/>
              <w:adjustRightInd/>
              <w:spacing w:line="360" w:lineRule="auto"/>
              <w:ind w:firstLine="482" w:firstLineChars="200"/>
              <w:jc w:val="both"/>
              <w:rPr>
                <w:rFonts w:hint="eastAsia" w:ascii="Times New Roman" w:hAnsi="Times New Roman"/>
                <w:b/>
                <w:bCs/>
                <w:color w:val="auto"/>
                <w:highlight w:val="none"/>
                <w:lang w:val="en-US" w:eastAsia="zh-CN"/>
              </w:rPr>
            </w:pPr>
            <w:r>
              <w:rPr>
                <w:rFonts w:hint="eastAsia" w:ascii="Times New Roman" w:hAnsi="Times New Roman"/>
                <w:b/>
                <w:bCs/>
                <w:color w:val="auto"/>
                <w:highlight w:val="none"/>
                <w:lang w:val="en-US" w:eastAsia="zh-CN"/>
              </w:rPr>
              <w:t>7、与《永久基本农田保护红线管理办法》相符性分析</w:t>
            </w:r>
          </w:p>
          <w:p w14:paraId="0FA45D77">
            <w:pPr>
              <w:spacing w:line="360" w:lineRule="auto"/>
              <w:jc w:val="center"/>
              <w:rPr>
                <w:rFonts w:hint="default" w:ascii="Times New Roman" w:hAnsi="Times New Roman"/>
                <w:b/>
                <w:color w:val="auto"/>
                <w:szCs w:val="21"/>
                <w:highlight w:val="none"/>
                <w:lang w:val="en-US" w:eastAsia="zh-CN"/>
              </w:rPr>
            </w:pPr>
            <w:r>
              <w:rPr>
                <w:rFonts w:hint="eastAsia" w:ascii="Times New Roman" w:hAnsi="Times New Roman"/>
                <w:b/>
                <w:color w:val="auto"/>
                <w:szCs w:val="21"/>
                <w:highlight w:val="none"/>
                <w:lang w:val="en-US" w:eastAsia="zh-CN"/>
              </w:rPr>
              <w:t>表1-5  本项目与《永久基本农田保护红线管理办法》相符性分析</w:t>
            </w:r>
          </w:p>
          <w:tbl>
            <w:tblPr>
              <w:tblStyle w:val="21"/>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1"/>
              <w:gridCol w:w="3443"/>
              <w:gridCol w:w="878"/>
            </w:tblGrid>
            <w:tr w14:paraId="7321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6" w:type="pct"/>
                  <w:vAlign w:val="center"/>
                </w:tcPr>
                <w:p w14:paraId="0CBE2F5D">
                  <w:pPr>
                    <w:pStyle w:val="28"/>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管理办法</w:t>
                  </w:r>
                </w:p>
              </w:tc>
              <w:tc>
                <w:tcPr>
                  <w:tcW w:w="2129" w:type="pct"/>
                  <w:vAlign w:val="center"/>
                </w:tcPr>
                <w:p w14:paraId="5C0127F3">
                  <w:pPr>
                    <w:pStyle w:val="28"/>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本项目</w:t>
                  </w:r>
                </w:p>
              </w:tc>
              <w:tc>
                <w:tcPr>
                  <w:tcW w:w="543" w:type="pct"/>
                  <w:vAlign w:val="center"/>
                </w:tcPr>
                <w:p w14:paraId="3BD12580">
                  <w:pPr>
                    <w:pStyle w:val="28"/>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符合性分析</w:t>
                  </w:r>
                </w:p>
              </w:tc>
            </w:tr>
            <w:tr w14:paraId="35107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6" w:type="pct"/>
                  <w:vAlign w:val="center"/>
                </w:tcPr>
                <w:p w14:paraId="4CC84A79">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第六条 禁止占用永久基本农田挖湖造景，建设绿化带，种植草皮等用于绿化装饰的植物，堆放固体废弃物，填埋垃圾，以及法律法规禁止的其他行为。</w:t>
                  </w:r>
                </w:p>
              </w:tc>
              <w:tc>
                <w:tcPr>
                  <w:tcW w:w="2129" w:type="pct"/>
                  <w:vMerge w:val="restart"/>
                  <w:vAlign w:val="center"/>
                </w:tcPr>
                <w:p w14:paraId="693B5EC2">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highlight w:val="none"/>
                      <w:vertAlign w:val="baseline"/>
                      <w:lang w:val="en-US" w:eastAsia="zh-CN"/>
                    </w:rPr>
                  </w:pPr>
                  <w:r>
                    <w:rPr>
                      <w:rFonts w:hint="eastAsia" w:ascii="Times New Roman" w:hAnsi="Times New Roman"/>
                      <w:b w:val="0"/>
                      <w:color w:val="auto"/>
                      <w:sz w:val="21"/>
                      <w:szCs w:val="24"/>
                      <w:highlight w:val="none"/>
                      <w:lang w:eastAsia="zh-CN"/>
                    </w:rPr>
                    <w:t>本项目主要是为后续瓦斯抽放巷盾构机安全、高效推进</w:t>
                  </w:r>
                  <w:r>
                    <w:rPr>
                      <w:rFonts w:hint="eastAsia" w:ascii="Times New Roman" w:hAnsi="Times New Roman" w:eastAsia="宋体"/>
                      <w:b w:val="0"/>
                      <w:color w:val="auto"/>
                      <w:sz w:val="21"/>
                      <w:szCs w:val="24"/>
                      <w:highlight w:val="none"/>
                    </w:rPr>
                    <w:t>。</w:t>
                  </w:r>
                  <w:r>
                    <w:rPr>
                      <w:rFonts w:hint="eastAsia" w:ascii="Times New Roman" w:hAnsi="Times New Roman"/>
                      <w:b w:val="0"/>
                      <w:color w:val="auto"/>
                      <w:sz w:val="21"/>
                      <w:szCs w:val="24"/>
                      <w:highlight w:val="none"/>
                      <w:lang w:val="en-US" w:eastAsia="zh-CN"/>
                    </w:rPr>
                    <w:t>建设单位</w:t>
                  </w:r>
                  <w:r>
                    <w:rPr>
                      <w:rFonts w:hint="eastAsia"/>
                      <w:color w:val="auto"/>
                      <w:sz w:val="21"/>
                      <w:szCs w:val="21"/>
                      <w:highlight w:val="none"/>
                      <w:lang w:val="zh-CN"/>
                    </w:rPr>
                    <w:t>已按照临时用地相关政策要求编制完成复垦方案并取得了淮南市自然资源和规划局潘集分局出具了本项目临时用地初审意见。本项目施工完成后将按照已批复的土地复垦方案进行土地复垦，及时恢复种植条件。</w:t>
                  </w:r>
                </w:p>
              </w:tc>
              <w:tc>
                <w:tcPr>
                  <w:tcW w:w="543" w:type="pct"/>
                  <w:vAlign w:val="center"/>
                </w:tcPr>
                <w:p w14:paraId="4539C79B">
                  <w:pPr>
                    <w:pStyle w:val="28"/>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符合</w:t>
                  </w:r>
                </w:p>
              </w:tc>
            </w:tr>
            <w:tr w14:paraId="3409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6" w:type="pct"/>
                </w:tcPr>
                <w:p w14:paraId="3A39394E">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highlight w:val="none"/>
                      <w:vertAlign w:val="baseline"/>
                      <w:lang w:val="en-US" w:eastAsia="zh-CN"/>
                    </w:rPr>
                  </w:pPr>
                  <w:r>
                    <w:rPr>
                      <w:rFonts w:hint="default" w:ascii="Times New Roman" w:hAnsi="Times New Roman"/>
                      <w:b w:val="0"/>
                      <w:bCs w:val="0"/>
                      <w:color w:val="auto"/>
                      <w:sz w:val="21"/>
                      <w:szCs w:val="21"/>
                      <w:highlight w:val="none"/>
                      <w:vertAlign w:val="baseline"/>
                      <w:lang w:val="en-US" w:eastAsia="zh-CN"/>
                    </w:rPr>
                    <w:t>第二十二条 全国矿产资源规划明确的战略性矿产，以及地热、矿泉水等不造成永久基本农田损毁的非战略性矿产，允许在永久基本农田上设立矿业权。在永久基本农田划定前已经设立的非战略性矿产矿业权，允许在原矿业权范围内办理延续变更等登记手续，已取得探矿权申请探矿权转采矿权的，允许在落实保护性开采措施前提下，采取井下方式开采。</w:t>
                  </w:r>
                </w:p>
              </w:tc>
              <w:tc>
                <w:tcPr>
                  <w:tcW w:w="2129" w:type="pct"/>
                  <w:vMerge w:val="continue"/>
                </w:tcPr>
                <w:p w14:paraId="389E222A">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highlight w:val="none"/>
                      <w:vertAlign w:val="baseline"/>
                      <w:lang w:val="en-US" w:eastAsia="zh-CN"/>
                    </w:rPr>
                  </w:pPr>
                </w:p>
              </w:tc>
              <w:tc>
                <w:tcPr>
                  <w:tcW w:w="543" w:type="pct"/>
                  <w:vAlign w:val="center"/>
                </w:tcPr>
                <w:p w14:paraId="49A8BC45">
                  <w:pPr>
                    <w:pStyle w:val="28"/>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符合</w:t>
                  </w:r>
                </w:p>
              </w:tc>
            </w:tr>
          </w:tbl>
          <w:p w14:paraId="652880B5">
            <w:pPr>
              <w:pStyle w:val="28"/>
              <w:adjustRightInd/>
              <w:spacing w:line="360" w:lineRule="auto"/>
              <w:ind w:firstLine="482" w:firstLineChars="200"/>
              <w:jc w:val="both"/>
              <w:rPr>
                <w:rFonts w:hint="default" w:ascii="Times New Roman" w:hAnsi="Times New Roman"/>
                <w:b/>
                <w:bCs/>
                <w:color w:val="auto"/>
                <w:highlight w:val="none"/>
                <w:lang w:val="en-US" w:eastAsia="zh-CN"/>
              </w:rPr>
            </w:pPr>
            <w:r>
              <w:rPr>
                <w:rFonts w:hint="eastAsia" w:ascii="Times New Roman" w:hAnsi="Times New Roman"/>
                <w:b/>
                <w:bCs/>
                <w:color w:val="auto"/>
                <w:highlight w:val="none"/>
                <w:lang w:val="en-US" w:eastAsia="zh-CN"/>
              </w:rPr>
              <w:t>8、与《安徽省基本农田保护条例》相符性分析</w:t>
            </w:r>
          </w:p>
          <w:p w14:paraId="6D4FFE01">
            <w:pPr>
              <w:spacing w:line="360" w:lineRule="auto"/>
              <w:jc w:val="center"/>
              <w:rPr>
                <w:rFonts w:hint="default" w:ascii="Times New Roman" w:hAnsi="Times New Roman"/>
                <w:b/>
                <w:color w:val="auto"/>
                <w:szCs w:val="21"/>
                <w:lang w:val="en-US" w:eastAsia="zh-CN"/>
              </w:rPr>
            </w:pPr>
            <w:r>
              <w:rPr>
                <w:rFonts w:hint="eastAsia" w:ascii="Times New Roman" w:hAnsi="Times New Roman"/>
                <w:b/>
                <w:color w:val="auto"/>
                <w:szCs w:val="21"/>
                <w:lang w:val="en-US" w:eastAsia="zh-CN"/>
              </w:rPr>
              <w:t>表1-6  本项目与《安徽省基本农田保护条例》相符性分析</w:t>
            </w:r>
          </w:p>
          <w:tbl>
            <w:tblPr>
              <w:tblStyle w:val="21"/>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2"/>
              <w:gridCol w:w="1782"/>
              <w:gridCol w:w="878"/>
            </w:tblGrid>
            <w:tr w14:paraId="5DDC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4" w:type="pct"/>
                  <w:vAlign w:val="center"/>
                </w:tcPr>
                <w:p w14:paraId="134DE182">
                  <w:pPr>
                    <w:pStyle w:val="28"/>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保护条例</w:t>
                  </w:r>
                </w:p>
              </w:tc>
              <w:tc>
                <w:tcPr>
                  <w:tcW w:w="1102" w:type="pct"/>
                  <w:vAlign w:val="center"/>
                </w:tcPr>
                <w:p w14:paraId="7D9C3ED1">
                  <w:pPr>
                    <w:pStyle w:val="28"/>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本项目</w:t>
                  </w:r>
                </w:p>
              </w:tc>
              <w:tc>
                <w:tcPr>
                  <w:tcW w:w="543" w:type="pct"/>
                  <w:vAlign w:val="center"/>
                </w:tcPr>
                <w:p w14:paraId="68398348">
                  <w:pPr>
                    <w:pStyle w:val="28"/>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符合性分析</w:t>
                  </w:r>
                </w:p>
              </w:tc>
            </w:tr>
            <w:tr w14:paraId="0B43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4" w:type="pct"/>
                  <w:vAlign w:val="center"/>
                </w:tcPr>
                <w:p w14:paraId="6B26914D">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第十五条 基本农田保护区内禁止下列行为：</w:t>
                  </w:r>
                </w:p>
                <w:p w14:paraId="065B5646">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（一）擅自将耕地改为非耕地；</w:t>
                  </w:r>
                </w:p>
                <w:p w14:paraId="0D4A542C">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（二）闲置、荒芜耕地；</w:t>
                  </w:r>
                </w:p>
                <w:p w14:paraId="39264200">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（三）建窑、建房、建坟；</w:t>
                  </w:r>
                </w:p>
                <w:p w14:paraId="7D104FF2">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（四）擅自挖沙、采石、采矿、取土；</w:t>
                  </w:r>
                </w:p>
                <w:p w14:paraId="1E459305">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（五）排放污染性的废水、废气，堆放固体废弃物；</w:t>
                  </w:r>
                </w:p>
                <w:p w14:paraId="4EFAA88F">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（六）向基本农田提供不符合国家有关标准的肥料、农药；</w:t>
                  </w:r>
                </w:p>
                <w:p w14:paraId="17917EA8">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（七）毁坏水利排灌设施；</w:t>
                  </w:r>
                </w:p>
                <w:p w14:paraId="62CDF348">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（八）擅自砍伐农田防护林和水土保持林；</w:t>
                  </w:r>
                </w:p>
                <w:p w14:paraId="7DC32400">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（九）破坏或擅自改变基本农田保护区标志；</w:t>
                  </w:r>
                </w:p>
                <w:p w14:paraId="444A4609">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（十）其他破坏基本农田的行为。</w:t>
                  </w:r>
                </w:p>
              </w:tc>
              <w:tc>
                <w:tcPr>
                  <w:tcW w:w="1102" w:type="pct"/>
                  <w:vMerge w:val="restart"/>
                  <w:vAlign w:val="center"/>
                </w:tcPr>
                <w:p w14:paraId="493B10BD">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highlight w:val="none"/>
                      <w:vertAlign w:val="baseline"/>
                      <w:lang w:val="en-US" w:eastAsia="zh-CN"/>
                    </w:rPr>
                  </w:pPr>
                  <w:r>
                    <w:rPr>
                      <w:rFonts w:hint="eastAsia" w:ascii="Times New Roman" w:hAnsi="Times New Roman"/>
                      <w:b w:val="0"/>
                      <w:color w:val="auto"/>
                      <w:sz w:val="21"/>
                      <w:szCs w:val="24"/>
                      <w:highlight w:val="none"/>
                      <w:lang w:eastAsia="zh-CN"/>
                    </w:rPr>
                    <w:t>本项目主要是为后续瓦斯抽放巷盾构机安全、高效推进</w:t>
                  </w:r>
                  <w:r>
                    <w:rPr>
                      <w:rFonts w:hint="eastAsia" w:ascii="Times New Roman" w:hAnsi="Times New Roman" w:eastAsia="宋体"/>
                      <w:b w:val="0"/>
                      <w:color w:val="auto"/>
                      <w:sz w:val="21"/>
                      <w:szCs w:val="24"/>
                      <w:highlight w:val="none"/>
                    </w:rPr>
                    <w:t>。</w:t>
                  </w:r>
                  <w:r>
                    <w:rPr>
                      <w:rFonts w:hint="eastAsia" w:ascii="Times New Roman" w:hAnsi="Times New Roman"/>
                      <w:b w:val="0"/>
                      <w:color w:val="auto"/>
                      <w:sz w:val="21"/>
                      <w:szCs w:val="24"/>
                      <w:highlight w:val="none"/>
                      <w:lang w:val="en-US" w:eastAsia="zh-CN"/>
                    </w:rPr>
                    <w:t>建设单位</w:t>
                  </w:r>
                  <w:r>
                    <w:rPr>
                      <w:rFonts w:hint="eastAsia"/>
                      <w:color w:val="auto"/>
                      <w:sz w:val="21"/>
                      <w:szCs w:val="21"/>
                      <w:highlight w:val="none"/>
                      <w:lang w:val="zh-CN"/>
                    </w:rPr>
                    <w:t>已按照临时用地相关政策要求编制完成复垦方案并取得了淮南市自然资源和规划局潘集分局出具了本项目临时用地初审意见。本项目施工完成后将按照已批复的土地复垦方案进行土地复垦，及时恢复种植条件。</w:t>
                  </w:r>
                </w:p>
              </w:tc>
              <w:tc>
                <w:tcPr>
                  <w:tcW w:w="543" w:type="pct"/>
                  <w:vAlign w:val="center"/>
                </w:tcPr>
                <w:p w14:paraId="50954589">
                  <w:pPr>
                    <w:pStyle w:val="28"/>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符合</w:t>
                  </w:r>
                </w:p>
              </w:tc>
            </w:tr>
            <w:tr w14:paraId="77C4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4" w:type="pct"/>
                </w:tcPr>
                <w:p w14:paraId="2DDBEA14">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vertAlign w:val="baseline"/>
                      <w:lang w:val="en-US" w:eastAsia="zh-CN"/>
                    </w:rPr>
                  </w:pPr>
                  <w:r>
                    <w:rPr>
                      <w:rFonts w:hint="default" w:ascii="Times New Roman" w:hAnsi="Times New Roman"/>
                      <w:b w:val="0"/>
                      <w:bCs w:val="0"/>
                      <w:color w:val="auto"/>
                      <w:sz w:val="21"/>
                      <w:szCs w:val="21"/>
                      <w:vertAlign w:val="baseline"/>
                      <w:lang w:val="en-US" w:eastAsia="zh-CN"/>
                    </w:rPr>
                    <w:t>第十七条</w:t>
                  </w:r>
                  <w:r>
                    <w:rPr>
                      <w:rFonts w:hint="eastAsia" w:ascii="Times New Roman" w:hAnsi="Times New Roman"/>
                      <w:b w:val="0"/>
                      <w:bCs w:val="0"/>
                      <w:color w:val="auto"/>
                      <w:sz w:val="21"/>
                      <w:szCs w:val="21"/>
                      <w:vertAlign w:val="baseline"/>
                      <w:lang w:val="en-US" w:eastAsia="zh-CN"/>
                    </w:rPr>
                    <w:t xml:space="preserve"> </w:t>
                  </w:r>
                  <w:r>
                    <w:rPr>
                      <w:rFonts w:hint="default" w:ascii="Times New Roman" w:hAnsi="Times New Roman"/>
                      <w:b w:val="0"/>
                      <w:bCs w:val="0"/>
                      <w:color w:val="auto"/>
                      <w:sz w:val="21"/>
                      <w:szCs w:val="21"/>
                      <w:vertAlign w:val="baseline"/>
                      <w:lang w:val="en-US" w:eastAsia="zh-CN"/>
                    </w:rPr>
                    <w:t>开采地下资源或者从事其他生产建设活动，造成基本农田塌陷、毁坏的单位或个人，必须按照土地复垦有关规定负责整治或支付复垦费用，并对造成的损失给予补偿。</w:t>
                  </w:r>
                </w:p>
              </w:tc>
              <w:tc>
                <w:tcPr>
                  <w:tcW w:w="1102" w:type="pct"/>
                  <w:vMerge w:val="continue"/>
                </w:tcPr>
                <w:p w14:paraId="6D165648">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vertAlign w:val="baseline"/>
                      <w:lang w:val="en-US" w:eastAsia="zh-CN"/>
                    </w:rPr>
                  </w:pPr>
                </w:p>
              </w:tc>
              <w:tc>
                <w:tcPr>
                  <w:tcW w:w="543" w:type="pct"/>
                  <w:vAlign w:val="center"/>
                </w:tcPr>
                <w:p w14:paraId="4BC37967">
                  <w:pPr>
                    <w:pStyle w:val="28"/>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符合</w:t>
                  </w:r>
                </w:p>
              </w:tc>
            </w:tr>
            <w:tr w14:paraId="7A18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4" w:type="pct"/>
                </w:tcPr>
                <w:p w14:paraId="73029EB0">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vertAlign w:val="baseline"/>
                      <w:lang w:val="en-US" w:eastAsia="zh-CN"/>
                    </w:rPr>
                  </w:pPr>
                  <w:r>
                    <w:rPr>
                      <w:rFonts w:hint="default" w:ascii="Times New Roman" w:hAnsi="Times New Roman"/>
                      <w:b w:val="0"/>
                      <w:bCs w:val="0"/>
                      <w:color w:val="auto"/>
                      <w:sz w:val="21"/>
                      <w:szCs w:val="21"/>
                      <w:vertAlign w:val="baseline"/>
                      <w:lang w:val="en-US" w:eastAsia="zh-CN"/>
                    </w:rPr>
                    <w:t>第十九条</w:t>
                  </w:r>
                  <w:r>
                    <w:rPr>
                      <w:rFonts w:hint="eastAsia" w:ascii="Times New Roman" w:hAnsi="Times New Roman"/>
                      <w:b w:val="0"/>
                      <w:bCs w:val="0"/>
                      <w:color w:val="auto"/>
                      <w:sz w:val="21"/>
                      <w:szCs w:val="21"/>
                      <w:vertAlign w:val="baseline"/>
                      <w:lang w:val="en-US" w:eastAsia="zh-CN"/>
                    </w:rPr>
                    <w:t xml:space="preserve"> </w:t>
                  </w:r>
                  <w:r>
                    <w:rPr>
                      <w:rFonts w:hint="default" w:ascii="Times New Roman" w:hAnsi="Times New Roman"/>
                      <w:b w:val="0"/>
                      <w:bCs w:val="0"/>
                      <w:color w:val="auto"/>
                      <w:sz w:val="21"/>
                      <w:szCs w:val="21"/>
                      <w:vertAlign w:val="baseline"/>
                      <w:lang w:val="en-US" w:eastAsia="zh-CN"/>
                    </w:rPr>
                    <w:t>经依法批准占用基本农田保护区耕地的单位或个人，除依照国家有关规定缴纳有关税费外，必须按照</w:t>
                  </w:r>
                  <w:r>
                    <w:rPr>
                      <w:rFonts w:hint="eastAsia" w:ascii="Times New Roman" w:hAnsi="Times New Roman"/>
                      <w:b w:val="0"/>
                      <w:bCs w:val="0"/>
                      <w:color w:val="auto"/>
                      <w:sz w:val="21"/>
                      <w:szCs w:val="21"/>
                      <w:vertAlign w:val="baseline"/>
                      <w:lang w:val="en-US" w:eastAsia="zh-CN"/>
                    </w:rPr>
                    <w:t>“</w:t>
                  </w:r>
                  <w:r>
                    <w:rPr>
                      <w:rFonts w:hint="default" w:ascii="Times New Roman" w:hAnsi="Times New Roman"/>
                      <w:b w:val="0"/>
                      <w:bCs w:val="0"/>
                      <w:color w:val="auto"/>
                      <w:sz w:val="21"/>
                      <w:szCs w:val="21"/>
                      <w:vertAlign w:val="baseline"/>
                      <w:lang w:val="en-US" w:eastAsia="zh-CN"/>
                    </w:rPr>
                    <w:t>占多少、垦多少</w:t>
                  </w:r>
                  <w:r>
                    <w:rPr>
                      <w:rFonts w:hint="eastAsia" w:ascii="Times New Roman" w:hAnsi="Times New Roman"/>
                      <w:b w:val="0"/>
                      <w:bCs w:val="0"/>
                      <w:color w:val="auto"/>
                      <w:sz w:val="21"/>
                      <w:szCs w:val="21"/>
                      <w:vertAlign w:val="baseline"/>
                      <w:lang w:val="en-US" w:eastAsia="zh-CN"/>
                    </w:rPr>
                    <w:t>”</w:t>
                  </w:r>
                  <w:r>
                    <w:rPr>
                      <w:rFonts w:hint="default" w:ascii="Times New Roman" w:hAnsi="Times New Roman"/>
                      <w:b w:val="0"/>
                      <w:bCs w:val="0"/>
                      <w:color w:val="auto"/>
                      <w:sz w:val="21"/>
                      <w:szCs w:val="21"/>
                      <w:vertAlign w:val="baseline"/>
                      <w:lang w:val="en-US" w:eastAsia="zh-CN"/>
                    </w:rPr>
                    <w:t>的原则，负责开垦与所占耕地的数量、质量相当的新耕地；没有条件开垦或开垦的耕地不符合要求的，应按下列标准一次性缴纳或补足占用基本农田保护区耕地开垦费：</w:t>
                  </w:r>
                </w:p>
                <w:p w14:paraId="2DD810E8">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vertAlign w:val="baseline"/>
                      <w:lang w:val="en-US" w:eastAsia="zh-CN"/>
                    </w:rPr>
                  </w:pPr>
                  <w:r>
                    <w:rPr>
                      <w:rFonts w:hint="default" w:ascii="Times New Roman" w:hAnsi="Times New Roman"/>
                      <w:b w:val="0"/>
                      <w:bCs w:val="0"/>
                      <w:color w:val="auto"/>
                      <w:sz w:val="21"/>
                      <w:szCs w:val="21"/>
                      <w:vertAlign w:val="baseline"/>
                      <w:lang w:val="en-US" w:eastAsia="zh-CN"/>
                    </w:rPr>
                    <w:t>（一）占用一级基本农田的，为征地补偿、补助费用总额的2倍；</w:t>
                  </w:r>
                </w:p>
                <w:p w14:paraId="7CB0A85E">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vertAlign w:val="baseline"/>
                      <w:lang w:val="en-US" w:eastAsia="zh-CN"/>
                    </w:rPr>
                  </w:pPr>
                  <w:r>
                    <w:rPr>
                      <w:rFonts w:hint="default" w:ascii="Times New Roman" w:hAnsi="Times New Roman"/>
                      <w:b w:val="0"/>
                      <w:bCs w:val="0"/>
                      <w:color w:val="auto"/>
                      <w:sz w:val="21"/>
                      <w:szCs w:val="21"/>
                      <w:vertAlign w:val="baseline"/>
                      <w:lang w:val="en-US" w:eastAsia="zh-CN"/>
                    </w:rPr>
                    <w:t>（二）占用二级基本农田的，为征地补偿、补助费用总额的1倍；</w:t>
                  </w:r>
                </w:p>
                <w:p w14:paraId="25649CA7">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vertAlign w:val="baseline"/>
                      <w:lang w:val="en-US" w:eastAsia="zh-CN"/>
                    </w:rPr>
                  </w:pPr>
                  <w:r>
                    <w:rPr>
                      <w:rFonts w:hint="default" w:ascii="Times New Roman" w:hAnsi="Times New Roman"/>
                      <w:b w:val="0"/>
                      <w:bCs w:val="0"/>
                      <w:color w:val="auto"/>
                      <w:sz w:val="21"/>
                      <w:szCs w:val="21"/>
                      <w:vertAlign w:val="baseline"/>
                      <w:lang w:val="en-US" w:eastAsia="zh-CN"/>
                    </w:rPr>
                    <w:t>（三）占用三级基本农田的，为征地补偿、补助费用总额的0.5倍；</w:t>
                  </w:r>
                </w:p>
                <w:p w14:paraId="5FBC4413">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vertAlign w:val="baseline"/>
                      <w:lang w:val="en-US" w:eastAsia="zh-CN"/>
                    </w:rPr>
                  </w:pPr>
                  <w:r>
                    <w:rPr>
                      <w:rFonts w:hint="default" w:ascii="Times New Roman" w:hAnsi="Times New Roman"/>
                      <w:b w:val="0"/>
                      <w:bCs w:val="0"/>
                      <w:color w:val="auto"/>
                      <w:sz w:val="21"/>
                      <w:szCs w:val="21"/>
                      <w:vertAlign w:val="baseline"/>
                      <w:lang w:val="en-US" w:eastAsia="zh-CN"/>
                    </w:rPr>
                    <w:t>占用蔬菜生产基地内的菜地，已按照国家有关规定缴纳新菜地开发建设基金的，不再缴纳占用基本农田保护区耕地开垦费。</w:t>
                  </w:r>
                </w:p>
              </w:tc>
              <w:tc>
                <w:tcPr>
                  <w:tcW w:w="1102" w:type="pct"/>
                  <w:vMerge w:val="continue"/>
                </w:tcPr>
                <w:p w14:paraId="7FCD58F7">
                  <w:pPr>
                    <w:pStyle w:val="28"/>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vertAlign w:val="baseline"/>
                      <w:lang w:val="en-US" w:eastAsia="zh-CN"/>
                    </w:rPr>
                  </w:pPr>
                </w:p>
              </w:tc>
              <w:tc>
                <w:tcPr>
                  <w:tcW w:w="543" w:type="pct"/>
                  <w:vAlign w:val="center"/>
                </w:tcPr>
                <w:p w14:paraId="4204C845">
                  <w:pPr>
                    <w:pStyle w:val="28"/>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符合</w:t>
                  </w:r>
                </w:p>
              </w:tc>
            </w:tr>
          </w:tbl>
          <w:p w14:paraId="0FD2D7B9">
            <w:pPr>
              <w:pStyle w:val="28"/>
              <w:adjustRightInd/>
              <w:spacing w:line="360" w:lineRule="auto"/>
              <w:ind w:firstLine="482" w:firstLineChars="200"/>
              <w:jc w:val="both"/>
              <w:rPr>
                <w:rFonts w:ascii="Times New Roman" w:hAnsi="Times New Roman"/>
                <w:color w:val="auto"/>
              </w:rPr>
            </w:pPr>
            <w:r>
              <w:rPr>
                <w:rFonts w:hint="eastAsia" w:ascii="Times New Roman" w:hAnsi="Times New Roman"/>
                <w:b/>
                <w:bCs/>
                <w:color w:val="auto"/>
                <w:lang w:val="en-US" w:eastAsia="zh-CN"/>
              </w:rPr>
              <w:t>9</w:t>
            </w:r>
            <w:r>
              <w:rPr>
                <w:rFonts w:ascii="Times New Roman" w:hAnsi="Times New Roman"/>
                <w:b/>
                <w:bCs/>
                <w:color w:val="auto"/>
              </w:rPr>
              <w:t>、项目选址合理性分析</w:t>
            </w:r>
          </w:p>
          <w:p w14:paraId="15C278E1">
            <w:pPr>
              <w:spacing w:line="360" w:lineRule="auto"/>
              <w:ind w:firstLine="480" w:firstLineChars="200"/>
              <w:rPr>
                <w:rFonts w:ascii="Times New Roman" w:hAnsi="Times New Roman"/>
                <w:color w:val="auto"/>
                <w:sz w:val="24"/>
              </w:rPr>
            </w:pPr>
            <w:r>
              <w:rPr>
                <w:rFonts w:ascii="Times New Roman" w:hAnsi="Times New Roman"/>
                <w:color w:val="auto"/>
                <w:sz w:val="24"/>
              </w:rPr>
              <w:t>本项目所在地区以农业生态环</w:t>
            </w:r>
            <w:r>
              <w:rPr>
                <w:rFonts w:ascii="Times New Roman" w:hAnsi="Times New Roman"/>
                <w:color w:val="auto"/>
                <w:sz w:val="24"/>
                <w:highlight w:val="none"/>
              </w:rPr>
              <w:t>境为主，少有珍稀野生动植物分布、无自然保护区及风景名胜区等环境制约因素。项目临时用地面积为</w:t>
            </w:r>
            <w:r>
              <w:rPr>
                <w:rFonts w:hint="eastAsia" w:ascii="Times New Roman" w:hAnsi="Times New Roman"/>
                <w:color w:val="auto"/>
                <w:sz w:val="24"/>
                <w:highlight w:val="none"/>
                <w:lang w:val="en-US" w:eastAsia="zh-CN"/>
              </w:rPr>
              <w:t>1797</w:t>
            </w:r>
            <w:r>
              <w:rPr>
                <w:rFonts w:ascii="Times New Roman" w:hAnsi="Times New Roman"/>
                <w:color w:val="auto"/>
                <w:sz w:val="24"/>
                <w:highlight w:val="none"/>
              </w:rPr>
              <w:t>m</w:t>
            </w:r>
            <w:r>
              <w:rPr>
                <w:rFonts w:ascii="Times New Roman" w:hAnsi="Times New Roman"/>
                <w:color w:val="auto"/>
                <w:sz w:val="24"/>
                <w:highlight w:val="none"/>
                <w:vertAlign w:val="superscript"/>
              </w:rPr>
              <w:t>2</w:t>
            </w:r>
            <w:r>
              <w:rPr>
                <w:rFonts w:ascii="Times New Roman" w:hAnsi="Times New Roman"/>
                <w:color w:val="auto"/>
                <w:sz w:val="24"/>
                <w:highlight w:val="none"/>
              </w:rPr>
              <w:t>，根据《土地复垦条例》和《土地复垦条例实施办法</w:t>
            </w:r>
            <w:r>
              <w:rPr>
                <w:rFonts w:ascii="Times New Roman" w:hAnsi="Times New Roman"/>
                <w:color w:val="auto"/>
                <w:sz w:val="24"/>
              </w:rPr>
              <w:t>》中有关要求，是指对生产建设活动和自然灾害损毁的土地，采取整治措施，使其达到可供利用状态的活动。按照</w:t>
            </w:r>
            <w:r>
              <w:rPr>
                <w:rFonts w:hint="eastAsia" w:ascii="Times New Roman" w:hAnsi="Times New Roman"/>
                <w:color w:val="auto"/>
                <w:sz w:val="24"/>
                <w:lang w:eastAsia="zh-CN"/>
              </w:rPr>
              <w:t>“</w:t>
            </w:r>
            <w:r>
              <w:rPr>
                <w:rFonts w:ascii="Times New Roman" w:hAnsi="Times New Roman"/>
                <w:color w:val="auto"/>
                <w:sz w:val="24"/>
              </w:rPr>
              <w:t>谁损毁，谁复垦</w:t>
            </w:r>
            <w:r>
              <w:rPr>
                <w:rFonts w:hint="eastAsia" w:ascii="Times New Roman" w:hAnsi="Times New Roman"/>
                <w:color w:val="auto"/>
                <w:sz w:val="24"/>
                <w:lang w:eastAsia="zh-CN"/>
              </w:rPr>
              <w:t>”</w:t>
            </w:r>
            <w:r>
              <w:rPr>
                <w:rFonts w:ascii="Times New Roman" w:hAnsi="Times New Roman"/>
                <w:color w:val="auto"/>
                <w:sz w:val="24"/>
              </w:rPr>
              <w:t>的原则，由生产建设单位或者个人负责复垦，以恢复其原有使用功能予以合理利用。为保护和合理利用耕作层土壤，施工前将耕作层土壤取出集中堆置贮存，用作本项目土地复垦后的表层土壤，改良复垦土地的土壤，使其尽快熟化以利于农业耕作，恢复原有使用功能。</w:t>
            </w:r>
          </w:p>
          <w:p w14:paraId="28690E74">
            <w:pPr>
              <w:pStyle w:val="28"/>
              <w:adjustRightInd/>
              <w:spacing w:line="360" w:lineRule="auto"/>
              <w:ind w:firstLine="480" w:firstLineChars="200"/>
              <w:jc w:val="both"/>
              <w:rPr>
                <w:rFonts w:ascii="Times New Roman" w:hAnsi="Times New Roman"/>
                <w:color w:val="auto"/>
              </w:rPr>
            </w:pPr>
            <w:r>
              <w:rPr>
                <w:rFonts w:ascii="Times New Roman" w:hAnsi="Times New Roman"/>
                <w:color w:val="auto"/>
              </w:rPr>
              <w:t>经现场调查，项目施工场地周边主要为农田和村庄。项目区范围内无自然保护区、风景名胜区、世界文化和自然遗产、饮用水水源保护区；也没有以医疗卫生、文化教育、科研、行政办公等为主要功能的区域，无文物保护单位，无具有特殊历史、文化、科学、民族意义的保护地等环境敏感区，因此本项目选址合理可行。</w:t>
            </w:r>
          </w:p>
          <w:p w14:paraId="21C889A3">
            <w:pPr>
              <w:pStyle w:val="28"/>
              <w:adjustRightInd/>
              <w:spacing w:line="360" w:lineRule="auto"/>
              <w:ind w:firstLine="482" w:firstLineChars="200"/>
              <w:jc w:val="both"/>
              <w:rPr>
                <w:rFonts w:ascii="Times New Roman" w:hAnsi="Times New Roman"/>
                <w:b/>
                <w:bCs/>
                <w:color w:val="auto"/>
              </w:rPr>
            </w:pPr>
            <w:r>
              <w:rPr>
                <w:rFonts w:hint="eastAsia" w:ascii="Times New Roman" w:hAnsi="Times New Roman"/>
                <w:b/>
                <w:bCs/>
                <w:color w:val="auto"/>
              </w:rPr>
              <w:t>10</w:t>
            </w:r>
            <w:r>
              <w:rPr>
                <w:rFonts w:ascii="Times New Roman" w:hAnsi="Times New Roman"/>
                <w:b/>
                <w:bCs/>
                <w:color w:val="auto"/>
              </w:rPr>
              <w:t>、与《淮南市扬尘污染防治条例》符合性分析</w:t>
            </w:r>
          </w:p>
          <w:p w14:paraId="75A5DA72">
            <w:pPr>
              <w:autoSpaceDE w:val="0"/>
              <w:autoSpaceDN w:val="0"/>
              <w:adjustRightInd w:val="0"/>
              <w:snapToGrid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淮南市扬尘污染防治条例要求，施工单位应当制定并落实具体的施工扬尘污染防治实施方案，在施工现场出入口公示扬尘污染防治措施、责任主体及责任人、环保监督员、扬尘监管主管部门等有关信息，接受社会和公众监督。施工现场设置密闭硬质围挡，出入口、主要道路和场区应当硬化，设置车辆出入冲洗和污水收集设施，车辆冲洗干净后方可驶出；产生的建筑垃圾和渣土，采用封闭方式清运，不能及时清运的，应当采取覆盖防尘布、防尘网等措施；本项目建设过程中严格按照《淮南市扬尘污染防治条例》相关要求执行，文明施工、绿色施工。项目建设符合淮南市扬尘污染防治条例要求。</w:t>
            </w:r>
          </w:p>
          <w:p w14:paraId="367D7D37">
            <w:pPr>
              <w:pStyle w:val="28"/>
              <w:adjustRightInd/>
              <w:spacing w:line="360" w:lineRule="auto"/>
              <w:ind w:firstLine="482" w:firstLineChars="200"/>
              <w:jc w:val="both"/>
              <w:rPr>
                <w:rFonts w:ascii="Times New Roman" w:hAnsi="Times New Roman"/>
                <w:b/>
                <w:bCs/>
                <w:color w:val="auto"/>
              </w:rPr>
            </w:pPr>
            <w:r>
              <w:rPr>
                <w:rFonts w:hint="eastAsia" w:ascii="Times New Roman" w:hAnsi="Times New Roman"/>
                <w:b/>
                <w:bCs/>
                <w:color w:val="auto"/>
              </w:rPr>
              <w:t>11、与《深入打好重污染天气消除、臭氧污染防治和柴油货车污染治理攻坚战行动方案》的通知符合性分析</w:t>
            </w:r>
          </w:p>
          <w:p w14:paraId="520DA102">
            <w:pPr>
              <w:spacing w:line="360" w:lineRule="auto"/>
              <w:ind w:firstLine="480" w:firstLineChars="200"/>
              <w:rPr>
                <w:rFonts w:hint="eastAsia" w:ascii="Times New Roman" w:hAnsi="Times New Roman" w:eastAsia="宋体"/>
                <w:color w:val="auto"/>
                <w:kern w:val="0"/>
                <w:sz w:val="24"/>
                <w:lang w:eastAsia="zh-CN"/>
              </w:rPr>
            </w:pPr>
            <w:r>
              <w:rPr>
                <w:rFonts w:hint="eastAsia" w:ascii="Times New Roman" w:hAnsi="Times New Roman"/>
                <w:color w:val="auto"/>
                <w:kern w:val="0"/>
                <w:sz w:val="24"/>
              </w:rPr>
              <w:t>根据《深入打好重污染天气消除、臭氧污染防治和柴油货车污染治理攻坚战行动方案》的通知（环大气</w:t>
            </w:r>
            <w:r>
              <w:rPr>
                <w:rFonts w:ascii="Times New Roman" w:hAnsi="Times New Roman"/>
                <w:b/>
                <w:bCs/>
                <w:color w:val="auto"/>
                <w:sz w:val="24"/>
              </w:rPr>
              <w:t>〔</w:t>
            </w:r>
            <w:r>
              <w:rPr>
                <w:rFonts w:hint="eastAsia" w:ascii="Times New Roman" w:hAnsi="Times New Roman"/>
                <w:color w:val="auto"/>
                <w:kern w:val="0"/>
                <w:sz w:val="24"/>
              </w:rPr>
              <w:t>2022</w:t>
            </w:r>
            <w:r>
              <w:rPr>
                <w:rFonts w:ascii="Times New Roman" w:hAnsi="Times New Roman"/>
                <w:b/>
                <w:bCs/>
                <w:color w:val="auto"/>
                <w:sz w:val="24"/>
              </w:rPr>
              <w:t>〕</w:t>
            </w:r>
            <w:r>
              <w:rPr>
                <w:rFonts w:hint="eastAsia" w:ascii="Times New Roman" w:hAnsi="Times New Roman"/>
                <w:color w:val="auto"/>
                <w:kern w:val="0"/>
                <w:sz w:val="24"/>
              </w:rPr>
              <w:t>68号）中相关规定：</w:t>
            </w:r>
            <w:r>
              <w:rPr>
                <w:rFonts w:hint="eastAsia" w:ascii="Times New Roman" w:hAnsi="Times New Roman"/>
                <w:color w:val="auto"/>
                <w:kern w:val="0"/>
                <w:sz w:val="24"/>
                <w:lang w:eastAsia="zh-CN"/>
              </w:rPr>
              <w:t>“</w:t>
            </w:r>
            <w:r>
              <w:rPr>
                <w:rFonts w:ascii="Times New Roman" w:hAnsi="Times New Roman"/>
                <w:color w:val="auto"/>
                <w:kern w:val="0"/>
                <w:sz w:val="24"/>
              </w:rPr>
              <w:t>统筹大气污染防治与</w:t>
            </w:r>
            <w:r>
              <w:rPr>
                <w:rFonts w:hint="eastAsia" w:ascii="Times New Roman" w:hAnsi="Times New Roman"/>
                <w:color w:val="auto"/>
                <w:kern w:val="0"/>
                <w:sz w:val="24"/>
                <w:lang w:eastAsia="zh-CN"/>
              </w:rPr>
              <w:t>“</w:t>
            </w:r>
            <w:r>
              <w:rPr>
                <w:rFonts w:ascii="Times New Roman" w:hAnsi="Times New Roman"/>
                <w:color w:val="auto"/>
                <w:kern w:val="0"/>
                <w:sz w:val="24"/>
              </w:rPr>
              <w:t>双碳</w:t>
            </w:r>
            <w:r>
              <w:rPr>
                <w:rFonts w:hint="eastAsia" w:ascii="Times New Roman" w:hAnsi="Times New Roman"/>
                <w:color w:val="auto"/>
                <w:kern w:val="0"/>
                <w:sz w:val="24"/>
                <w:lang w:eastAsia="zh-CN"/>
              </w:rPr>
              <w:t>”</w:t>
            </w:r>
            <w:r>
              <w:rPr>
                <w:rFonts w:ascii="Times New Roman" w:hAnsi="Times New Roman"/>
                <w:color w:val="auto"/>
                <w:kern w:val="0"/>
                <w:sz w:val="24"/>
              </w:rPr>
              <w:t>目标要求，开展大气减污降碳协同增效行动，将标志性战役任务措施与降碳措施一体谋划、一体推进优化调整产业、能源、运输结构，从源头减少大气污染物和碳排放促进产业绿色转型升级，坚决遏制高耗能、高排放、低水平项目盲目发展，开展传统产业集群升级改造。推动能源清洁低碳转型，开展分散、低效煤炭综合治理。构建绿色交通运输体系，加快推进</w:t>
            </w:r>
            <w:r>
              <w:rPr>
                <w:rFonts w:hint="eastAsia" w:ascii="Times New Roman" w:hAnsi="Times New Roman"/>
                <w:color w:val="auto"/>
                <w:kern w:val="0"/>
                <w:sz w:val="24"/>
                <w:lang w:eastAsia="zh-CN"/>
              </w:rPr>
              <w:t>“</w:t>
            </w:r>
            <w:r>
              <w:rPr>
                <w:rFonts w:ascii="Times New Roman" w:hAnsi="Times New Roman"/>
                <w:color w:val="auto"/>
                <w:kern w:val="0"/>
                <w:sz w:val="24"/>
              </w:rPr>
              <w:t>公转铁</w:t>
            </w:r>
            <w:r>
              <w:rPr>
                <w:rFonts w:hint="eastAsia" w:ascii="Times New Roman" w:hAnsi="Times New Roman"/>
                <w:color w:val="auto"/>
                <w:kern w:val="0"/>
                <w:sz w:val="24"/>
                <w:lang w:eastAsia="zh-CN"/>
              </w:rPr>
              <w:t>”“</w:t>
            </w:r>
            <w:r>
              <w:rPr>
                <w:rFonts w:ascii="Times New Roman" w:hAnsi="Times New Roman"/>
                <w:color w:val="auto"/>
                <w:kern w:val="0"/>
                <w:sz w:val="24"/>
              </w:rPr>
              <w:t>公转水</w:t>
            </w:r>
            <w:r>
              <w:rPr>
                <w:rFonts w:hint="eastAsia" w:ascii="Times New Roman" w:hAnsi="Times New Roman"/>
                <w:color w:val="auto"/>
                <w:kern w:val="0"/>
                <w:sz w:val="24"/>
                <w:lang w:eastAsia="zh-CN"/>
              </w:rPr>
              <w:t>”</w:t>
            </w:r>
            <w:r>
              <w:rPr>
                <w:rFonts w:ascii="Times New Roman" w:hAnsi="Times New Roman"/>
                <w:color w:val="auto"/>
                <w:kern w:val="0"/>
                <w:sz w:val="24"/>
              </w:rPr>
              <w:t>，提高机动车船和非道路移动机械绿色低碳水平。强化挥发性有机物</w:t>
            </w:r>
            <w:r>
              <w:rPr>
                <w:rFonts w:hint="eastAsia" w:ascii="Times New Roman" w:hAnsi="Times New Roman"/>
                <w:color w:val="auto"/>
                <w:kern w:val="0"/>
                <w:sz w:val="24"/>
                <w:lang w:eastAsia="zh-CN"/>
              </w:rPr>
              <w:t>（</w:t>
            </w:r>
            <w:r>
              <w:rPr>
                <w:rFonts w:ascii="Times New Roman" w:hAnsi="Times New Roman"/>
                <w:color w:val="auto"/>
                <w:kern w:val="0"/>
                <w:sz w:val="24"/>
              </w:rPr>
              <w:t>VOCs</w:t>
            </w:r>
            <w:r>
              <w:rPr>
                <w:rFonts w:hint="eastAsia" w:ascii="Times New Roman" w:hAnsi="Times New Roman"/>
                <w:color w:val="auto"/>
                <w:kern w:val="0"/>
                <w:sz w:val="24"/>
                <w:lang w:eastAsia="zh-CN"/>
              </w:rPr>
              <w:t>）</w:t>
            </w:r>
            <w:r>
              <w:rPr>
                <w:rFonts w:ascii="Times New Roman" w:hAnsi="Times New Roman"/>
                <w:color w:val="auto"/>
                <w:kern w:val="0"/>
                <w:sz w:val="24"/>
              </w:rPr>
              <w:t>、氨氧化物等多污染物协同减排，以石化、化工、涂装、制药、包装印刷和油品储运销等为重点，加强VOCs源头、过程、末端全流程治理</w:t>
            </w:r>
            <w:r>
              <w:rPr>
                <w:rFonts w:hint="eastAsia" w:ascii="Times New Roman" w:hAnsi="Times New Roman"/>
                <w:color w:val="auto"/>
                <w:kern w:val="0"/>
                <w:sz w:val="24"/>
              </w:rPr>
              <w:t>；</w:t>
            </w:r>
            <w:r>
              <w:rPr>
                <w:rFonts w:ascii="Times New Roman" w:hAnsi="Times New Roman"/>
                <w:color w:val="auto"/>
                <w:kern w:val="0"/>
                <w:sz w:val="24"/>
              </w:rPr>
              <w:t>持续推进钢铁行业超低排放改造，出台焦化、水泥行业超低排放改造方案</w:t>
            </w:r>
            <w:r>
              <w:rPr>
                <w:rFonts w:hint="eastAsia" w:ascii="Times New Roman" w:hAnsi="Times New Roman"/>
                <w:color w:val="auto"/>
                <w:kern w:val="0"/>
                <w:sz w:val="24"/>
              </w:rPr>
              <w:t>；</w:t>
            </w:r>
            <w:r>
              <w:rPr>
                <w:rFonts w:ascii="Times New Roman" w:hAnsi="Times New Roman"/>
                <w:color w:val="auto"/>
                <w:kern w:val="0"/>
                <w:sz w:val="24"/>
              </w:rPr>
              <w:t>开展低效治理设施全面提升改造工程，严把治理工程质量，多措并举治理低价中标乱象，对工程质量低劣、环保设施运营管理水平低甚至存在弄虚作假行为的企业、环保公司和运维机构加大联合惩戒力度。统筹做好大气污染防治过程中安全防范工作。</w:t>
            </w:r>
            <w:r>
              <w:rPr>
                <w:rFonts w:hint="eastAsia" w:ascii="Times New Roman" w:hAnsi="Times New Roman"/>
                <w:color w:val="auto"/>
                <w:kern w:val="0"/>
                <w:sz w:val="24"/>
                <w:lang w:eastAsia="zh-CN"/>
              </w:rPr>
              <w:t>”</w:t>
            </w:r>
          </w:p>
          <w:p w14:paraId="69F51A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kern w:val="0"/>
                <w:sz w:val="24"/>
                <w:szCs w:val="24"/>
                <w:lang w:val="en-US" w:eastAsia="zh-CN" w:bidi="ar-SA"/>
              </w:rPr>
            </w:pPr>
            <w:r>
              <w:rPr>
                <w:rFonts w:ascii="Times New Roman" w:hAnsi="Times New Roman"/>
                <w:color w:val="auto"/>
                <w:kern w:val="0"/>
                <w:sz w:val="24"/>
              </w:rPr>
              <w:t>本项目为</w:t>
            </w:r>
            <w:r>
              <w:rPr>
                <w:rFonts w:hint="eastAsia" w:ascii="Times New Roman" w:hAnsi="Times New Roman"/>
                <w:color w:val="auto"/>
                <w:kern w:val="0"/>
                <w:sz w:val="24"/>
              </w:rPr>
              <w:t>盾构机探查钻孔项目</w:t>
            </w:r>
            <w:r>
              <w:rPr>
                <w:rFonts w:ascii="Times New Roman" w:hAnsi="Times New Roman"/>
                <w:color w:val="auto"/>
                <w:kern w:val="0"/>
                <w:sz w:val="24"/>
              </w:rPr>
              <w:t>，属于煤炭产业前期地质勘查环节，不涉及工业生产、交通运输及VOCs等污染物排放环节，其建设是为后续煤炭资源绿色开发提供基础支撑，契合《深入打好重污染天气消除、臭氧污染防治和柴油货车污染治理攻坚战行动方案》中优化产业能源结构、推动能源清洁低碳转型、从源头减少大气污染物和碳排放的要求，且不涉及方案中重点管控的高耗能高排放领域及污染环节，符合该行动方案的通知要求。</w:t>
            </w:r>
          </w:p>
        </w:tc>
      </w:tr>
    </w:tbl>
    <w:p w14:paraId="47F356FA">
      <w:pPr>
        <w:spacing w:line="360" w:lineRule="auto"/>
        <w:outlineLvl w:val="0"/>
        <w:rPr>
          <w:rFonts w:ascii="Times New Roman" w:hAnsi="Times New Roman" w:eastAsia="黑体"/>
          <w:color w:val="auto"/>
          <w:sz w:val="30"/>
        </w:rPr>
        <w:sectPr>
          <w:pgSz w:w="11906" w:h="16838"/>
          <w:pgMar w:top="1701" w:right="1531" w:bottom="1701" w:left="1531" w:header="851" w:footer="1077" w:gutter="0"/>
          <w:pgNumType w:fmt="decimal"/>
          <w:cols w:space="720" w:num="1"/>
          <w:docGrid w:linePitch="312" w:charSpace="0"/>
        </w:sectPr>
      </w:pPr>
    </w:p>
    <w:p w14:paraId="082B4C6C">
      <w:pPr>
        <w:pStyle w:val="19"/>
        <w:numPr>
          <w:ilvl w:val="0"/>
          <w:numId w:val="2"/>
        </w:numPr>
        <w:jc w:val="center"/>
        <w:outlineLvl w:val="0"/>
        <w:rPr>
          <w:rFonts w:ascii="Times New Roman" w:hAnsi="Times New Roman" w:eastAsia="黑体"/>
          <w:snapToGrid w:val="0"/>
          <w:color w:val="auto"/>
          <w:sz w:val="30"/>
          <w:szCs w:val="30"/>
        </w:rPr>
      </w:pPr>
      <w:bookmarkStart w:id="6" w:name="_Toc11614"/>
      <w:r>
        <w:rPr>
          <w:rFonts w:ascii="Times New Roman" w:hAnsi="Times New Roman" w:eastAsia="黑体"/>
          <w:snapToGrid w:val="0"/>
          <w:color w:val="auto"/>
          <w:sz w:val="30"/>
          <w:szCs w:val="30"/>
        </w:rPr>
        <w:t>建设内容</w:t>
      </w:r>
      <w:bookmarkEnd w:id="6"/>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068"/>
      </w:tblGrid>
      <w:tr w14:paraId="6347FE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454" w:type="dxa"/>
            <w:noWrap w:val="0"/>
            <w:vAlign w:val="center"/>
          </w:tcPr>
          <w:p w14:paraId="6599B2E4">
            <w:pPr>
              <w:adjustRightInd w:val="0"/>
              <w:snapToGrid w:val="0"/>
              <w:jc w:val="center"/>
              <w:rPr>
                <w:rFonts w:ascii="Times New Roman" w:hAnsi="Times New Roman"/>
                <w:color w:val="auto"/>
                <w:kern w:val="0"/>
                <w:sz w:val="24"/>
              </w:rPr>
            </w:pPr>
            <w:r>
              <w:rPr>
                <w:rFonts w:ascii="Times New Roman" w:hAnsi="Times New Roman"/>
                <w:color w:val="auto"/>
                <w:kern w:val="0"/>
                <w:sz w:val="24"/>
              </w:rPr>
              <w:t>地理位置</w:t>
            </w:r>
          </w:p>
        </w:tc>
        <w:tc>
          <w:tcPr>
            <w:tcW w:w="8068" w:type="dxa"/>
            <w:noWrap w:val="0"/>
            <w:vAlign w:val="center"/>
          </w:tcPr>
          <w:p w14:paraId="74BDDA9C">
            <w:pPr>
              <w:spacing w:line="360" w:lineRule="auto"/>
              <w:ind w:firstLine="480" w:firstLineChars="200"/>
              <w:rPr>
                <w:rFonts w:ascii="Times New Roman" w:hAnsi="Times New Roman"/>
                <w:color w:val="auto"/>
                <w:sz w:val="24"/>
              </w:rPr>
            </w:pPr>
            <w:r>
              <w:rPr>
                <w:rFonts w:ascii="Times New Roman" w:hAnsi="Times New Roman"/>
                <w:color w:val="auto"/>
                <w:sz w:val="24"/>
              </w:rPr>
              <w:t>项目位于安徽省淮南市潘集区贺疃镇境内，项目地理位置图见附图1。</w:t>
            </w:r>
          </w:p>
        </w:tc>
      </w:tr>
      <w:tr w14:paraId="4C3E24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noWrap w:val="0"/>
            <w:vAlign w:val="center"/>
          </w:tcPr>
          <w:p w14:paraId="2D774ADE">
            <w:pPr>
              <w:adjustRightInd w:val="0"/>
              <w:snapToGrid w:val="0"/>
              <w:jc w:val="center"/>
              <w:rPr>
                <w:rFonts w:ascii="Times New Roman" w:hAnsi="Times New Roman"/>
                <w:color w:val="auto"/>
                <w:kern w:val="0"/>
                <w:sz w:val="24"/>
              </w:rPr>
            </w:pPr>
            <w:r>
              <w:rPr>
                <w:rFonts w:ascii="Times New Roman" w:hAnsi="Times New Roman"/>
                <w:color w:val="auto"/>
                <w:kern w:val="0"/>
                <w:sz w:val="24"/>
              </w:rPr>
              <w:t>项目组成及规模</w:t>
            </w:r>
          </w:p>
        </w:tc>
        <w:tc>
          <w:tcPr>
            <w:tcW w:w="8068" w:type="dxa"/>
            <w:noWrap w:val="0"/>
            <w:vAlign w:val="center"/>
          </w:tcPr>
          <w:p w14:paraId="4DBFB068">
            <w:pPr>
              <w:spacing w:line="360" w:lineRule="auto"/>
              <w:ind w:firstLine="482" w:firstLineChars="200"/>
              <w:rPr>
                <w:rFonts w:ascii="Times New Roman" w:hAnsi="Times New Roman"/>
                <w:b/>
                <w:color w:val="auto"/>
                <w:sz w:val="24"/>
              </w:rPr>
            </w:pPr>
            <w:r>
              <w:rPr>
                <w:rFonts w:ascii="Times New Roman" w:hAnsi="Times New Roman"/>
                <w:b/>
                <w:color w:val="auto"/>
                <w:sz w:val="24"/>
              </w:rPr>
              <w:t>1、项目建设背景</w:t>
            </w:r>
          </w:p>
          <w:p w14:paraId="53DB573B">
            <w:pPr>
              <w:tabs>
                <w:tab w:val="left" w:pos="4815"/>
              </w:tabs>
              <w:spacing w:line="360" w:lineRule="auto"/>
              <w:ind w:firstLine="480" w:firstLineChars="200"/>
              <w:rPr>
                <w:rFonts w:hint="eastAsia" w:ascii="Times New Roman" w:hAnsi="Times New Roman"/>
                <w:bCs/>
                <w:color w:val="auto"/>
                <w:sz w:val="24"/>
              </w:rPr>
            </w:pPr>
            <w:r>
              <w:rPr>
                <w:rFonts w:hint="eastAsia" w:ascii="Times New Roman" w:hAnsi="Times New Roman"/>
                <w:bCs/>
                <w:color w:val="auto"/>
                <w:sz w:val="24"/>
              </w:rPr>
              <w:t>朱集西煤矿地处安徽省淮南市潘集区，属松散层覆盖下的全隐覆煤田，矿区松散层平均厚度达450m，井田总体构造形态为轴向北西西的背、向斜，背斜轴部附近两翼地层倾角20°～25°，南部宽缓向斜地层倾角5°～10°。且全矿井虽有17条勘探线控制，但勘探钻孔主要分布在中部南部，北部井田边界及边界断层控制程度较低，东部和西部存在勘探线密度不够、局部断层控制程度较弱的问题，现有地质资料无法充分支撑东翼5#顶板瓦斯抽放巷后续施工需求。</w:t>
            </w:r>
          </w:p>
          <w:p w14:paraId="58E4C130">
            <w:pPr>
              <w:tabs>
                <w:tab w:val="left" w:pos="4815"/>
              </w:tabs>
              <w:spacing w:line="360" w:lineRule="auto"/>
              <w:ind w:firstLine="480" w:firstLineChars="200"/>
              <w:rPr>
                <w:rFonts w:hint="eastAsia" w:ascii="Times New Roman" w:hAnsi="Times New Roman"/>
                <w:bCs/>
                <w:color w:val="auto"/>
                <w:sz w:val="24"/>
              </w:rPr>
            </w:pPr>
            <w:r>
              <w:rPr>
                <w:rFonts w:hint="eastAsia" w:ascii="Times New Roman" w:hAnsi="Times New Roman"/>
                <w:bCs/>
                <w:color w:val="auto"/>
                <w:sz w:val="24"/>
              </w:rPr>
              <w:t>从施工安全与精准性需求来看，东翼5#顶板瓦斯抽放巷计划采用盾构机掘进，而盾构机施工对前方煤（岩）层、构造及水文地质条件要求极高。该区域虽据已有勘探成果推测含12层可采煤层，但煤层赋存稳定性、顶底板岩性等需实地验证；同时，区域新生界松散层厚350～400m，发育四个含水层与三个隔水层，基岩段二叠系上下石盒子组和山西组砂岩裂隙水为煤层主要含水来源，且煤系砂岩富水性受裂隙发育不均一性影响差异大，若未提前探明这些信息，易导致盾构机施工遭遇断层、透水等风险，因此需通过本地面探查钻孔项目，提前获取精准地质数据，为盾构机安全高效施工奠定基础。</w:t>
            </w:r>
          </w:p>
          <w:p w14:paraId="05B16B5A">
            <w:pPr>
              <w:spacing w:line="360" w:lineRule="auto"/>
              <w:ind w:firstLine="482" w:firstLineChars="200"/>
              <w:rPr>
                <w:rFonts w:ascii="Times New Roman" w:hAnsi="Times New Roman"/>
                <w:b/>
                <w:bCs/>
                <w:color w:val="auto"/>
                <w:sz w:val="24"/>
                <w:shd w:val="clear" w:color="auto" w:fill="FFFFFF"/>
              </w:rPr>
            </w:pPr>
            <w:r>
              <w:rPr>
                <w:rFonts w:ascii="Times New Roman" w:hAnsi="Times New Roman"/>
                <w:b/>
                <w:bCs/>
                <w:color w:val="auto"/>
                <w:sz w:val="24"/>
                <w:shd w:val="clear" w:color="auto" w:fill="FFFFFF"/>
              </w:rPr>
              <w:t>2、项目概况</w:t>
            </w:r>
          </w:p>
          <w:p w14:paraId="3254E4A0">
            <w:pPr>
              <w:overflowPunct w:val="0"/>
              <w:adjustRightInd w:val="0"/>
              <w:snapToGrid w:val="0"/>
              <w:spacing w:line="360" w:lineRule="auto"/>
              <w:ind w:firstLine="480" w:firstLineChars="200"/>
              <w:rPr>
                <w:rFonts w:hint="default" w:ascii="Times New Roman" w:hAnsi="Times New Roman" w:eastAsia="宋体"/>
                <w:b/>
                <w:color w:val="auto"/>
                <w:sz w:val="24"/>
                <w:highlight w:val="none"/>
                <w:lang w:val="en-US" w:eastAsia="zh-CN"/>
              </w:rPr>
            </w:pPr>
            <w:r>
              <w:rPr>
                <w:rFonts w:ascii="Times New Roman" w:hAnsi="Times New Roman"/>
                <w:color w:val="auto"/>
                <w:sz w:val="24"/>
              </w:rPr>
              <w:t>中安联合煤化有限责任公司在安徽省淮南市潘集区贺疃镇境内建设</w:t>
            </w:r>
            <w:r>
              <w:rPr>
                <w:rFonts w:hint="eastAsia" w:ascii="Times New Roman" w:hAnsi="Times New Roman"/>
                <w:color w:val="auto"/>
                <w:sz w:val="24"/>
                <w:lang w:eastAsia="zh-CN"/>
              </w:rPr>
              <w:t>朱集西煤矿盾构机探查钻孔项目</w:t>
            </w:r>
            <w:r>
              <w:rPr>
                <w:rFonts w:ascii="Times New Roman" w:hAnsi="Times New Roman"/>
                <w:color w:val="auto"/>
                <w:sz w:val="24"/>
              </w:rPr>
              <w:t>。</w:t>
            </w:r>
            <w:r>
              <w:rPr>
                <w:rFonts w:ascii="Times New Roman" w:hAnsi="Times New Roman"/>
                <w:color w:val="auto"/>
                <w:sz w:val="24"/>
                <w:highlight w:val="none"/>
              </w:rPr>
              <w:t>项目于202</w:t>
            </w:r>
            <w:r>
              <w:rPr>
                <w:rFonts w:hint="eastAsia" w:ascii="Times New Roman" w:hAnsi="Times New Roman"/>
                <w:color w:val="auto"/>
                <w:sz w:val="24"/>
                <w:highlight w:val="none"/>
                <w:lang w:val="en-US" w:eastAsia="zh-CN"/>
              </w:rPr>
              <w:t>5</w:t>
            </w:r>
            <w:r>
              <w:rPr>
                <w:rFonts w:ascii="Times New Roman" w:hAnsi="Times New Roman"/>
                <w:color w:val="auto"/>
                <w:sz w:val="24"/>
                <w:highlight w:val="none"/>
              </w:rPr>
              <w:t>年</w:t>
            </w:r>
            <w:r>
              <w:rPr>
                <w:rFonts w:hint="eastAsia" w:ascii="Times New Roman" w:hAnsi="Times New Roman"/>
                <w:color w:val="auto"/>
                <w:sz w:val="24"/>
                <w:highlight w:val="none"/>
                <w:lang w:val="en-US" w:eastAsia="zh-CN"/>
              </w:rPr>
              <w:t>9</w:t>
            </w:r>
            <w:r>
              <w:rPr>
                <w:rFonts w:ascii="Times New Roman" w:hAnsi="Times New Roman"/>
                <w:color w:val="auto"/>
                <w:sz w:val="24"/>
                <w:highlight w:val="none"/>
              </w:rPr>
              <w:t>月</w:t>
            </w:r>
            <w:r>
              <w:rPr>
                <w:rFonts w:hint="eastAsia" w:ascii="Times New Roman" w:hAnsi="Times New Roman"/>
                <w:color w:val="auto"/>
                <w:sz w:val="24"/>
                <w:highlight w:val="none"/>
                <w:lang w:val="en-US" w:eastAsia="zh-CN"/>
              </w:rPr>
              <w:t>25</w:t>
            </w:r>
            <w:r>
              <w:rPr>
                <w:rFonts w:ascii="Times New Roman" w:hAnsi="Times New Roman"/>
                <w:color w:val="auto"/>
                <w:sz w:val="24"/>
                <w:highlight w:val="none"/>
              </w:rPr>
              <w:t>日经潘集区发展和改革委员会立项备案，备案编号为：</w:t>
            </w:r>
            <w:r>
              <w:rPr>
                <w:rFonts w:hint="eastAsia" w:ascii="Times New Roman" w:hAnsi="Times New Roman"/>
                <w:color w:val="auto"/>
                <w:sz w:val="24"/>
                <w:highlight w:val="none"/>
                <w:lang w:eastAsia="zh-CN"/>
              </w:rPr>
              <w:t>2509-340406-04-01-634856</w:t>
            </w:r>
            <w:r>
              <w:rPr>
                <w:rFonts w:ascii="Times New Roman" w:hAnsi="Times New Roman"/>
                <w:color w:val="auto"/>
                <w:sz w:val="24"/>
                <w:highlight w:val="none"/>
              </w:rPr>
              <w:t>，项目总投资</w:t>
            </w:r>
            <w:r>
              <w:rPr>
                <w:rFonts w:hint="eastAsia" w:ascii="Times New Roman" w:hAnsi="Times New Roman"/>
                <w:color w:val="auto"/>
                <w:sz w:val="24"/>
                <w:highlight w:val="none"/>
                <w:lang w:val="en-US" w:eastAsia="zh-CN"/>
              </w:rPr>
              <w:t>146.3775</w:t>
            </w:r>
            <w:r>
              <w:rPr>
                <w:rFonts w:ascii="Times New Roman" w:hAnsi="Times New Roman"/>
                <w:color w:val="auto"/>
                <w:sz w:val="24"/>
                <w:highlight w:val="none"/>
              </w:rPr>
              <w:t>万元。</w:t>
            </w:r>
            <w:r>
              <w:rPr>
                <w:rFonts w:ascii="Times New Roman" w:hAnsi="Times New Roman"/>
                <w:color w:val="auto"/>
                <w:sz w:val="24"/>
              </w:rPr>
              <w:t>项目建设内容为：</w:t>
            </w:r>
            <w:r>
              <w:rPr>
                <w:rFonts w:hint="eastAsia" w:ascii="Times New Roman" w:hAnsi="Times New Roman"/>
                <w:color w:val="auto"/>
                <w:sz w:val="24"/>
                <w:shd w:val="clear" w:color="auto" w:fill="FFFFFF"/>
              </w:rPr>
              <w:t>新建3口地面地质探查钻孔</w:t>
            </w:r>
            <w:r>
              <w:rPr>
                <w:rFonts w:ascii="Times New Roman" w:hAnsi="Times New Roman"/>
                <w:color w:val="auto"/>
                <w:sz w:val="24"/>
                <w:shd w:val="clear" w:color="auto" w:fill="FFFFFF"/>
              </w:rPr>
              <w:t>。</w:t>
            </w:r>
          </w:p>
          <w:p w14:paraId="0D3944DE">
            <w:pPr>
              <w:spacing w:line="360" w:lineRule="auto"/>
              <w:ind w:firstLine="480" w:firstLineChars="200"/>
              <w:rPr>
                <w:rFonts w:ascii="Times New Roman" w:hAnsi="Times New Roman"/>
                <w:color w:val="auto"/>
                <w:sz w:val="24"/>
              </w:rPr>
            </w:pPr>
            <w:r>
              <w:rPr>
                <w:rFonts w:ascii="Times New Roman" w:hAnsi="Times New Roman"/>
                <w:color w:val="auto"/>
                <w:sz w:val="24"/>
                <w:shd w:val="clear" w:color="auto" w:fill="FFFFFF"/>
              </w:rPr>
              <w:t>本项目</w:t>
            </w:r>
            <w:r>
              <w:rPr>
                <w:rFonts w:hint="eastAsia" w:ascii="Times New Roman" w:hAnsi="Times New Roman"/>
                <w:color w:val="auto"/>
                <w:sz w:val="24"/>
                <w:shd w:val="clear" w:color="auto" w:fill="FFFFFF"/>
                <w:lang w:val="en-US" w:eastAsia="zh-CN"/>
              </w:rPr>
              <w:t>为</w:t>
            </w:r>
            <w:r>
              <w:rPr>
                <w:rFonts w:ascii="Times New Roman" w:hAnsi="Times New Roman"/>
                <w:color w:val="auto"/>
                <w:sz w:val="24"/>
                <w:shd w:val="clear" w:color="auto" w:fill="FFFFFF"/>
              </w:rPr>
              <w:t>钻井工程，</w:t>
            </w:r>
            <w:r>
              <w:rPr>
                <w:rFonts w:ascii="Times New Roman" w:hAnsi="Times New Roman"/>
                <w:color w:val="auto"/>
                <w:sz w:val="24"/>
              </w:rPr>
              <w:t>根据《中华人民共和国环境保护法》、《建设项目环境保护管理条列》和《建设项目环境影响评价分类管理名录》（2021年版），本项目属于</w:t>
            </w:r>
            <w:r>
              <w:rPr>
                <w:rFonts w:hint="eastAsia" w:ascii="Times New Roman" w:hAnsi="Times New Roman"/>
                <w:color w:val="auto"/>
                <w:sz w:val="24"/>
                <w:lang w:eastAsia="zh-CN"/>
              </w:rPr>
              <w:t>“</w:t>
            </w:r>
            <w:r>
              <w:rPr>
                <w:rFonts w:ascii="Times New Roman" w:hAnsi="Times New Roman"/>
                <w:color w:val="auto"/>
                <w:sz w:val="24"/>
              </w:rPr>
              <w:t>四十六、专业技术服务业99中的陆地矿产资源地质勘查（含油气资源勘探）；二氧化碳地质封存中其他</w:t>
            </w:r>
            <w:r>
              <w:rPr>
                <w:rFonts w:hint="eastAsia" w:ascii="Times New Roman" w:hAnsi="Times New Roman"/>
                <w:color w:val="auto"/>
                <w:sz w:val="24"/>
                <w:lang w:eastAsia="zh-CN"/>
              </w:rPr>
              <w:t>”</w:t>
            </w:r>
            <w:r>
              <w:rPr>
                <w:rFonts w:ascii="Times New Roman" w:hAnsi="Times New Roman"/>
                <w:color w:val="auto"/>
                <w:sz w:val="24"/>
              </w:rPr>
              <w:t>，经查看该类别为编制环境影响报告表，因此，本项目应编制环境影响报告表。</w:t>
            </w:r>
          </w:p>
          <w:p w14:paraId="60CFBE69">
            <w:pPr>
              <w:spacing w:line="360" w:lineRule="auto"/>
              <w:ind w:firstLine="480" w:firstLineChars="200"/>
              <w:rPr>
                <w:rFonts w:ascii="Times New Roman" w:hAnsi="Times New Roman"/>
                <w:color w:val="auto"/>
                <w:sz w:val="24"/>
              </w:rPr>
            </w:pPr>
            <w:r>
              <w:rPr>
                <w:rFonts w:ascii="Times New Roman" w:hAnsi="Times New Roman"/>
                <w:color w:val="auto"/>
                <w:sz w:val="24"/>
              </w:rPr>
              <w:t>为了对建设项目可能造成的环境影响进行分析、预测和评估，依据《中华人民共和国环境影响评价法》和《建设项目环境保护管理条例》等相关法律法规，本项目需进行环境影响评价，中安联合煤化有限责任公司委托</w:t>
            </w:r>
            <w:r>
              <w:rPr>
                <w:rFonts w:hint="eastAsia" w:ascii="Times New Roman" w:hAnsi="Times New Roman"/>
                <w:color w:val="auto"/>
                <w:sz w:val="24"/>
                <w:lang w:val="en-US" w:eastAsia="zh-CN"/>
              </w:rPr>
              <w:t>蚌埠禾美环境设计院有限公司</w:t>
            </w:r>
            <w:r>
              <w:rPr>
                <w:rFonts w:ascii="Times New Roman" w:hAnsi="Times New Roman"/>
                <w:color w:val="auto"/>
                <w:sz w:val="24"/>
              </w:rPr>
              <w:t>对</w:t>
            </w:r>
            <w:r>
              <w:rPr>
                <w:rFonts w:hint="eastAsia" w:ascii="Times New Roman" w:hAnsi="Times New Roman"/>
                <w:color w:val="auto"/>
                <w:sz w:val="24"/>
                <w:lang w:eastAsia="zh-CN"/>
              </w:rPr>
              <w:t>“朱集西煤矿盾构机探查钻孔项目”</w:t>
            </w:r>
            <w:r>
              <w:rPr>
                <w:rFonts w:ascii="Times New Roman" w:hAnsi="Times New Roman"/>
                <w:color w:val="auto"/>
                <w:sz w:val="24"/>
              </w:rPr>
              <w:t>进行环境影响评价工作。接受委托后我单位即组织有关技术人员进行现场踏勘、收集资料。依据国家环境保护有关文件和环境影响评价技术导则，编制了该项目环境影响报告表。</w:t>
            </w:r>
          </w:p>
          <w:p w14:paraId="119DB59D">
            <w:pPr>
              <w:spacing w:line="360" w:lineRule="auto"/>
              <w:ind w:firstLine="482" w:firstLineChars="200"/>
              <w:rPr>
                <w:rFonts w:ascii="Times New Roman" w:hAnsi="Times New Roman"/>
                <w:b/>
                <w:bCs/>
                <w:color w:val="auto"/>
                <w:sz w:val="24"/>
                <w:shd w:val="clear" w:color="auto" w:fill="FFFFFF"/>
              </w:rPr>
            </w:pPr>
            <w:r>
              <w:rPr>
                <w:rFonts w:ascii="Times New Roman" w:hAnsi="Times New Roman"/>
                <w:b/>
                <w:bCs/>
                <w:color w:val="auto"/>
                <w:sz w:val="24"/>
                <w:shd w:val="clear" w:color="auto" w:fill="FFFFFF"/>
              </w:rPr>
              <w:t>3、项目概况</w:t>
            </w:r>
          </w:p>
          <w:p w14:paraId="6DCD430E">
            <w:pPr>
              <w:spacing w:line="360" w:lineRule="auto"/>
              <w:ind w:firstLine="480" w:firstLineChars="200"/>
              <w:rPr>
                <w:rFonts w:ascii="Times New Roman" w:hAnsi="Times New Roman"/>
                <w:color w:val="auto"/>
                <w:sz w:val="24"/>
                <w:shd w:val="clear" w:color="auto" w:fill="FFFFFF"/>
              </w:rPr>
            </w:pPr>
            <w:r>
              <w:rPr>
                <w:rFonts w:ascii="Times New Roman" w:hAnsi="Times New Roman"/>
                <w:color w:val="auto"/>
                <w:sz w:val="24"/>
                <w:shd w:val="clear" w:color="auto" w:fill="FFFFFF"/>
              </w:rPr>
              <w:t>项目的主要建设内容及规模见下表。</w:t>
            </w:r>
          </w:p>
          <w:p w14:paraId="1B967FAE">
            <w:pPr>
              <w:spacing w:line="360" w:lineRule="auto"/>
              <w:jc w:val="center"/>
              <w:rPr>
                <w:rFonts w:ascii="Times New Roman" w:hAnsi="Times New Roman"/>
                <w:b/>
                <w:color w:val="auto"/>
                <w:szCs w:val="21"/>
              </w:rPr>
            </w:pPr>
            <w:r>
              <w:rPr>
                <w:rFonts w:ascii="Times New Roman" w:hAnsi="Times New Roman"/>
                <w:b/>
                <w:color w:val="auto"/>
                <w:szCs w:val="21"/>
              </w:rPr>
              <w:t>表2-</w:t>
            </w:r>
            <w:r>
              <w:rPr>
                <w:rFonts w:hint="eastAsia" w:ascii="Times New Roman" w:hAnsi="Times New Roman"/>
                <w:b/>
                <w:color w:val="auto"/>
                <w:szCs w:val="21"/>
              </w:rPr>
              <w:t>1</w:t>
            </w:r>
            <w:r>
              <w:rPr>
                <w:rFonts w:ascii="Times New Roman" w:hAnsi="Times New Roman"/>
                <w:b/>
                <w:color w:val="auto"/>
                <w:szCs w:val="21"/>
              </w:rPr>
              <w:t xml:space="preserve">  建设内容及规模一览表</w:t>
            </w:r>
          </w:p>
          <w:tbl>
            <w:tblPr>
              <w:tblStyle w:val="20"/>
              <w:tblW w:w="0" w:type="auto"/>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236"/>
              <w:gridCol w:w="638"/>
              <w:gridCol w:w="638"/>
              <w:gridCol w:w="5319"/>
            </w:tblGrid>
            <w:tr w14:paraId="1D9F060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noWrap w:val="0"/>
                  <w:vAlign w:val="center"/>
                </w:tcPr>
                <w:p w14:paraId="45C6CF0A">
                  <w:pPr>
                    <w:jc w:val="center"/>
                    <w:rPr>
                      <w:rFonts w:ascii="Times New Roman" w:hAnsi="Times New Roman"/>
                      <w:color w:val="auto"/>
                      <w:szCs w:val="21"/>
                    </w:rPr>
                  </w:pPr>
                  <w:r>
                    <w:rPr>
                      <w:rFonts w:ascii="Times New Roman" w:hAnsi="Times New Roman"/>
                      <w:color w:val="auto"/>
                      <w:szCs w:val="21"/>
                    </w:rPr>
                    <w:t>工程类别</w:t>
                  </w:r>
                </w:p>
              </w:tc>
              <w:tc>
                <w:tcPr>
                  <w:tcW w:w="1276" w:type="dxa"/>
                  <w:gridSpan w:val="2"/>
                  <w:noWrap w:val="0"/>
                  <w:vAlign w:val="center"/>
                </w:tcPr>
                <w:p w14:paraId="50440449">
                  <w:pPr>
                    <w:jc w:val="center"/>
                    <w:rPr>
                      <w:rFonts w:ascii="Times New Roman" w:hAnsi="Times New Roman"/>
                      <w:color w:val="auto"/>
                      <w:szCs w:val="21"/>
                    </w:rPr>
                  </w:pPr>
                  <w:r>
                    <w:rPr>
                      <w:rFonts w:ascii="Times New Roman" w:hAnsi="Times New Roman"/>
                      <w:color w:val="auto"/>
                      <w:szCs w:val="21"/>
                    </w:rPr>
                    <w:t>项目名称</w:t>
                  </w:r>
                </w:p>
              </w:tc>
              <w:tc>
                <w:tcPr>
                  <w:tcW w:w="5319" w:type="dxa"/>
                  <w:noWrap w:val="0"/>
                  <w:vAlign w:val="center"/>
                </w:tcPr>
                <w:p w14:paraId="70545D38">
                  <w:pPr>
                    <w:jc w:val="center"/>
                    <w:rPr>
                      <w:rFonts w:ascii="Times New Roman" w:hAnsi="Times New Roman"/>
                      <w:color w:val="auto"/>
                      <w:szCs w:val="21"/>
                    </w:rPr>
                  </w:pPr>
                  <w:r>
                    <w:rPr>
                      <w:rFonts w:ascii="Times New Roman" w:hAnsi="Times New Roman"/>
                      <w:color w:val="auto"/>
                      <w:szCs w:val="21"/>
                    </w:rPr>
                    <w:t>主要工程内容</w:t>
                  </w:r>
                </w:p>
              </w:tc>
            </w:tr>
            <w:tr w14:paraId="66D0FEE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restart"/>
                  <w:noWrap w:val="0"/>
                  <w:vAlign w:val="center"/>
                </w:tcPr>
                <w:p w14:paraId="4BF2D61F">
                  <w:pPr>
                    <w:jc w:val="center"/>
                    <w:rPr>
                      <w:rFonts w:ascii="Times New Roman" w:hAnsi="Times New Roman"/>
                      <w:color w:val="auto"/>
                      <w:szCs w:val="21"/>
                    </w:rPr>
                  </w:pPr>
                  <w:r>
                    <w:rPr>
                      <w:rFonts w:hint="eastAsia" w:ascii="Times New Roman" w:hAnsi="Times New Roman"/>
                      <w:color w:val="auto"/>
                      <w:szCs w:val="21"/>
                    </w:rPr>
                    <w:t>主体工程</w:t>
                  </w:r>
                </w:p>
              </w:tc>
              <w:tc>
                <w:tcPr>
                  <w:tcW w:w="1276" w:type="dxa"/>
                  <w:gridSpan w:val="2"/>
                  <w:noWrap w:val="0"/>
                  <w:vAlign w:val="center"/>
                </w:tcPr>
                <w:p w14:paraId="7EA6DB91">
                  <w:pPr>
                    <w:jc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井场</w:t>
                  </w:r>
                </w:p>
              </w:tc>
              <w:tc>
                <w:tcPr>
                  <w:tcW w:w="5319" w:type="dxa"/>
                  <w:noWrap w:val="0"/>
                  <w:vAlign w:val="center"/>
                </w:tcPr>
                <w:p w14:paraId="6B75A393">
                  <w:pPr>
                    <w:rPr>
                      <w:rFonts w:hint="eastAsia" w:ascii="Times New Roman" w:hAnsi="Times New Roman"/>
                      <w:color w:val="auto"/>
                      <w:szCs w:val="21"/>
                      <w:highlight w:val="none"/>
                      <w:lang w:val="en-US" w:eastAsia="zh-CN"/>
                    </w:rPr>
                  </w:pPr>
                  <w:r>
                    <w:rPr>
                      <w:rFonts w:ascii="Times New Roman" w:hAnsi="Times New Roman"/>
                      <w:color w:val="auto"/>
                      <w:szCs w:val="21"/>
                      <w:highlight w:val="none"/>
                    </w:rPr>
                    <w:t>项目共设置</w:t>
                  </w:r>
                  <w:r>
                    <w:rPr>
                      <w:rFonts w:hint="eastAsia" w:ascii="Times New Roman" w:hAnsi="Times New Roman"/>
                      <w:color w:val="auto"/>
                      <w:szCs w:val="21"/>
                      <w:highlight w:val="none"/>
                      <w:lang w:val="en-US" w:eastAsia="zh-CN"/>
                    </w:rPr>
                    <w:t>3</w:t>
                  </w:r>
                  <w:r>
                    <w:rPr>
                      <w:rFonts w:hint="eastAsia" w:ascii="Times New Roman" w:hAnsi="Times New Roman"/>
                      <w:color w:val="auto"/>
                      <w:szCs w:val="21"/>
                      <w:highlight w:val="none"/>
                      <w:lang w:eastAsia="zh-CN"/>
                    </w:rPr>
                    <w:t>个井场</w:t>
                  </w:r>
                  <w:r>
                    <w:rPr>
                      <w:rFonts w:ascii="Times New Roman" w:hAnsi="Times New Roman"/>
                      <w:color w:val="auto"/>
                      <w:szCs w:val="21"/>
                      <w:highlight w:val="none"/>
                    </w:rPr>
                    <w:t>，总临时占地面积</w:t>
                  </w:r>
                  <w:r>
                    <w:rPr>
                      <w:rFonts w:hint="eastAsia" w:ascii="Times New Roman" w:hAnsi="Times New Roman"/>
                      <w:color w:val="auto"/>
                      <w:szCs w:val="21"/>
                      <w:highlight w:val="none"/>
                      <w:lang w:val="en-US" w:eastAsia="zh-CN"/>
                    </w:rPr>
                    <w:t>1797</w:t>
                  </w:r>
                  <w:r>
                    <w:rPr>
                      <w:rFonts w:ascii="Times New Roman" w:hAnsi="Times New Roman"/>
                      <w:color w:val="auto"/>
                      <w:szCs w:val="21"/>
                      <w:highlight w:val="none"/>
                    </w:rPr>
                    <w:t>m</w:t>
                  </w:r>
                  <w:r>
                    <w:rPr>
                      <w:rFonts w:ascii="Times New Roman" w:hAnsi="Times New Roman"/>
                      <w:color w:val="auto"/>
                      <w:szCs w:val="21"/>
                      <w:highlight w:val="none"/>
                      <w:vertAlign w:val="superscript"/>
                    </w:rPr>
                    <w:t>2</w:t>
                  </w:r>
                  <w:r>
                    <w:rPr>
                      <w:rFonts w:hint="eastAsia" w:ascii="Times New Roman" w:hAnsi="Times New Roman"/>
                      <w:color w:val="auto"/>
                      <w:szCs w:val="21"/>
                      <w:highlight w:val="none"/>
                      <w:lang w:eastAsia="zh-CN"/>
                    </w:rPr>
                    <w:t>，</w:t>
                  </w:r>
                  <w:r>
                    <w:rPr>
                      <w:rFonts w:ascii="Times New Roman" w:hAnsi="Times New Roman"/>
                      <w:color w:val="auto"/>
                      <w:szCs w:val="21"/>
                      <w:highlight w:val="none"/>
                    </w:rPr>
                    <w:t>施工现场及道路采取钢板铺垫</w:t>
                  </w:r>
                </w:p>
              </w:tc>
            </w:tr>
            <w:tr w14:paraId="5DAF809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85" w:hRule="atLeast"/>
              </w:trPr>
              <w:tc>
                <w:tcPr>
                  <w:tcW w:w="1236" w:type="dxa"/>
                  <w:vMerge w:val="continue"/>
                  <w:noWrap w:val="0"/>
                  <w:vAlign w:val="center"/>
                </w:tcPr>
                <w:p w14:paraId="41E96719">
                  <w:pPr>
                    <w:jc w:val="center"/>
                    <w:rPr>
                      <w:rFonts w:ascii="Times New Roman" w:hAnsi="Times New Roman"/>
                      <w:color w:val="auto"/>
                      <w:szCs w:val="21"/>
                    </w:rPr>
                  </w:pPr>
                </w:p>
              </w:tc>
              <w:tc>
                <w:tcPr>
                  <w:tcW w:w="638" w:type="dxa"/>
                  <w:vMerge w:val="restart"/>
                  <w:noWrap w:val="0"/>
                  <w:vAlign w:val="center"/>
                </w:tcPr>
                <w:p w14:paraId="2BAABDED">
                  <w:pPr>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其中</w:t>
                  </w:r>
                </w:p>
              </w:tc>
              <w:tc>
                <w:tcPr>
                  <w:tcW w:w="638" w:type="dxa"/>
                  <w:noWrap w:val="0"/>
                  <w:vAlign w:val="center"/>
                </w:tcPr>
                <w:p w14:paraId="7311791A">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hint="eastAsia" w:ascii="Times New Roman" w:hAnsi="Times New Roman"/>
                      <w:color w:val="auto"/>
                      <w:szCs w:val="21"/>
                      <w:highlight w:val="none"/>
                      <w:lang w:val="en-US" w:eastAsia="zh-CN"/>
                    </w:rPr>
                    <w:t>DG-1井场（1#井场）</w:t>
                  </w:r>
                </w:p>
              </w:tc>
              <w:tc>
                <w:tcPr>
                  <w:tcW w:w="5319" w:type="dxa"/>
                  <w:noWrap w:val="0"/>
                  <w:vAlign w:val="center"/>
                </w:tcPr>
                <w:p w14:paraId="4971B1A5">
                  <w:pPr>
                    <w:keepNext w:val="0"/>
                    <w:keepLines w:val="0"/>
                    <w:pageBreakBefore w:val="0"/>
                    <w:widowControl w:val="0"/>
                    <w:kinsoku/>
                    <w:wordWrap/>
                    <w:overflowPunct/>
                    <w:topLinePunct w:val="0"/>
                    <w:bidi w:val="0"/>
                    <w:snapToGrid/>
                    <w:ind w:left="0" w:leftChars="0" w:right="0" w:rightChars="0"/>
                    <w:textAlignment w:val="auto"/>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总占地面积约532m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，出入口位于井场西南角，包含车辆冲洗沉淀池（8m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lang w:eastAsia="zh-CN"/>
                    </w:rPr>
                    <w:t>储水池</w:t>
                  </w:r>
                  <w:r>
                    <w:rPr>
                      <w:rFonts w:hint="eastAsia" w:ascii="Times New Roman" w:hAnsi="Times New Roman"/>
                      <w:color w:val="auto"/>
                      <w:szCs w:val="21"/>
                      <w:highlight w:val="none"/>
                      <w:lang w:val="en-US" w:eastAsia="zh-CN"/>
                    </w:rPr>
                    <w:t>（10m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w:t>
                  </w:r>
                  <w:r>
                    <w:rPr>
                      <w:rFonts w:hint="eastAsia" w:ascii="Times New Roman" w:hAnsi="Times New Roman"/>
                      <w:color w:val="auto"/>
                      <w:szCs w:val="21"/>
                      <w:highlight w:val="none"/>
                      <w:lang w:eastAsia="zh-CN"/>
                    </w:rPr>
                    <w:t>泥浆池</w:t>
                  </w:r>
                  <w:r>
                    <w:rPr>
                      <w:rFonts w:hint="eastAsia" w:ascii="Times New Roman" w:hAnsi="Times New Roman"/>
                      <w:color w:val="auto"/>
                      <w:szCs w:val="21"/>
                      <w:highlight w:val="none"/>
                      <w:lang w:val="en-US" w:eastAsia="zh-CN"/>
                    </w:rPr>
                    <w:t>（36m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、干化池</w:t>
                  </w:r>
                  <w:r>
                    <w:rPr>
                      <w:rFonts w:hint="eastAsia" w:ascii="Times New Roman" w:hAnsi="Times New Roman"/>
                      <w:color w:val="auto"/>
                      <w:szCs w:val="21"/>
                      <w:highlight w:val="none"/>
                      <w:lang w:val="en-US" w:eastAsia="zh-CN"/>
                    </w:rPr>
                    <w:t>（36m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）、钻孔作业区（72m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）（设计孔深1099m，</w:t>
                  </w:r>
                  <w:r>
                    <w:rPr>
                      <w:rFonts w:hint="default" w:ascii="Times New Roman" w:hAnsi="Times New Roman" w:cs="Times New Roman"/>
                      <w:bCs/>
                      <w:color w:val="auto"/>
                      <w:szCs w:val="21"/>
                      <w:highlight w:val="none"/>
                    </w:rPr>
                    <w:t>开孔</w:t>
                  </w:r>
                  <w:r>
                    <w:rPr>
                      <w:rFonts w:hint="eastAsia" w:ascii="Times New Roman" w:hAnsi="Times New Roman" w:cs="Times New Roman"/>
                      <w:bCs/>
                      <w:color w:val="auto"/>
                      <w:szCs w:val="21"/>
                      <w:highlight w:val="none"/>
                      <w:lang w:eastAsia="zh-CN"/>
                    </w:rPr>
                    <w:t>Φ94mm</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表土剥离堆放场</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72m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岩心摆放区（10m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施工材料区</w:t>
                  </w:r>
                  <w:r>
                    <w:rPr>
                      <w:rFonts w:hint="eastAsia" w:ascii="Times New Roman" w:hAnsi="Times New Roman"/>
                      <w:color w:val="auto"/>
                      <w:szCs w:val="21"/>
                      <w:highlight w:val="none"/>
                      <w:lang w:val="en-US" w:eastAsia="zh-CN"/>
                    </w:rPr>
                    <w:t>（11m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）等；</w:t>
                  </w:r>
                </w:p>
              </w:tc>
            </w:tr>
            <w:tr w14:paraId="1F07703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85" w:hRule="atLeast"/>
              </w:trPr>
              <w:tc>
                <w:tcPr>
                  <w:tcW w:w="1236" w:type="dxa"/>
                  <w:vMerge w:val="continue"/>
                  <w:noWrap w:val="0"/>
                  <w:vAlign w:val="center"/>
                </w:tcPr>
                <w:p w14:paraId="338C8D4A"/>
              </w:tc>
              <w:tc>
                <w:tcPr>
                  <w:tcW w:w="638" w:type="dxa"/>
                  <w:vMerge w:val="continue"/>
                  <w:noWrap w:val="0"/>
                  <w:vAlign w:val="center"/>
                </w:tcPr>
                <w:p w14:paraId="7B80D558"/>
              </w:tc>
              <w:tc>
                <w:tcPr>
                  <w:tcW w:w="638" w:type="dxa"/>
                  <w:noWrap w:val="0"/>
                  <w:vAlign w:val="center"/>
                </w:tcPr>
                <w:p w14:paraId="7A260647">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hint="eastAsia" w:ascii="Times New Roman" w:hAnsi="Times New Roman"/>
                      <w:color w:val="auto"/>
                      <w:szCs w:val="21"/>
                      <w:highlight w:val="none"/>
                      <w:lang w:val="en-US" w:eastAsia="zh-CN"/>
                    </w:rPr>
                    <w:t>DG-2井场（2#井场）</w:t>
                  </w:r>
                </w:p>
              </w:tc>
              <w:tc>
                <w:tcPr>
                  <w:tcW w:w="5319" w:type="dxa"/>
                  <w:noWrap w:val="0"/>
                  <w:vAlign w:val="center"/>
                </w:tcPr>
                <w:p w14:paraId="4EA71CB7">
                  <w:pPr>
                    <w:keepNext w:val="0"/>
                    <w:keepLines w:val="0"/>
                    <w:pageBreakBefore w:val="0"/>
                    <w:widowControl w:val="0"/>
                    <w:kinsoku/>
                    <w:wordWrap/>
                    <w:overflowPunct/>
                    <w:topLinePunct w:val="0"/>
                    <w:bidi w:val="0"/>
                    <w:snapToGrid/>
                    <w:ind w:left="0" w:leftChars="0" w:right="0" w:rightChars="0"/>
                    <w:textAlignment w:val="auto"/>
                    <w:rPr>
                      <w:rFonts w:ascii="Times New Roman" w:hAnsi="Times New Roman"/>
                      <w:color w:val="auto"/>
                      <w:szCs w:val="21"/>
                      <w:highlight w:val="none"/>
                    </w:rPr>
                  </w:pPr>
                  <w:r>
                    <w:rPr>
                      <w:rFonts w:hint="eastAsia" w:ascii="Times New Roman" w:hAnsi="Times New Roman"/>
                      <w:color w:val="auto"/>
                      <w:szCs w:val="21"/>
                      <w:highlight w:val="none"/>
                      <w:lang w:val="en-US" w:eastAsia="zh-CN"/>
                    </w:rPr>
                    <w:t>总占地面积约542m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，出入口位于井场北侧，包含车辆冲洗沉淀池（8m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lang w:eastAsia="zh-CN"/>
                    </w:rPr>
                    <w:t>储水池</w:t>
                  </w:r>
                  <w:r>
                    <w:rPr>
                      <w:rFonts w:hint="eastAsia" w:ascii="Times New Roman" w:hAnsi="Times New Roman"/>
                      <w:color w:val="auto"/>
                      <w:szCs w:val="21"/>
                      <w:highlight w:val="none"/>
                      <w:lang w:val="en-US" w:eastAsia="zh-CN"/>
                    </w:rPr>
                    <w:t>（10m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w:t>
                  </w:r>
                  <w:r>
                    <w:rPr>
                      <w:rFonts w:hint="eastAsia" w:ascii="Times New Roman" w:hAnsi="Times New Roman"/>
                      <w:color w:val="auto"/>
                      <w:szCs w:val="21"/>
                      <w:highlight w:val="none"/>
                      <w:lang w:eastAsia="zh-CN"/>
                    </w:rPr>
                    <w:t>泥浆池</w:t>
                  </w:r>
                  <w:r>
                    <w:rPr>
                      <w:rFonts w:hint="eastAsia" w:ascii="Times New Roman" w:hAnsi="Times New Roman"/>
                      <w:color w:val="auto"/>
                      <w:szCs w:val="21"/>
                      <w:highlight w:val="none"/>
                      <w:lang w:val="en-US" w:eastAsia="zh-CN"/>
                    </w:rPr>
                    <w:t>（36m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、干化池</w:t>
                  </w:r>
                  <w:r>
                    <w:rPr>
                      <w:rFonts w:hint="eastAsia" w:ascii="Times New Roman" w:hAnsi="Times New Roman"/>
                      <w:color w:val="auto"/>
                      <w:szCs w:val="21"/>
                      <w:highlight w:val="none"/>
                      <w:lang w:val="en-US" w:eastAsia="zh-CN"/>
                    </w:rPr>
                    <w:t>（36m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）、钻孔作业区（72m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）（设计孔深934m，</w:t>
                  </w:r>
                  <w:r>
                    <w:rPr>
                      <w:rFonts w:hint="default" w:ascii="Times New Roman" w:hAnsi="Times New Roman" w:cs="Times New Roman"/>
                      <w:bCs/>
                      <w:color w:val="auto"/>
                      <w:szCs w:val="21"/>
                      <w:highlight w:val="none"/>
                    </w:rPr>
                    <w:t>开孔</w:t>
                  </w:r>
                  <w:r>
                    <w:rPr>
                      <w:rFonts w:hint="eastAsia" w:ascii="Times New Roman" w:hAnsi="Times New Roman" w:cs="Times New Roman"/>
                      <w:bCs/>
                      <w:color w:val="auto"/>
                      <w:szCs w:val="21"/>
                      <w:highlight w:val="none"/>
                      <w:lang w:eastAsia="zh-CN"/>
                    </w:rPr>
                    <w:t>Φ94mm</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表土剥离堆放场</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72m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岩心摆放区（10m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施工材料区</w:t>
                  </w:r>
                  <w:r>
                    <w:rPr>
                      <w:rFonts w:hint="eastAsia" w:ascii="Times New Roman" w:hAnsi="Times New Roman"/>
                      <w:color w:val="auto"/>
                      <w:szCs w:val="21"/>
                      <w:highlight w:val="none"/>
                      <w:lang w:val="en-US" w:eastAsia="zh-CN"/>
                    </w:rPr>
                    <w:t>（11m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）等；</w:t>
                  </w:r>
                </w:p>
              </w:tc>
            </w:tr>
            <w:tr w14:paraId="16850F1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85" w:hRule="atLeast"/>
              </w:trPr>
              <w:tc>
                <w:tcPr>
                  <w:tcW w:w="1236" w:type="dxa"/>
                  <w:vMerge w:val="continue"/>
                  <w:noWrap w:val="0"/>
                  <w:vAlign w:val="center"/>
                </w:tcPr>
                <w:p w14:paraId="1C1C6A3A">
                  <w:pPr>
                    <w:rPr>
                      <w:rFonts w:ascii="Times New Roman" w:hAnsi="Times New Roman"/>
                      <w:color w:val="auto"/>
                      <w:szCs w:val="21"/>
                    </w:rPr>
                  </w:pPr>
                </w:p>
              </w:tc>
              <w:tc>
                <w:tcPr>
                  <w:tcW w:w="638" w:type="dxa"/>
                  <w:vMerge w:val="continue"/>
                  <w:noWrap w:val="0"/>
                  <w:vAlign w:val="center"/>
                </w:tcPr>
                <w:p w14:paraId="29BF00D8">
                  <w:pPr>
                    <w:rPr>
                      <w:rFonts w:ascii="Times New Roman" w:hAnsi="Times New Roman"/>
                      <w:color w:val="auto"/>
                      <w:szCs w:val="21"/>
                    </w:rPr>
                  </w:pPr>
                </w:p>
              </w:tc>
              <w:tc>
                <w:tcPr>
                  <w:tcW w:w="638" w:type="dxa"/>
                  <w:noWrap w:val="0"/>
                  <w:vAlign w:val="center"/>
                </w:tcPr>
                <w:p w14:paraId="32A4299B">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hint="eastAsia" w:ascii="Times New Roman" w:hAnsi="Times New Roman"/>
                      <w:color w:val="auto"/>
                      <w:szCs w:val="21"/>
                      <w:highlight w:val="none"/>
                      <w:lang w:val="en-US" w:eastAsia="zh-CN"/>
                    </w:rPr>
                    <w:t>DG-3井场（3#井场）</w:t>
                  </w:r>
                </w:p>
              </w:tc>
              <w:tc>
                <w:tcPr>
                  <w:tcW w:w="5319" w:type="dxa"/>
                  <w:noWrap w:val="0"/>
                  <w:vAlign w:val="center"/>
                </w:tcPr>
                <w:p w14:paraId="27F0389F">
                  <w:pPr>
                    <w:keepNext w:val="0"/>
                    <w:keepLines w:val="0"/>
                    <w:pageBreakBefore w:val="0"/>
                    <w:widowControl w:val="0"/>
                    <w:kinsoku/>
                    <w:wordWrap/>
                    <w:overflowPunct/>
                    <w:topLinePunct w:val="0"/>
                    <w:bidi w:val="0"/>
                    <w:snapToGrid/>
                    <w:ind w:left="0" w:leftChars="0" w:right="0" w:rightChars="0"/>
                    <w:textAlignment w:val="auto"/>
                    <w:rPr>
                      <w:rFonts w:ascii="Times New Roman" w:hAnsi="Times New Roman"/>
                      <w:color w:val="auto"/>
                      <w:szCs w:val="21"/>
                      <w:highlight w:val="none"/>
                    </w:rPr>
                  </w:pPr>
                  <w:r>
                    <w:rPr>
                      <w:rFonts w:hint="eastAsia" w:ascii="Times New Roman" w:hAnsi="Times New Roman"/>
                      <w:color w:val="auto"/>
                      <w:szCs w:val="21"/>
                      <w:highlight w:val="none"/>
                      <w:lang w:val="en-US" w:eastAsia="zh-CN"/>
                    </w:rPr>
                    <w:t>总占地面积约494m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，出入口位于井场西南角，包含车辆冲洗沉淀池（8m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lang w:eastAsia="zh-CN"/>
                    </w:rPr>
                    <w:t>储水池</w:t>
                  </w:r>
                  <w:r>
                    <w:rPr>
                      <w:rFonts w:hint="eastAsia" w:ascii="Times New Roman" w:hAnsi="Times New Roman"/>
                      <w:color w:val="auto"/>
                      <w:szCs w:val="21"/>
                      <w:highlight w:val="none"/>
                      <w:lang w:val="en-US" w:eastAsia="zh-CN"/>
                    </w:rPr>
                    <w:t>（10m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w:t>
                  </w:r>
                  <w:r>
                    <w:rPr>
                      <w:rFonts w:hint="eastAsia" w:ascii="Times New Roman" w:hAnsi="Times New Roman"/>
                      <w:color w:val="auto"/>
                      <w:szCs w:val="21"/>
                      <w:highlight w:val="none"/>
                      <w:lang w:eastAsia="zh-CN"/>
                    </w:rPr>
                    <w:t>泥浆池</w:t>
                  </w:r>
                  <w:r>
                    <w:rPr>
                      <w:rFonts w:hint="eastAsia" w:ascii="Times New Roman" w:hAnsi="Times New Roman"/>
                      <w:color w:val="auto"/>
                      <w:szCs w:val="21"/>
                      <w:highlight w:val="none"/>
                      <w:lang w:val="en-US" w:eastAsia="zh-CN"/>
                    </w:rPr>
                    <w:t>（36m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、干化池</w:t>
                  </w:r>
                  <w:r>
                    <w:rPr>
                      <w:rFonts w:hint="eastAsia" w:ascii="Times New Roman" w:hAnsi="Times New Roman"/>
                      <w:color w:val="auto"/>
                      <w:szCs w:val="21"/>
                      <w:highlight w:val="none"/>
                      <w:lang w:val="en-US" w:eastAsia="zh-CN"/>
                    </w:rPr>
                    <w:t>（36m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）、钻孔作业区（72m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）（设计孔深915m，</w:t>
                  </w:r>
                  <w:r>
                    <w:rPr>
                      <w:rFonts w:hint="default" w:ascii="Times New Roman" w:hAnsi="Times New Roman" w:cs="Times New Roman"/>
                      <w:bCs/>
                      <w:color w:val="auto"/>
                      <w:szCs w:val="21"/>
                      <w:highlight w:val="none"/>
                    </w:rPr>
                    <w:t>开孔</w:t>
                  </w:r>
                  <w:r>
                    <w:rPr>
                      <w:rFonts w:hint="eastAsia" w:ascii="Times New Roman" w:hAnsi="Times New Roman" w:cs="Times New Roman"/>
                      <w:bCs/>
                      <w:color w:val="auto"/>
                      <w:szCs w:val="21"/>
                      <w:highlight w:val="none"/>
                      <w:lang w:eastAsia="zh-CN"/>
                    </w:rPr>
                    <w:t>Φ94mm</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表土剥离堆放场</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56</w:t>
                  </w:r>
                  <w:r>
                    <w:rPr>
                      <w:rFonts w:hint="eastAsia" w:ascii="Times New Roman" w:hAnsi="Times New Roman"/>
                      <w:color w:val="auto"/>
                      <w:szCs w:val="21"/>
                      <w:highlight w:val="none"/>
                      <w:vertAlign w:val="baseline"/>
                      <w:lang w:val="en-US" w:eastAsia="zh-CN"/>
                    </w:rPr>
                    <w:t>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岩心摆放区（10m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施工材料区</w:t>
                  </w:r>
                  <w:r>
                    <w:rPr>
                      <w:rFonts w:hint="eastAsia" w:ascii="Times New Roman" w:hAnsi="Times New Roman"/>
                      <w:color w:val="auto"/>
                      <w:szCs w:val="21"/>
                      <w:highlight w:val="none"/>
                      <w:lang w:val="en-US" w:eastAsia="zh-CN"/>
                    </w:rPr>
                    <w:t>（11m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）等；</w:t>
                  </w:r>
                </w:p>
              </w:tc>
            </w:tr>
            <w:tr w14:paraId="0E0FEEC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57" w:hRule="atLeast"/>
              </w:trPr>
              <w:tc>
                <w:tcPr>
                  <w:tcW w:w="1236" w:type="dxa"/>
                  <w:vMerge w:val="continue"/>
                  <w:noWrap w:val="0"/>
                  <w:vAlign w:val="center"/>
                </w:tcPr>
                <w:p w14:paraId="678D2A60">
                  <w:pPr>
                    <w:jc w:val="center"/>
                    <w:rPr>
                      <w:rFonts w:ascii="Times New Roman" w:hAnsi="Times New Roman"/>
                      <w:color w:val="auto"/>
                      <w:szCs w:val="21"/>
                    </w:rPr>
                  </w:pPr>
                </w:p>
              </w:tc>
              <w:tc>
                <w:tcPr>
                  <w:tcW w:w="1276" w:type="dxa"/>
                  <w:gridSpan w:val="2"/>
                  <w:noWrap w:val="0"/>
                  <w:vAlign w:val="center"/>
                </w:tcPr>
                <w:p w14:paraId="45180DEB">
                  <w:pPr>
                    <w:jc w:val="center"/>
                    <w:rPr>
                      <w:rFonts w:ascii="Times New Roman" w:hAnsi="Times New Roman"/>
                      <w:color w:val="auto"/>
                      <w:szCs w:val="21"/>
                    </w:rPr>
                  </w:pPr>
                  <w:r>
                    <w:rPr>
                      <w:rFonts w:ascii="Times New Roman" w:hAnsi="Times New Roman"/>
                      <w:color w:val="auto"/>
                      <w:szCs w:val="21"/>
                    </w:rPr>
                    <w:t>复垦工程</w:t>
                  </w:r>
                </w:p>
              </w:tc>
              <w:tc>
                <w:tcPr>
                  <w:tcW w:w="5319" w:type="dxa"/>
                  <w:noWrap w:val="0"/>
                  <w:vAlign w:val="center"/>
                </w:tcPr>
                <w:p w14:paraId="61A4AEA2">
                  <w:pPr>
                    <w:pStyle w:val="28"/>
                    <w:jc w:val="both"/>
                    <w:rPr>
                      <w:rFonts w:ascii="Times New Roman" w:hAnsi="Times New Roman"/>
                      <w:color w:val="auto"/>
                      <w:sz w:val="21"/>
                      <w:szCs w:val="21"/>
                    </w:rPr>
                  </w:pPr>
                  <w:r>
                    <w:rPr>
                      <w:rFonts w:ascii="Times New Roman" w:hAnsi="Times New Roman"/>
                      <w:color w:val="auto"/>
                      <w:sz w:val="21"/>
                      <w:szCs w:val="21"/>
                    </w:rPr>
                    <w:t>工程完成后进行植被恢复，维持项目区域生态环境的现有功能</w:t>
                  </w:r>
                </w:p>
              </w:tc>
            </w:tr>
            <w:tr w14:paraId="47E3957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57" w:hRule="atLeast"/>
              </w:trPr>
              <w:tc>
                <w:tcPr>
                  <w:tcW w:w="1236" w:type="dxa"/>
                  <w:noWrap w:val="0"/>
                  <w:vAlign w:val="center"/>
                </w:tcPr>
                <w:p w14:paraId="342C8F96">
                  <w:pPr>
                    <w:jc w:val="center"/>
                    <w:rPr>
                      <w:rFonts w:ascii="Times New Roman" w:hAnsi="Times New Roman"/>
                      <w:color w:val="auto"/>
                      <w:szCs w:val="21"/>
                    </w:rPr>
                  </w:pPr>
                  <w:r>
                    <w:rPr>
                      <w:rFonts w:ascii="Times New Roman" w:hAnsi="Times New Roman"/>
                      <w:color w:val="auto"/>
                      <w:szCs w:val="21"/>
                    </w:rPr>
                    <w:t>辅助工程</w:t>
                  </w:r>
                </w:p>
              </w:tc>
              <w:tc>
                <w:tcPr>
                  <w:tcW w:w="1276" w:type="dxa"/>
                  <w:gridSpan w:val="2"/>
                  <w:noWrap w:val="0"/>
                  <w:vAlign w:val="center"/>
                </w:tcPr>
                <w:p w14:paraId="4E8F90BD">
                  <w:pPr>
                    <w:jc w:val="center"/>
                    <w:rPr>
                      <w:rFonts w:ascii="Times New Roman" w:hAnsi="Times New Roman"/>
                      <w:color w:val="auto"/>
                      <w:szCs w:val="21"/>
                    </w:rPr>
                  </w:pPr>
                  <w:r>
                    <w:rPr>
                      <w:rFonts w:ascii="Times New Roman" w:hAnsi="Times New Roman"/>
                      <w:color w:val="auto"/>
                      <w:szCs w:val="21"/>
                    </w:rPr>
                    <w:t>自控系统</w:t>
                  </w:r>
                </w:p>
              </w:tc>
              <w:tc>
                <w:tcPr>
                  <w:tcW w:w="5319" w:type="dxa"/>
                  <w:noWrap w:val="0"/>
                  <w:vAlign w:val="center"/>
                </w:tcPr>
                <w:p w14:paraId="66612B8B">
                  <w:pPr>
                    <w:jc w:val="center"/>
                    <w:rPr>
                      <w:rFonts w:ascii="Times New Roman" w:hAnsi="Times New Roman"/>
                      <w:color w:val="auto"/>
                      <w:szCs w:val="21"/>
                    </w:rPr>
                  </w:pPr>
                  <w:r>
                    <w:rPr>
                      <w:rFonts w:hint="eastAsia" w:ascii="Times New Roman" w:hAnsi="Times New Roman"/>
                      <w:color w:val="auto"/>
                      <w:szCs w:val="21"/>
                    </w:rPr>
                    <w:t>各</w:t>
                  </w:r>
                  <w:r>
                    <w:rPr>
                      <w:rFonts w:ascii="Times New Roman" w:hAnsi="Times New Roman"/>
                      <w:color w:val="auto"/>
                      <w:szCs w:val="21"/>
                    </w:rPr>
                    <w:t>井场设置</w:t>
                  </w:r>
                  <w:r>
                    <w:rPr>
                      <w:rFonts w:ascii="Times New Roman" w:hAnsi="Times New Roman"/>
                      <w:color w:val="auto"/>
                      <w:szCs w:val="21"/>
                      <w:shd w:val="clear" w:color="auto" w:fill="FFFFFF"/>
                    </w:rPr>
                    <w:t>控制配电室，建设面积</w:t>
                  </w:r>
                  <w:r>
                    <w:rPr>
                      <w:rFonts w:hint="eastAsia" w:ascii="Times New Roman" w:hAnsi="Times New Roman"/>
                      <w:color w:val="auto"/>
                      <w:szCs w:val="21"/>
                      <w:shd w:val="clear" w:color="auto" w:fill="FFFFFF"/>
                      <w:lang w:val="en-US" w:eastAsia="zh-CN"/>
                    </w:rPr>
                    <w:t>均为19</w:t>
                  </w:r>
                  <w:r>
                    <w:rPr>
                      <w:rFonts w:ascii="Times New Roman" w:hAnsi="Times New Roman"/>
                      <w:color w:val="auto"/>
                      <w:szCs w:val="21"/>
                    </w:rPr>
                    <w:t>m</w:t>
                  </w:r>
                  <w:r>
                    <w:rPr>
                      <w:rFonts w:ascii="Times New Roman" w:hAnsi="Times New Roman"/>
                      <w:color w:val="auto"/>
                      <w:szCs w:val="21"/>
                      <w:vertAlign w:val="superscript"/>
                    </w:rPr>
                    <w:t>2</w:t>
                  </w:r>
                </w:p>
              </w:tc>
            </w:tr>
            <w:tr w14:paraId="0F41007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restart"/>
                  <w:noWrap w:val="0"/>
                  <w:vAlign w:val="center"/>
                </w:tcPr>
                <w:p w14:paraId="6116ED62">
                  <w:pPr>
                    <w:jc w:val="center"/>
                    <w:rPr>
                      <w:rFonts w:ascii="Times New Roman" w:hAnsi="Times New Roman"/>
                      <w:color w:val="auto"/>
                      <w:szCs w:val="21"/>
                    </w:rPr>
                  </w:pPr>
                  <w:r>
                    <w:rPr>
                      <w:rFonts w:ascii="Times New Roman" w:hAnsi="Times New Roman"/>
                      <w:color w:val="auto"/>
                      <w:szCs w:val="21"/>
                    </w:rPr>
                    <w:t>临时工程</w:t>
                  </w:r>
                </w:p>
              </w:tc>
              <w:tc>
                <w:tcPr>
                  <w:tcW w:w="1276" w:type="dxa"/>
                  <w:gridSpan w:val="2"/>
                  <w:noWrap w:val="0"/>
                  <w:vAlign w:val="center"/>
                </w:tcPr>
                <w:p w14:paraId="3EBA9508">
                  <w:pPr>
                    <w:jc w:val="center"/>
                    <w:rPr>
                      <w:color w:val="auto"/>
                      <w:szCs w:val="21"/>
                    </w:rPr>
                  </w:pPr>
                  <w:r>
                    <w:rPr>
                      <w:color w:val="auto"/>
                      <w:szCs w:val="21"/>
                    </w:rPr>
                    <w:t>临时办公区</w:t>
                  </w:r>
                </w:p>
              </w:tc>
              <w:tc>
                <w:tcPr>
                  <w:tcW w:w="5319" w:type="dxa"/>
                  <w:noWrap w:val="0"/>
                  <w:vAlign w:val="center"/>
                </w:tcPr>
                <w:p w14:paraId="53305038">
                  <w:pPr>
                    <w:jc w:val="center"/>
                    <w:rPr>
                      <w:rFonts w:hint="eastAsia" w:eastAsia="宋体"/>
                      <w:color w:val="auto"/>
                      <w:szCs w:val="21"/>
                      <w:lang w:eastAsia="zh-CN"/>
                    </w:rPr>
                  </w:pPr>
                  <w:r>
                    <w:rPr>
                      <w:rFonts w:hint="default" w:ascii="Times New Roman" w:hAnsi="Times New Roman" w:cs="Times New Roman"/>
                      <w:color w:val="auto"/>
                      <w:szCs w:val="21"/>
                    </w:rPr>
                    <w:t>每个井场内设置</w:t>
                  </w:r>
                  <w:r>
                    <w:rPr>
                      <w:rFonts w:hint="default" w:ascii="Times New Roman" w:hAnsi="Times New Roman" w:cs="Times New Roman"/>
                      <w:color w:val="auto"/>
                      <w:szCs w:val="21"/>
                      <w:shd w:val="clear" w:color="auto" w:fill="FFFFFF"/>
                    </w:rPr>
                    <w:t>临时办公区，用于现场办公，属于每个井场临时用地范围，建筑面积</w:t>
                  </w:r>
                  <w:r>
                    <w:rPr>
                      <w:rFonts w:hint="default" w:ascii="Times New Roman" w:hAnsi="Times New Roman" w:cs="Times New Roman"/>
                      <w:color w:val="auto"/>
                      <w:szCs w:val="21"/>
                      <w:shd w:val="clear" w:color="auto" w:fill="FFFFFF"/>
                      <w:lang w:val="en-US" w:eastAsia="zh-CN"/>
                    </w:rPr>
                    <w:t>均为19</w:t>
                  </w:r>
                  <w:r>
                    <w:rPr>
                      <w:rFonts w:hint="default" w:ascii="Times New Roman" w:hAnsi="Times New Roman" w:cs="Times New Roman"/>
                      <w:color w:val="auto"/>
                      <w:szCs w:val="21"/>
                      <w:shd w:val="clear" w:color="auto" w:fill="FFFFFF"/>
                    </w:rPr>
                    <w:t>m</w:t>
                  </w:r>
                  <w:r>
                    <w:rPr>
                      <w:rFonts w:hint="default" w:ascii="Times New Roman" w:hAnsi="Times New Roman" w:cs="Times New Roman"/>
                      <w:color w:val="auto"/>
                      <w:szCs w:val="21"/>
                      <w:shd w:val="clear" w:color="auto" w:fill="FFFFFF"/>
                      <w:vertAlign w:val="superscript"/>
                    </w:rPr>
                    <w:t>2</w:t>
                  </w:r>
                  <w:r>
                    <w:rPr>
                      <w:rFonts w:hint="default" w:ascii="Times New Roman" w:hAnsi="Times New Roman" w:cs="Times New Roman"/>
                      <w:color w:val="auto"/>
                      <w:szCs w:val="21"/>
                      <w:shd w:val="clear" w:color="auto" w:fill="FFFFFF"/>
                    </w:rPr>
                    <w:t>。</w:t>
                  </w:r>
                  <w:r>
                    <w:rPr>
                      <w:rFonts w:hint="eastAsia" w:ascii="Times New Roman" w:hAnsi="Times New Roman" w:cs="Times New Roman"/>
                      <w:color w:val="auto"/>
                      <w:szCs w:val="21"/>
                      <w:shd w:val="clear" w:color="auto" w:fill="FFFFFF"/>
                      <w:lang w:val="en-US" w:eastAsia="zh-CN"/>
                    </w:rPr>
                    <w:t>各</w:t>
                  </w:r>
                  <w:r>
                    <w:rPr>
                      <w:rFonts w:hint="default" w:ascii="Times New Roman" w:hAnsi="Times New Roman" w:cs="Times New Roman"/>
                      <w:color w:val="auto"/>
                      <w:szCs w:val="21"/>
                      <w:shd w:val="clear" w:color="auto" w:fill="FFFFFF"/>
                    </w:rPr>
                    <w:t>井场内不设置施工营地，施工人员租用当地民房作为临时营地。</w:t>
                  </w:r>
                </w:p>
              </w:tc>
            </w:tr>
            <w:tr w14:paraId="7FD03E5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31DDADA6">
                  <w:pPr>
                    <w:jc w:val="center"/>
                    <w:rPr>
                      <w:rFonts w:ascii="Times New Roman" w:hAnsi="Times New Roman"/>
                      <w:color w:val="auto"/>
                      <w:szCs w:val="21"/>
                    </w:rPr>
                  </w:pPr>
                </w:p>
              </w:tc>
              <w:tc>
                <w:tcPr>
                  <w:tcW w:w="1276" w:type="dxa"/>
                  <w:gridSpan w:val="2"/>
                  <w:noWrap w:val="0"/>
                  <w:vAlign w:val="center"/>
                </w:tcPr>
                <w:p w14:paraId="21FBD78E">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rPr>
                  </w:pPr>
                  <w:r>
                    <w:rPr>
                      <w:rFonts w:ascii="Times New Roman" w:hAnsi="Times New Roman"/>
                      <w:color w:val="auto"/>
                      <w:szCs w:val="21"/>
                      <w:highlight w:val="none"/>
                    </w:rPr>
                    <w:t>进场道路</w:t>
                  </w:r>
                </w:p>
              </w:tc>
              <w:tc>
                <w:tcPr>
                  <w:tcW w:w="5319" w:type="dxa"/>
                  <w:noWrap w:val="0"/>
                  <w:vAlign w:val="center"/>
                </w:tcPr>
                <w:p w14:paraId="26CA1220">
                  <w:pPr>
                    <w:keepNext w:val="0"/>
                    <w:keepLines w:val="0"/>
                    <w:pageBreakBefore w:val="0"/>
                    <w:widowControl w:val="0"/>
                    <w:kinsoku/>
                    <w:wordWrap/>
                    <w:overflowPunct/>
                    <w:topLinePunct w:val="0"/>
                    <w:bidi w:val="0"/>
                    <w:snapToGrid/>
                    <w:ind w:left="0" w:leftChars="0" w:right="0" w:rightChars="0"/>
                    <w:jc w:val="left"/>
                    <w:textAlignment w:val="auto"/>
                    <w:rPr>
                      <w:rFonts w:hint="eastAsia" w:ascii="Times New Roman" w:hAnsi="Times New Roman"/>
                      <w:color w:val="auto"/>
                      <w:szCs w:val="21"/>
                      <w:highlight w:val="none"/>
                    </w:rPr>
                  </w:pPr>
                  <w:r>
                    <w:rPr>
                      <w:rFonts w:ascii="Times New Roman" w:hAnsi="Times New Roman"/>
                      <w:color w:val="auto"/>
                      <w:szCs w:val="21"/>
                      <w:highlight w:val="none"/>
                    </w:rPr>
                    <w:t>根据现场施工远近情况铺设进场道路，</w:t>
                  </w:r>
                  <w:r>
                    <w:rPr>
                      <w:rFonts w:hint="eastAsia" w:ascii="Times New Roman" w:hAnsi="Times New Roman"/>
                      <w:color w:val="auto"/>
                      <w:szCs w:val="21"/>
                      <w:highlight w:val="none"/>
                      <w:lang w:val="en-US" w:eastAsia="zh-CN"/>
                    </w:rPr>
                    <w:t>井场周边进场设置临时道路，</w:t>
                  </w:r>
                  <w:r>
                    <w:rPr>
                      <w:rFonts w:ascii="Times New Roman" w:hAnsi="Times New Roman"/>
                      <w:color w:val="auto"/>
                      <w:szCs w:val="21"/>
                      <w:highlight w:val="none"/>
                    </w:rPr>
                    <w:t>采取钢板铺垫</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总占地面积约228m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其余道路主要依托现有村村通道路</w:t>
                  </w:r>
                  <w:r>
                    <w:rPr>
                      <w:rFonts w:hint="eastAsia" w:ascii="Times New Roman" w:hAnsi="Times New Roman"/>
                      <w:color w:val="auto"/>
                      <w:szCs w:val="21"/>
                      <w:highlight w:val="none"/>
                    </w:rPr>
                    <w:t>：</w:t>
                  </w:r>
                </w:p>
                <w:p w14:paraId="060FF58E">
                  <w:pPr>
                    <w:keepNext w:val="0"/>
                    <w:keepLines w:val="0"/>
                    <w:pageBreakBefore w:val="0"/>
                    <w:widowControl w:val="0"/>
                    <w:kinsoku/>
                    <w:wordWrap/>
                    <w:overflowPunct/>
                    <w:topLinePunct w:val="0"/>
                    <w:bidi w:val="0"/>
                    <w:snapToGrid/>
                    <w:ind w:left="0" w:leftChars="0" w:right="0" w:rightChars="0"/>
                    <w:textAlignment w:val="auto"/>
                    <w:rPr>
                      <w:rFonts w:hint="eastAsia"/>
                      <w:color w:val="auto"/>
                      <w:highlight w:val="none"/>
                    </w:rPr>
                  </w:pPr>
                  <w:r>
                    <w:rPr>
                      <w:rFonts w:hint="eastAsia" w:ascii="Times New Roman" w:hAnsi="Times New Roman"/>
                      <w:color w:val="auto"/>
                      <w:szCs w:val="21"/>
                      <w:highlight w:val="none"/>
                      <w:lang w:val="en-US" w:eastAsia="zh-CN"/>
                    </w:rPr>
                    <w:t>①DG-1（1#井）临时道路占地面积约96m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w:t>
                  </w:r>
                </w:p>
                <w:p w14:paraId="12CBF4FD">
                  <w:pPr>
                    <w:keepNext w:val="0"/>
                    <w:keepLines w:val="0"/>
                    <w:pageBreakBefore w:val="0"/>
                    <w:widowControl w:val="0"/>
                    <w:kinsoku/>
                    <w:wordWrap/>
                    <w:overflowPunct/>
                    <w:topLinePunct w:val="0"/>
                    <w:bidi w:val="0"/>
                    <w:snapToGrid/>
                    <w:ind w:left="0" w:leftChars="0" w:right="0" w:rightChars="0"/>
                    <w:textAlignment w:val="auto"/>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②DG-2（2#井）临时道路占地面积约92m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w:t>
                  </w:r>
                </w:p>
                <w:p w14:paraId="0565C560">
                  <w:pPr>
                    <w:rPr>
                      <w:rFonts w:hint="default" w:ascii="Times New Roman" w:hAnsi="Times New Roman" w:eastAsia="宋体"/>
                      <w:color w:val="auto"/>
                      <w:szCs w:val="21"/>
                      <w:lang w:val="en-US" w:eastAsia="zh-CN"/>
                    </w:rPr>
                  </w:pPr>
                  <w:r>
                    <w:rPr>
                      <w:rFonts w:hint="eastAsia" w:ascii="Times New Roman" w:hAnsi="Times New Roman"/>
                      <w:color w:val="auto"/>
                      <w:szCs w:val="21"/>
                      <w:highlight w:val="none"/>
                      <w:lang w:val="en-US" w:eastAsia="zh-CN"/>
                    </w:rPr>
                    <w:t>③DG-3（3#井）临时道路占地面积40m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vertAlign w:val="baseline"/>
                      <w:lang w:val="en-US" w:eastAsia="zh-CN"/>
                    </w:rPr>
                    <w:t>；</w:t>
                  </w:r>
                </w:p>
              </w:tc>
            </w:tr>
            <w:tr w14:paraId="04D19EB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143" w:hRule="atLeast"/>
              </w:trPr>
              <w:tc>
                <w:tcPr>
                  <w:tcW w:w="1236" w:type="dxa"/>
                  <w:vMerge w:val="continue"/>
                  <w:noWrap w:val="0"/>
                  <w:vAlign w:val="center"/>
                </w:tcPr>
                <w:p w14:paraId="648E802A">
                  <w:pPr>
                    <w:jc w:val="center"/>
                    <w:rPr>
                      <w:rFonts w:ascii="Times New Roman" w:hAnsi="Times New Roman"/>
                      <w:color w:val="auto"/>
                      <w:szCs w:val="21"/>
                    </w:rPr>
                  </w:pPr>
                </w:p>
              </w:tc>
              <w:tc>
                <w:tcPr>
                  <w:tcW w:w="1276" w:type="dxa"/>
                  <w:gridSpan w:val="2"/>
                  <w:noWrap w:val="0"/>
                  <w:vAlign w:val="center"/>
                </w:tcPr>
                <w:p w14:paraId="1A6DE90B">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表土剥离堆场</w:t>
                  </w:r>
                </w:p>
              </w:tc>
              <w:tc>
                <w:tcPr>
                  <w:tcW w:w="5319" w:type="dxa"/>
                  <w:noWrap w:val="0"/>
                  <w:vAlign w:val="center"/>
                </w:tcPr>
                <w:p w14:paraId="5B13695A">
                  <w:pPr>
                    <w:jc w:val="left"/>
                    <w:rPr>
                      <w:rFonts w:hint="eastAsia" w:ascii="Times New Roman" w:hAnsi="Times New Roman" w:cs="Times New Roman"/>
                      <w:color w:val="auto"/>
                      <w:szCs w:val="21"/>
                      <w:lang w:val="en-US" w:eastAsia="zh-CN"/>
                    </w:rPr>
                  </w:pPr>
                  <w:r>
                    <w:rPr>
                      <w:rFonts w:hint="eastAsia" w:ascii="Times New Roman" w:hAnsi="Times New Roman"/>
                      <w:color w:val="auto"/>
                      <w:szCs w:val="21"/>
                      <w:highlight w:val="none"/>
                      <w:lang w:val="en-US" w:eastAsia="zh-CN"/>
                    </w:rPr>
                    <w:t>项目井场场地平整时</w:t>
                  </w:r>
                  <w:r>
                    <w:rPr>
                      <w:rFonts w:hint="eastAsia" w:ascii="Times New Roman" w:hAnsi="Times New Roman"/>
                      <w:color w:val="auto"/>
                      <w:szCs w:val="21"/>
                      <w:highlight w:val="none"/>
                    </w:rPr>
                    <w:t>剥离的</w:t>
                  </w:r>
                  <w:r>
                    <w:rPr>
                      <w:rFonts w:hint="eastAsia" w:ascii="Times New Roman" w:hAnsi="Times New Roman"/>
                      <w:color w:val="auto"/>
                      <w:szCs w:val="21"/>
                      <w:highlight w:val="none"/>
                      <w:lang w:val="en-US" w:eastAsia="zh-CN"/>
                    </w:rPr>
                    <w:t>表土集中堆放在井场区内，</w:t>
                  </w:r>
                  <w:r>
                    <w:rPr>
                      <w:rFonts w:hint="eastAsia" w:ascii="Times New Roman" w:hAnsi="Times New Roman"/>
                      <w:color w:val="auto"/>
                      <w:szCs w:val="21"/>
                      <w:highlight w:val="none"/>
                    </w:rPr>
                    <w:t>表土</w:t>
                  </w:r>
                  <w:r>
                    <w:rPr>
                      <w:rFonts w:hint="eastAsia" w:ascii="Times New Roman" w:hAnsi="Times New Roman"/>
                      <w:color w:val="auto"/>
                      <w:szCs w:val="21"/>
                      <w:highlight w:val="none"/>
                      <w:lang w:val="en-US" w:eastAsia="zh-CN"/>
                    </w:rPr>
                    <w:t>平均</w:t>
                  </w:r>
                  <w:r>
                    <w:rPr>
                      <w:rFonts w:hint="eastAsia" w:ascii="Times New Roman" w:hAnsi="Times New Roman"/>
                      <w:color w:val="auto"/>
                      <w:szCs w:val="21"/>
                      <w:highlight w:val="none"/>
                    </w:rPr>
                    <w:t>剥离厚度</w:t>
                  </w:r>
                  <w:r>
                    <w:rPr>
                      <w:rFonts w:hint="eastAsia" w:ascii="Times New Roman" w:hAnsi="Times New Roman"/>
                      <w:color w:val="auto"/>
                      <w:szCs w:val="21"/>
                      <w:highlight w:val="none"/>
                      <w:lang w:val="en-US" w:eastAsia="zh-CN"/>
                    </w:rPr>
                    <w:t>约</w:t>
                  </w:r>
                  <w:r>
                    <w:rPr>
                      <w:rFonts w:hint="eastAsia" w:ascii="Times New Roman" w:hAnsi="Times New Roman"/>
                      <w:color w:val="auto"/>
                      <w:szCs w:val="21"/>
                      <w:highlight w:val="none"/>
                    </w:rPr>
                    <w:t>为0.</w:t>
                  </w:r>
                  <w:r>
                    <w:rPr>
                      <w:rFonts w:hint="eastAsia" w:ascii="Times New Roman" w:hAnsi="Times New Roman"/>
                      <w:color w:val="auto"/>
                      <w:szCs w:val="21"/>
                      <w:highlight w:val="none"/>
                      <w:lang w:val="en-US" w:eastAsia="zh-CN"/>
                    </w:rPr>
                    <w:t>25</w:t>
                  </w:r>
                  <w:r>
                    <w:rPr>
                      <w:rFonts w:hint="eastAsia" w:ascii="Times New Roman" w:hAnsi="Times New Roman"/>
                      <w:color w:val="auto"/>
                      <w:szCs w:val="21"/>
                      <w:highlight w:val="none"/>
                    </w:rPr>
                    <w:t>m</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3个井场表土剥离量合计约342m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，表土剥离场总占地面积约1596m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，堆场高度约1.71m，用于</w:t>
                  </w:r>
                  <w:r>
                    <w:rPr>
                      <w:rFonts w:ascii="Times New Roman" w:hAnsi="Times New Roman"/>
                      <w:color w:val="auto"/>
                      <w:szCs w:val="21"/>
                      <w:highlight w:val="none"/>
                    </w:rPr>
                    <w:t>复垦时</w:t>
                  </w:r>
                  <w:r>
                    <w:rPr>
                      <w:rFonts w:hint="eastAsia" w:ascii="Times New Roman" w:hAnsi="Times New Roman"/>
                      <w:color w:val="auto"/>
                      <w:szCs w:val="21"/>
                      <w:highlight w:val="none"/>
                      <w:lang w:val="en-US" w:eastAsia="zh-CN"/>
                    </w:rPr>
                    <w:t>井场表土恢复</w:t>
                  </w:r>
                </w:p>
              </w:tc>
            </w:tr>
            <w:tr w14:paraId="582C7AA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5CDD9C7A">
                  <w:pPr>
                    <w:jc w:val="center"/>
                    <w:rPr>
                      <w:rFonts w:ascii="Times New Roman" w:hAnsi="Times New Roman"/>
                      <w:color w:val="auto"/>
                      <w:szCs w:val="21"/>
                    </w:rPr>
                  </w:pPr>
                </w:p>
              </w:tc>
              <w:tc>
                <w:tcPr>
                  <w:tcW w:w="1276" w:type="dxa"/>
                  <w:gridSpan w:val="2"/>
                  <w:noWrap w:val="0"/>
                  <w:vAlign w:val="center"/>
                </w:tcPr>
                <w:p w14:paraId="136356E3">
                  <w:pPr>
                    <w:jc w:val="center"/>
                    <w:rPr>
                      <w:rFonts w:ascii="Times New Roman" w:hAnsi="Times New Roman"/>
                      <w:color w:val="auto"/>
                      <w:szCs w:val="21"/>
                      <w:shd w:val="clear" w:color="auto" w:fill="FFFFFF"/>
                    </w:rPr>
                  </w:pPr>
                  <w:r>
                    <w:rPr>
                      <w:rFonts w:hint="eastAsia" w:ascii="Times New Roman" w:hAnsi="Times New Roman"/>
                      <w:color w:val="auto"/>
                      <w:szCs w:val="21"/>
                      <w:lang w:val="en-US" w:eastAsia="zh-CN"/>
                    </w:rPr>
                    <w:t>岩心摆放区</w:t>
                  </w:r>
                </w:p>
              </w:tc>
              <w:tc>
                <w:tcPr>
                  <w:tcW w:w="5319" w:type="dxa"/>
                  <w:noWrap w:val="0"/>
                  <w:vAlign w:val="center"/>
                </w:tcPr>
                <w:p w14:paraId="23CD669A">
                  <w:pPr>
                    <w:keepNext w:val="0"/>
                    <w:keepLines w:val="0"/>
                    <w:pageBreakBefore w:val="0"/>
                    <w:widowControl w:val="0"/>
                    <w:kinsoku/>
                    <w:wordWrap/>
                    <w:overflowPunct/>
                    <w:topLinePunct w:val="0"/>
                    <w:bidi w:val="0"/>
                    <w:snapToGrid/>
                    <w:ind w:left="0" w:leftChars="0" w:right="0" w:rightChars="0"/>
                    <w:jc w:val="left"/>
                    <w:textAlignment w:val="auto"/>
                    <w:rPr>
                      <w:rFonts w:hint="default" w:ascii="Times New Roman" w:hAnsi="Times New Roman" w:eastAsia="宋体"/>
                      <w:color w:val="auto"/>
                      <w:szCs w:val="21"/>
                      <w:lang w:val="en-US" w:eastAsia="zh-CN"/>
                    </w:rPr>
                  </w:pPr>
                  <w:r>
                    <w:rPr>
                      <w:rFonts w:hint="eastAsia" w:ascii="Times New Roman" w:hAnsi="Times New Roman"/>
                      <w:color w:val="auto"/>
                      <w:szCs w:val="21"/>
                      <w:highlight w:val="none"/>
                      <w:lang w:val="en-US" w:eastAsia="zh-CN"/>
                    </w:rPr>
                    <w:t>项目钻孔产生的岩芯碎屑集中堆放在井场的岩心摆放区内，各井场岩心摆放区占地面积均约为10m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，岩芯碎屑集中收集后作为一般固废处置</w:t>
                  </w:r>
                </w:p>
              </w:tc>
            </w:tr>
            <w:tr w14:paraId="2B0C4E6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restart"/>
                  <w:noWrap w:val="0"/>
                  <w:vAlign w:val="center"/>
                </w:tcPr>
                <w:p w14:paraId="667010EE">
                  <w:pPr>
                    <w:jc w:val="center"/>
                    <w:rPr>
                      <w:rFonts w:ascii="Times New Roman" w:hAnsi="Times New Roman"/>
                      <w:color w:val="auto"/>
                      <w:szCs w:val="21"/>
                    </w:rPr>
                  </w:pPr>
                  <w:r>
                    <w:rPr>
                      <w:rFonts w:ascii="Times New Roman" w:hAnsi="Times New Roman"/>
                      <w:color w:val="auto"/>
                      <w:szCs w:val="21"/>
                    </w:rPr>
                    <w:t>储运工程</w:t>
                  </w:r>
                </w:p>
              </w:tc>
              <w:tc>
                <w:tcPr>
                  <w:tcW w:w="1276" w:type="dxa"/>
                  <w:gridSpan w:val="2"/>
                  <w:noWrap w:val="0"/>
                  <w:vAlign w:val="center"/>
                </w:tcPr>
                <w:p w14:paraId="753D802F">
                  <w:pPr>
                    <w:jc w:val="center"/>
                    <w:rPr>
                      <w:rFonts w:ascii="Times New Roman" w:hAnsi="Times New Roman"/>
                      <w:color w:val="auto"/>
                      <w:szCs w:val="21"/>
                    </w:rPr>
                  </w:pPr>
                  <w:r>
                    <w:rPr>
                      <w:rFonts w:hint="eastAsia" w:ascii="Times New Roman" w:hAnsi="Times New Roman"/>
                      <w:color w:val="auto"/>
                      <w:lang w:val="en-US" w:eastAsia="zh-CN"/>
                    </w:rPr>
                    <w:t>设备及库房</w:t>
                  </w:r>
                </w:p>
              </w:tc>
              <w:tc>
                <w:tcPr>
                  <w:tcW w:w="5319" w:type="dxa"/>
                  <w:noWrap w:val="0"/>
                  <w:vAlign w:val="center"/>
                </w:tcPr>
                <w:p w14:paraId="21E556E9">
                  <w:pPr>
                    <w:keepNext w:val="0"/>
                    <w:keepLines w:val="0"/>
                    <w:pageBreakBefore w:val="0"/>
                    <w:widowControl w:val="0"/>
                    <w:kinsoku/>
                    <w:wordWrap/>
                    <w:overflowPunct/>
                    <w:topLinePunct w:val="0"/>
                    <w:bidi w:val="0"/>
                    <w:snapToGrid/>
                    <w:ind w:left="0" w:leftChars="0" w:right="0" w:rightChars="0"/>
                    <w:jc w:val="left"/>
                    <w:textAlignment w:val="auto"/>
                    <w:rPr>
                      <w:rFonts w:ascii="Times New Roman" w:hAnsi="Times New Roman"/>
                      <w:color w:val="auto"/>
                      <w:szCs w:val="21"/>
                    </w:rPr>
                  </w:pPr>
                  <w:r>
                    <w:rPr>
                      <w:rFonts w:ascii="Times New Roman" w:hAnsi="Times New Roman"/>
                      <w:color w:val="auto"/>
                      <w:szCs w:val="21"/>
                      <w:highlight w:val="none"/>
                      <w:lang w:val="zh-CN"/>
                    </w:rPr>
                    <w:t>每个井场</w:t>
                  </w:r>
                  <w:r>
                    <w:rPr>
                      <w:rFonts w:hint="eastAsia" w:ascii="Times New Roman" w:hAnsi="Times New Roman"/>
                      <w:color w:val="auto"/>
                      <w:szCs w:val="21"/>
                      <w:highlight w:val="none"/>
                      <w:lang w:val="en-US" w:eastAsia="zh-CN"/>
                    </w:rPr>
                    <w:t>均</w:t>
                  </w:r>
                  <w:r>
                    <w:rPr>
                      <w:rFonts w:ascii="Times New Roman" w:hAnsi="Times New Roman"/>
                      <w:color w:val="auto"/>
                      <w:szCs w:val="21"/>
                      <w:highlight w:val="none"/>
                      <w:lang w:val="zh-CN"/>
                    </w:rPr>
                    <w:t>设置</w:t>
                  </w:r>
                  <w:r>
                    <w:rPr>
                      <w:rFonts w:hint="eastAsia" w:ascii="Times New Roman" w:hAnsi="Times New Roman"/>
                      <w:color w:val="auto"/>
                      <w:highlight w:val="none"/>
                      <w:lang w:val="en-US" w:eastAsia="zh-CN"/>
                    </w:rPr>
                    <w:t>设备及库房</w:t>
                  </w:r>
                  <w:r>
                    <w:rPr>
                      <w:rFonts w:ascii="Times New Roman" w:hAnsi="Times New Roman"/>
                      <w:color w:val="auto"/>
                      <w:szCs w:val="21"/>
                      <w:highlight w:val="none"/>
                      <w:lang w:val="zh-CN"/>
                    </w:rPr>
                    <w:t>1间，每个建筑</w:t>
                  </w:r>
                  <w:r>
                    <w:rPr>
                      <w:rFonts w:ascii="Times New Roman" w:hAnsi="Times New Roman"/>
                      <w:color w:val="auto"/>
                      <w:szCs w:val="21"/>
                      <w:highlight w:val="none"/>
                    </w:rPr>
                    <w:t>面积</w:t>
                  </w:r>
                  <w:r>
                    <w:rPr>
                      <w:rFonts w:hint="eastAsia" w:ascii="Times New Roman" w:hAnsi="Times New Roman"/>
                      <w:color w:val="auto"/>
                      <w:szCs w:val="21"/>
                      <w:highlight w:val="none"/>
                      <w:lang w:val="en-US" w:eastAsia="zh-CN"/>
                    </w:rPr>
                    <w:t>均约为19</w:t>
                  </w:r>
                  <w:r>
                    <w:rPr>
                      <w:rFonts w:ascii="Times New Roman" w:hAnsi="Times New Roman"/>
                      <w:color w:val="auto"/>
                      <w:szCs w:val="21"/>
                      <w:highlight w:val="none"/>
                    </w:rPr>
                    <w:t>m</w:t>
                  </w:r>
                  <w:r>
                    <w:rPr>
                      <w:rFonts w:ascii="Times New Roman" w:hAnsi="Times New Roman"/>
                      <w:color w:val="auto"/>
                      <w:szCs w:val="21"/>
                      <w:highlight w:val="none"/>
                      <w:vertAlign w:val="superscript"/>
                    </w:rPr>
                    <w:t>2</w:t>
                  </w:r>
                  <w:r>
                    <w:rPr>
                      <w:rFonts w:ascii="Times New Roman" w:hAnsi="Times New Roman"/>
                      <w:color w:val="auto"/>
                      <w:szCs w:val="21"/>
                      <w:highlight w:val="none"/>
                      <w:lang w:val="zh-CN"/>
                    </w:rPr>
                    <w:t>，用于</w:t>
                  </w:r>
                  <w:r>
                    <w:rPr>
                      <w:rFonts w:ascii="Times New Roman" w:hAnsi="Times New Roman"/>
                      <w:color w:val="auto"/>
                      <w:highlight w:val="none"/>
                    </w:rPr>
                    <w:t>耗材、</w:t>
                  </w:r>
                  <w:r>
                    <w:rPr>
                      <w:rFonts w:hint="eastAsia" w:ascii="Times New Roman" w:hAnsi="Times New Roman"/>
                      <w:color w:val="auto"/>
                      <w:highlight w:val="none"/>
                      <w:lang w:val="en-US" w:eastAsia="zh-CN"/>
                    </w:rPr>
                    <w:t>小型设备</w:t>
                  </w:r>
                  <w:r>
                    <w:rPr>
                      <w:rFonts w:ascii="Times New Roman" w:hAnsi="Times New Roman"/>
                      <w:color w:val="auto"/>
                      <w:highlight w:val="none"/>
                    </w:rPr>
                    <w:t>存放</w:t>
                  </w:r>
                </w:p>
              </w:tc>
            </w:tr>
            <w:tr w14:paraId="7557E70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69412EED">
                  <w:pPr>
                    <w:jc w:val="center"/>
                    <w:rPr>
                      <w:rFonts w:ascii="Times New Roman" w:hAnsi="Times New Roman"/>
                      <w:color w:val="auto"/>
                      <w:szCs w:val="21"/>
                    </w:rPr>
                  </w:pPr>
                </w:p>
              </w:tc>
              <w:tc>
                <w:tcPr>
                  <w:tcW w:w="1276" w:type="dxa"/>
                  <w:gridSpan w:val="2"/>
                  <w:noWrap w:val="0"/>
                  <w:vAlign w:val="center"/>
                </w:tcPr>
                <w:p w14:paraId="40DC8E1E">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材料</w:t>
                  </w:r>
                  <w:r>
                    <w:rPr>
                      <w:rFonts w:hint="eastAsia" w:ascii="Times New Roman" w:hAnsi="Times New Roman"/>
                      <w:color w:val="auto"/>
                    </w:rPr>
                    <w:t>区</w:t>
                  </w:r>
                </w:p>
              </w:tc>
              <w:tc>
                <w:tcPr>
                  <w:tcW w:w="5319" w:type="dxa"/>
                  <w:noWrap w:val="0"/>
                  <w:vAlign w:val="center"/>
                </w:tcPr>
                <w:p w14:paraId="47802141">
                  <w:pPr>
                    <w:keepNext w:val="0"/>
                    <w:keepLines w:val="0"/>
                    <w:pageBreakBefore w:val="0"/>
                    <w:widowControl w:val="0"/>
                    <w:kinsoku/>
                    <w:wordWrap/>
                    <w:overflowPunct/>
                    <w:topLinePunct w:val="0"/>
                    <w:bidi w:val="0"/>
                    <w:snapToGrid/>
                    <w:ind w:left="0" w:leftChars="0" w:right="0" w:rightChars="0"/>
                    <w:jc w:val="left"/>
                    <w:textAlignment w:val="auto"/>
                    <w:rPr>
                      <w:rFonts w:ascii="Times New Roman" w:hAnsi="Times New Roman"/>
                      <w:color w:val="auto"/>
                      <w:szCs w:val="21"/>
                      <w:lang w:val="zh-CN"/>
                    </w:rPr>
                  </w:pPr>
                  <w:r>
                    <w:rPr>
                      <w:rFonts w:ascii="Times New Roman" w:hAnsi="Times New Roman"/>
                      <w:color w:val="auto"/>
                      <w:szCs w:val="21"/>
                      <w:highlight w:val="none"/>
                      <w:lang w:val="zh-CN"/>
                    </w:rPr>
                    <w:t>每个井场</w:t>
                  </w:r>
                  <w:r>
                    <w:rPr>
                      <w:rFonts w:hint="eastAsia" w:ascii="Times New Roman" w:hAnsi="Times New Roman"/>
                      <w:color w:val="auto"/>
                      <w:szCs w:val="21"/>
                      <w:highlight w:val="none"/>
                      <w:lang w:val="en-US" w:eastAsia="zh-CN"/>
                    </w:rPr>
                    <w:t>均</w:t>
                  </w:r>
                  <w:r>
                    <w:rPr>
                      <w:rFonts w:ascii="Times New Roman" w:hAnsi="Times New Roman"/>
                      <w:color w:val="auto"/>
                      <w:szCs w:val="21"/>
                      <w:highlight w:val="none"/>
                      <w:lang w:val="zh-CN"/>
                    </w:rPr>
                    <w:t>设置</w:t>
                  </w:r>
                  <w:r>
                    <w:rPr>
                      <w:rFonts w:hint="eastAsia" w:ascii="Times New Roman" w:hAnsi="Times New Roman"/>
                      <w:color w:val="auto"/>
                      <w:szCs w:val="21"/>
                      <w:highlight w:val="none"/>
                      <w:lang w:val="en-US" w:eastAsia="zh-CN"/>
                    </w:rPr>
                    <w:t>材料区一处</w:t>
                  </w:r>
                  <w:r>
                    <w:rPr>
                      <w:rFonts w:ascii="Times New Roman" w:hAnsi="Times New Roman"/>
                      <w:color w:val="auto"/>
                      <w:szCs w:val="21"/>
                      <w:highlight w:val="none"/>
                      <w:lang w:val="zh-CN"/>
                    </w:rPr>
                    <w:t>，每个</w:t>
                  </w:r>
                  <w:r>
                    <w:rPr>
                      <w:rFonts w:hint="eastAsia" w:ascii="Times New Roman" w:hAnsi="Times New Roman"/>
                      <w:color w:val="auto"/>
                      <w:szCs w:val="21"/>
                      <w:highlight w:val="none"/>
                      <w:lang w:val="en-US" w:eastAsia="zh-CN"/>
                    </w:rPr>
                    <w:t>占地</w:t>
                  </w:r>
                  <w:r>
                    <w:rPr>
                      <w:rFonts w:ascii="Times New Roman" w:hAnsi="Times New Roman"/>
                      <w:color w:val="auto"/>
                      <w:szCs w:val="21"/>
                      <w:highlight w:val="none"/>
                    </w:rPr>
                    <w:t>面积</w:t>
                  </w:r>
                  <w:r>
                    <w:rPr>
                      <w:rFonts w:hint="eastAsia" w:ascii="Times New Roman" w:hAnsi="Times New Roman"/>
                      <w:color w:val="auto"/>
                      <w:szCs w:val="21"/>
                      <w:highlight w:val="none"/>
                      <w:lang w:val="en-US" w:eastAsia="zh-CN"/>
                    </w:rPr>
                    <w:t>均约11</w:t>
                  </w:r>
                  <w:r>
                    <w:rPr>
                      <w:rFonts w:ascii="Times New Roman" w:hAnsi="Times New Roman"/>
                      <w:color w:val="auto"/>
                      <w:szCs w:val="21"/>
                      <w:highlight w:val="none"/>
                    </w:rPr>
                    <w:t>m</w:t>
                  </w:r>
                  <w:r>
                    <w:rPr>
                      <w:rFonts w:ascii="Times New Roman" w:hAnsi="Times New Roman"/>
                      <w:color w:val="auto"/>
                      <w:szCs w:val="21"/>
                      <w:highlight w:val="none"/>
                      <w:vertAlign w:val="superscript"/>
                    </w:rPr>
                    <w:t>2</w:t>
                  </w:r>
                  <w:r>
                    <w:rPr>
                      <w:rFonts w:ascii="Times New Roman" w:hAnsi="Times New Roman"/>
                      <w:color w:val="auto"/>
                      <w:szCs w:val="21"/>
                      <w:highlight w:val="none"/>
                      <w:lang w:val="zh-CN"/>
                    </w:rPr>
                    <w:t>，用于</w:t>
                  </w:r>
                  <w:r>
                    <w:rPr>
                      <w:rFonts w:hint="eastAsia" w:ascii="Times New Roman" w:hAnsi="Times New Roman"/>
                      <w:color w:val="auto"/>
                      <w:highlight w:val="none"/>
                      <w:lang w:val="en-US" w:eastAsia="zh-CN"/>
                    </w:rPr>
                    <w:t>钻孔管道等设施</w:t>
                  </w:r>
                  <w:r>
                    <w:rPr>
                      <w:rFonts w:ascii="Times New Roman" w:hAnsi="Times New Roman"/>
                      <w:color w:val="auto"/>
                      <w:highlight w:val="none"/>
                    </w:rPr>
                    <w:t>存放</w:t>
                  </w:r>
                </w:p>
              </w:tc>
            </w:tr>
            <w:tr w14:paraId="0A4DC8C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12950909">
                  <w:pPr>
                    <w:jc w:val="center"/>
                    <w:rPr>
                      <w:rFonts w:ascii="Times New Roman" w:hAnsi="Times New Roman"/>
                      <w:color w:val="auto"/>
                      <w:szCs w:val="21"/>
                    </w:rPr>
                  </w:pPr>
                </w:p>
              </w:tc>
              <w:tc>
                <w:tcPr>
                  <w:tcW w:w="1276" w:type="dxa"/>
                  <w:gridSpan w:val="2"/>
                  <w:noWrap w:val="0"/>
                  <w:vAlign w:val="center"/>
                </w:tcPr>
                <w:p w14:paraId="3E8427F0">
                  <w:pPr>
                    <w:jc w:val="center"/>
                    <w:rPr>
                      <w:rFonts w:hint="default" w:ascii="Times New Roman" w:hAnsi="Times New Roman"/>
                      <w:color w:val="auto"/>
                      <w:lang w:val="en-US" w:eastAsia="zh-CN"/>
                    </w:rPr>
                  </w:pPr>
                  <w:r>
                    <w:rPr>
                      <w:rFonts w:hint="eastAsia" w:ascii="Times New Roman" w:hAnsi="Times New Roman"/>
                      <w:color w:val="auto"/>
                    </w:rPr>
                    <w:t>蓄水池</w:t>
                  </w:r>
                </w:p>
              </w:tc>
              <w:tc>
                <w:tcPr>
                  <w:tcW w:w="5319" w:type="dxa"/>
                  <w:noWrap w:val="0"/>
                  <w:vAlign w:val="center"/>
                </w:tcPr>
                <w:p w14:paraId="7334AC40">
                  <w:pPr>
                    <w:keepNext w:val="0"/>
                    <w:keepLines w:val="0"/>
                    <w:pageBreakBefore w:val="0"/>
                    <w:widowControl w:val="0"/>
                    <w:kinsoku/>
                    <w:wordWrap/>
                    <w:overflowPunct/>
                    <w:topLinePunct w:val="0"/>
                    <w:bidi w:val="0"/>
                    <w:snapToGrid/>
                    <w:ind w:left="0" w:leftChars="0" w:right="0" w:rightChars="0"/>
                    <w:jc w:val="left"/>
                    <w:textAlignment w:val="auto"/>
                    <w:rPr>
                      <w:rFonts w:ascii="Times New Roman" w:hAnsi="Times New Roman"/>
                      <w:color w:val="auto"/>
                      <w:szCs w:val="21"/>
                      <w:lang w:val="zh-CN"/>
                    </w:rPr>
                  </w:pPr>
                  <w:r>
                    <w:rPr>
                      <w:rFonts w:ascii="Times New Roman" w:hAnsi="Times New Roman"/>
                      <w:color w:val="auto"/>
                      <w:szCs w:val="21"/>
                      <w:highlight w:val="none"/>
                    </w:rPr>
                    <w:t>本项目每个</w:t>
                  </w:r>
                  <w:r>
                    <w:rPr>
                      <w:rFonts w:hint="eastAsia" w:ascii="Times New Roman" w:hAnsi="Times New Roman"/>
                      <w:color w:val="auto"/>
                      <w:szCs w:val="21"/>
                      <w:highlight w:val="none"/>
                    </w:rPr>
                    <w:t>施工场地</w:t>
                  </w:r>
                  <w:r>
                    <w:rPr>
                      <w:rFonts w:hint="eastAsia" w:ascii="Times New Roman" w:hAnsi="Times New Roman"/>
                      <w:color w:val="auto"/>
                      <w:szCs w:val="21"/>
                      <w:highlight w:val="none"/>
                      <w:lang w:val="en-US" w:eastAsia="zh-CN"/>
                    </w:rPr>
                    <w:t>均</w:t>
                  </w:r>
                  <w:r>
                    <w:rPr>
                      <w:rFonts w:hint="eastAsia" w:ascii="Times New Roman" w:hAnsi="Times New Roman"/>
                      <w:color w:val="auto"/>
                      <w:szCs w:val="21"/>
                      <w:highlight w:val="none"/>
                    </w:rPr>
                    <w:t>设置一座</w:t>
                  </w:r>
                  <w:r>
                    <w:rPr>
                      <w:rFonts w:hint="eastAsia" w:ascii="Times New Roman" w:hAnsi="Times New Roman"/>
                      <w:color w:val="auto"/>
                      <w:szCs w:val="21"/>
                      <w:highlight w:val="none"/>
                      <w:lang w:eastAsia="zh-CN"/>
                    </w:rPr>
                    <w:t>储水池</w:t>
                  </w:r>
                  <w:r>
                    <w:rPr>
                      <w:rFonts w:hint="eastAsia" w:ascii="Times New Roman" w:hAnsi="Times New Roman"/>
                      <w:color w:val="auto"/>
                      <w:szCs w:val="21"/>
                      <w:highlight w:val="none"/>
                    </w:rPr>
                    <w:t>，</w:t>
                  </w:r>
                  <w:r>
                    <w:rPr>
                      <w:rFonts w:hint="eastAsia" w:ascii="Times New Roman" w:hAnsi="Times New Roman"/>
                      <w:color w:val="auto"/>
                      <w:szCs w:val="21"/>
                      <w:highlight w:val="none"/>
                      <w:lang w:val="en-US" w:eastAsia="zh-CN"/>
                    </w:rPr>
                    <w:t>总</w:t>
                  </w:r>
                  <w:r>
                    <w:rPr>
                      <w:rFonts w:hint="eastAsia"/>
                      <w:color w:val="auto"/>
                      <w:highlight w:val="none"/>
                    </w:rPr>
                    <w:t>容积</w:t>
                  </w:r>
                  <w:r>
                    <w:rPr>
                      <w:rFonts w:hint="default" w:ascii="Times New Roman" w:hAnsi="Times New Roman" w:cs="Times New Roman"/>
                      <w:color w:val="auto"/>
                      <w:highlight w:val="none"/>
                      <w:lang w:val="en-US" w:eastAsia="zh-CN"/>
                    </w:rPr>
                    <w:t>约1</w:t>
                  </w:r>
                  <w:r>
                    <w:rPr>
                      <w:rFonts w:hint="default" w:ascii="Times New Roman" w:hAnsi="Times New Roman" w:cs="Times New Roman"/>
                      <w:color w:val="auto"/>
                      <w:highlight w:val="none"/>
                    </w:rPr>
                    <w:t>0m</w:t>
                  </w:r>
                  <w:r>
                    <w:rPr>
                      <w:rFonts w:hint="default" w:ascii="Times New Roman" w:hAnsi="Times New Roman" w:cs="Times New Roman"/>
                      <w:color w:val="auto"/>
                      <w:highlight w:val="none"/>
                      <w:vertAlign w:val="superscript"/>
                    </w:rPr>
                    <w:t>3</w:t>
                  </w:r>
                  <w:r>
                    <w:rPr>
                      <w:rFonts w:hint="eastAsia"/>
                      <w:color w:val="auto"/>
                      <w:highlight w:val="none"/>
                    </w:rPr>
                    <w:t>，用于施工过程中用水存储。</w:t>
                  </w:r>
                </w:p>
              </w:tc>
            </w:tr>
            <w:tr w14:paraId="651A86A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5" w:hRule="atLeast"/>
              </w:trPr>
              <w:tc>
                <w:tcPr>
                  <w:tcW w:w="1236" w:type="dxa"/>
                  <w:vMerge w:val="restart"/>
                  <w:noWrap w:val="0"/>
                  <w:vAlign w:val="center"/>
                </w:tcPr>
                <w:p w14:paraId="6977C909">
                  <w:pPr>
                    <w:jc w:val="center"/>
                    <w:rPr>
                      <w:rFonts w:ascii="Times New Roman" w:hAnsi="Times New Roman"/>
                      <w:color w:val="auto"/>
                      <w:szCs w:val="21"/>
                    </w:rPr>
                  </w:pPr>
                  <w:r>
                    <w:rPr>
                      <w:rFonts w:ascii="Times New Roman" w:hAnsi="Times New Roman"/>
                      <w:color w:val="auto"/>
                      <w:szCs w:val="21"/>
                    </w:rPr>
                    <w:t>公用工程</w:t>
                  </w:r>
                </w:p>
              </w:tc>
              <w:tc>
                <w:tcPr>
                  <w:tcW w:w="1276" w:type="dxa"/>
                  <w:gridSpan w:val="2"/>
                  <w:noWrap w:val="0"/>
                  <w:vAlign w:val="center"/>
                </w:tcPr>
                <w:p w14:paraId="5B4CF9F0">
                  <w:pPr>
                    <w:jc w:val="center"/>
                    <w:rPr>
                      <w:rFonts w:ascii="Times New Roman" w:hAnsi="Times New Roman"/>
                      <w:color w:val="auto"/>
                      <w:szCs w:val="21"/>
                    </w:rPr>
                  </w:pPr>
                  <w:r>
                    <w:rPr>
                      <w:rFonts w:ascii="Times New Roman" w:hAnsi="Times New Roman"/>
                      <w:color w:val="auto"/>
                      <w:szCs w:val="21"/>
                    </w:rPr>
                    <w:t>供电</w:t>
                  </w:r>
                </w:p>
              </w:tc>
              <w:tc>
                <w:tcPr>
                  <w:tcW w:w="5319" w:type="dxa"/>
                  <w:noWrap w:val="0"/>
                  <w:vAlign w:val="center"/>
                </w:tcPr>
                <w:p w14:paraId="56F153B9">
                  <w:pPr>
                    <w:keepNext w:val="0"/>
                    <w:keepLines w:val="0"/>
                    <w:pageBreakBefore w:val="0"/>
                    <w:widowControl w:val="0"/>
                    <w:kinsoku/>
                    <w:wordWrap/>
                    <w:overflowPunct/>
                    <w:topLinePunct w:val="0"/>
                    <w:bidi w:val="0"/>
                    <w:snapToGrid/>
                    <w:ind w:left="0" w:leftChars="0" w:right="0" w:rightChars="0"/>
                    <w:textAlignment w:val="auto"/>
                    <w:rPr>
                      <w:rFonts w:ascii="Times New Roman" w:hAnsi="Times New Roman"/>
                      <w:color w:val="auto"/>
                      <w:szCs w:val="21"/>
                    </w:rPr>
                  </w:pPr>
                  <w:r>
                    <w:rPr>
                      <w:rFonts w:hint="eastAsia" w:ascii="Times New Roman" w:hAnsi="Times New Roman"/>
                      <w:color w:val="auto"/>
                      <w:szCs w:val="21"/>
                      <w:highlight w:val="none"/>
                    </w:rPr>
                    <w:t>本项目供电由附近村庄现有供电电网供给，项目现场</w:t>
                  </w:r>
                  <w:r>
                    <w:rPr>
                      <w:rFonts w:hint="eastAsia" w:ascii="Times New Roman" w:hAnsi="Times New Roman"/>
                      <w:color w:val="auto"/>
                      <w:szCs w:val="21"/>
                      <w:highlight w:val="none"/>
                      <w:lang w:val="en-US" w:eastAsia="zh-CN"/>
                    </w:rPr>
                    <w:t>不设有</w:t>
                  </w:r>
                  <w:r>
                    <w:rPr>
                      <w:rFonts w:hint="eastAsia" w:ascii="Times New Roman" w:hAnsi="Times New Roman"/>
                      <w:color w:val="auto"/>
                      <w:szCs w:val="21"/>
                      <w:highlight w:val="none"/>
                    </w:rPr>
                    <w:t>柴油</w:t>
                  </w:r>
                  <w:r>
                    <w:rPr>
                      <w:rFonts w:hint="eastAsia" w:ascii="Times New Roman" w:hAnsi="Times New Roman"/>
                      <w:color w:val="auto"/>
                      <w:szCs w:val="21"/>
                      <w:highlight w:val="none"/>
                      <w:lang w:val="en-US" w:eastAsia="zh-CN"/>
                    </w:rPr>
                    <w:t>发电设施</w:t>
                  </w:r>
                  <w:r>
                    <w:rPr>
                      <w:rFonts w:hint="eastAsia" w:ascii="Times New Roman" w:hAnsi="Times New Roman"/>
                      <w:color w:val="auto"/>
                      <w:szCs w:val="21"/>
                      <w:highlight w:val="none"/>
                    </w:rPr>
                    <w:t>。</w:t>
                  </w:r>
                </w:p>
              </w:tc>
            </w:tr>
            <w:tr w14:paraId="44FAAF1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42A5A12C">
                  <w:pPr>
                    <w:jc w:val="center"/>
                    <w:rPr>
                      <w:rFonts w:ascii="Times New Roman" w:hAnsi="Times New Roman"/>
                      <w:color w:val="auto"/>
                      <w:szCs w:val="21"/>
                      <w:highlight w:val="yellow"/>
                    </w:rPr>
                  </w:pPr>
                </w:p>
              </w:tc>
              <w:tc>
                <w:tcPr>
                  <w:tcW w:w="1276" w:type="dxa"/>
                  <w:gridSpan w:val="2"/>
                  <w:noWrap w:val="0"/>
                  <w:vAlign w:val="center"/>
                </w:tcPr>
                <w:p w14:paraId="0EDBBF1B">
                  <w:pPr>
                    <w:jc w:val="center"/>
                    <w:rPr>
                      <w:rFonts w:ascii="Times New Roman" w:hAnsi="Times New Roman"/>
                      <w:color w:val="auto"/>
                      <w:szCs w:val="21"/>
                    </w:rPr>
                  </w:pPr>
                  <w:r>
                    <w:rPr>
                      <w:rFonts w:ascii="Times New Roman" w:hAnsi="Times New Roman"/>
                      <w:color w:val="auto"/>
                      <w:szCs w:val="21"/>
                    </w:rPr>
                    <w:t>供水</w:t>
                  </w:r>
                </w:p>
              </w:tc>
              <w:tc>
                <w:tcPr>
                  <w:tcW w:w="5319" w:type="dxa"/>
                  <w:noWrap w:val="0"/>
                  <w:vAlign w:val="center"/>
                </w:tcPr>
                <w:p w14:paraId="6BCB319F">
                  <w:pPr>
                    <w:rPr>
                      <w:rFonts w:ascii="Times New Roman" w:hAnsi="Times New Roman"/>
                      <w:color w:val="auto"/>
                      <w:szCs w:val="21"/>
                    </w:rPr>
                  </w:pPr>
                  <w:r>
                    <w:rPr>
                      <w:rFonts w:ascii="Times New Roman" w:hAnsi="Times New Roman"/>
                      <w:color w:val="auto"/>
                      <w:szCs w:val="21"/>
                      <w:highlight w:val="none"/>
                    </w:rPr>
                    <w:t>施工用水依托井场周边村庄，采用罐车拉运生产用水，每个</w:t>
                  </w:r>
                  <w:r>
                    <w:rPr>
                      <w:rFonts w:hint="eastAsia" w:ascii="Times New Roman" w:hAnsi="Times New Roman"/>
                      <w:color w:val="auto"/>
                      <w:szCs w:val="21"/>
                      <w:highlight w:val="none"/>
                    </w:rPr>
                    <w:t>施工场地</w:t>
                  </w:r>
                  <w:r>
                    <w:rPr>
                      <w:rFonts w:hint="eastAsia" w:ascii="Times New Roman" w:hAnsi="Times New Roman"/>
                      <w:color w:val="auto"/>
                      <w:szCs w:val="21"/>
                      <w:highlight w:val="none"/>
                      <w:lang w:val="en-US" w:eastAsia="zh-CN"/>
                    </w:rPr>
                    <w:t>均</w:t>
                  </w:r>
                  <w:r>
                    <w:rPr>
                      <w:rFonts w:hint="eastAsia" w:ascii="Times New Roman" w:hAnsi="Times New Roman"/>
                      <w:color w:val="auto"/>
                      <w:szCs w:val="21"/>
                      <w:highlight w:val="none"/>
                    </w:rPr>
                    <w:t>设置一座</w:t>
                  </w:r>
                  <w:r>
                    <w:rPr>
                      <w:rFonts w:hint="eastAsia" w:ascii="Times New Roman" w:hAnsi="Times New Roman"/>
                      <w:color w:val="auto"/>
                      <w:szCs w:val="21"/>
                      <w:highlight w:val="none"/>
                      <w:lang w:eastAsia="zh-CN"/>
                    </w:rPr>
                    <w:t>储水池</w:t>
                  </w:r>
                  <w:r>
                    <w:rPr>
                      <w:rFonts w:hint="eastAsia" w:ascii="Times New Roman" w:hAnsi="Times New Roman"/>
                      <w:color w:val="auto"/>
                      <w:szCs w:val="21"/>
                      <w:highlight w:val="none"/>
                    </w:rPr>
                    <w:t>，</w:t>
                  </w:r>
                  <w:r>
                    <w:rPr>
                      <w:rFonts w:hint="eastAsia"/>
                      <w:color w:val="auto"/>
                      <w:highlight w:val="none"/>
                    </w:rPr>
                    <w:t>容</w:t>
                  </w:r>
                  <w:r>
                    <w:rPr>
                      <w:rFonts w:ascii="Times New Roman" w:hAnsi="Times New Roman"/>
                      <w:color w:val="auto"/>
                      <w:highlight w:val="none"/>
                    </w:rPr>
                    <w:t>积</w:t>
                  </w:r>
                  <w:r>
                    <w:rPr>
                      <w:rFonts w:hint="eastAsia" w:ascii="Times New Roman" w:hAnsi="Times New Roman"/>
                      <w:color w:val="auto"/>
                      <w:highlight w:val="none"/>
                      <w:lang w:val="en-US" w:eastAsia="zh-CN"/>
                    </w:rPr>
                    <w:t>1</w:t>
                  </w:r>
                  <w:r>
                    <w:rPr>
                      <w:rFonts w:ascii="Times New Roman" w:hAnsi="Times New Roman"/>
                      <w:color w:val="auto"/>
                      <w:highlight w:val="none"/>
                    </w:rPr>
                    <w:t>0m</w:t>
                  </w:r>
                  <w:r>
                    <w:rPr>
                      <w:rFonts w:ascii="Times New Roman" w:hAnsi="Times New Roman"/>
                      <w:color w:val="auto"/>
                      <w:highlight w:val="none"/>
                      <w:vertAlign w:val="superscript"/>
                    </w:rPr>
                    <w:t>3</w:t>
                  </w:r>
                  <w:r>
                    <w:rPr>
                      <w:rFonts w:hint="eastAsia"/>
                      <w:color w:val="auto"/>
                      <w:highlight w:val="none"/>
                    </w:rPr>
                    <w:t>，用于施工过程中用水存储，</w:t>
                  </w:r>
                  <w:r>
                    <w:rPr>
                      <w:rFonts w:ascii="Times New Roman" w:hAnsi="Times New Roman"/>
                      <w:color w:val="auto"/>
                      <w:szCs w:val="21"/>
                      <w:highlight w:val="none"/>
                    </w:rPr>
                    <w:t>生活用水为桶装纯净水。</w:t>
                  </w:r>
                </w:p>
              </w:tc>
            </w:tr>
            <w:tr w14:paraId="0662D09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restart"/>
                  <w:noWrap w:val="0"/>
                  <w:vAlign w:val="center"/>
                </w:tcPr>
                <w:p w14:paraId="30EFE13F">
                  <w:pPr>
                    <w:jc w:val="center"/>
                    <w:rPr>
                      <w:rFonts w:ascii="Times New Roman" w:hAnsi="Times New Roman"/>
                      <w:color w:val="auto"/>
                      <w:szCs w:val="21"/>
                    </w:rPr>
                  </w:pPr>
                  <w:r>
                    <w:rPr>
                      <w:rFonts w:ascii="Times New Roman" w:hAnsi="Times New Roman"/>
                      <w:color w:val="auto"/>
                      <w:szCs w:val="21"/>
                    </w:rPr>
                    <w:t>环保工程</w:t>
                  </w:r>
                </w:p>
              </w:tc>
              <w:tc>
                <w:tcPr>
                  <w:tcW w:w="1276" w:type="dxa"/>
                  <w:gridSpan w:val="2"/>
                  <w:noWrap w:val="0"/>
                  <w:vAlign w:val="center"/>
                </w:tcPr>
                <w:p w14:paraId="2167A214">
                  <w:pPr>
                    <w:jc w:val="center"/>
                    <w:rPr>
                      <w:rFonts w:ascii="Times New Roman" w:hAnsi="Times New Roman"/>
                      <w:color w:val="auto"/>
                      <w:szCs w:val="21"/>
                    </w:rPr>
                  </w:pPr>
                  <w:r>
                    <w:rPr>
                      <w:rFonts w:ascii="Times New Roman" w:hAnsi="Times New Roman"/>
                      <w:color w:val="auto"/>
                      <w:szCs w:val="21"/>
                    </w:rPr>
                    <w:t>废气</w:t>
                  </w:r>
                </w:p>
              </w:tc>
              <w:tc>
                <w:tcPr>
                  <w:tcW w:w="5319" w:type="dxa"/>
                  <w:noWrap w:val="0"/>
                  <w:vAlign w:val="center"/>
                </w:tcPr>
                <w:p w14:paraId="2908B2B7">
                  <w:pPr>
                    <w:keepNext w:val="0"/>
                    <w:keepLines w:val="0"/>
                    <w:pageBreakBefore w:val="0"/>
                    <w:widowControl w:val="0"/>
                    <w:kinsoku/>
                    <w:wordWrap/>
                    <w:overflowPunct/>
                    <w:topLinePunct w:val="0"/>
                    <w:bidi w:val="0"/>
                    <w:snapToGrid/>
                    <w:ind w:left="0" w:leftChars="0" w:right="0" w:rightChars="0"/>
                    <w:textAlignment w:val="auto"/>
                    <w:rPr>
                      <w:rFonts w:ascii="Times New Roman" w:hAnsi="Times New Roman"/>
                      <w:color w:val="auto"/>
                      <w:szCs w:val="21"/>
                    </w:rPr>
                  </w:pPr>
                  <w:r>
                    <w:rPr>
                      <w:rFonts w:ascii="Times New Roman" w:hAnsi="Times New Roman"/>
                      <w:color w:val="auto"/>
                      <w:szCs w:val="21"/>
                      <w:highlight w:val="none"/>
                    </w:rPr>
                    <w:t>施工期影响主要为施工扬尘、机械尾气等。通过加强施工机械、车辆管理，进行物料覆盖，对施工道路进行固化、洒水处理等措施，施工现场扬尘污染防治应做到</w:t>
                  </w:r>
                  <w:r>
                    <w:rPr>
                      <w:rFonts w:hint="eastAsia" w:ascii="Times New Roman" w:hAnsi="Times New Roman"/>
                      <w:color w:val="auto"/>
                      <w:szCs w:val="21"/>
                      <w:highlight w:val="none"/>
                      <w:lang w:eastAsia="zh-CN"/>
                    </w:rPr>
                    <w:t>“</w:t>
                  </w:r>
                  <w:r>
                    <w:rPr>
                      <w:rFonts w:ascii="Times New Roman" w:hAnsi="Times New Roman"/>
                      <w:color w:val="auto"/>
                      <w:szCs w:val="21"/>
                      <w:highlight w:val="none"/>
                    </w:rPr>
                    <w:t>六个百分之百</w:t>
                  </w:r>
                  <w:r>
                    <w:rPr>
                      <w:rFonts w:hint="eastAsia" w:ascii="Times New Roman" w:hAnsi="Times New Roman"/>
                      <w:color w:val="auto"/>
                      <w:szCs w:val="21"/>
                      <w:highlight w:val="none"/>
                      <w:lang w:eastAsia="zh-CN"/>
                    </w:rPr>
                    <w:t>”</w:t>
                  </w:r>
                  <w:r>
                    <w:rPr>
                      <w:rFonts w:ascii="Times New Roman" w:hAnsi="Times New Roman"/>
                      <w:color w:val="auto"/>
                      <w:szCs w:val="21"/>
                      <w:highlight w:val="none"/>
                    </w:rPr>
                    <w:t>，减少对周边空气环境的影响。</w:t>
                  </w:r>
                </w:p>
              </w:tc>
            </w:tr>
            <w:tr w14:paraId="7B47813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4661816A">
                  <w:pPr>
                    <w:jc w:val="center"/>
                    <w:rPr>
                      <w:rFonts w:ascii="Times New Roman" w:hAnsi="Times New Roman"/>
                      <w:color w:val="auto"/>
                      <w:szCs w:val="21"/>
                    </w:rPr>
                  </w:pPr>
                </w:p>
              </w:tc>
              <w:tc>
                <w:tcPr>
                  <w:tcW w:w="1276" w:type="dxa"/>
                  <w:gridSpan w:val="2"/>
                  <w:noWrap w:val="0"/>
                  <w:vAlign w:val="center"/>
                </w:tcPr>
                <w:p w14:paraId="77817779">
                  <w:pPr>
                    <w:jc w:val="center"/>
                    <w:rPr>
                      <w:rFonts w:ascii="Times New Roman" w:hAnsi="Times New Roman"/>
                      <w:color w:val="auto"/>
                      <w:szCs w:val="21"/>
                    </w:rPr>
                  </w:pPr>
                  <w:r>
                    <w:rPr>
                      <w:rFonts w:ascii="Times New Roman" w:hAnsi="Times New Roman"/>
                      <w:color w:val="auto"/>
                      <w:szCs w:val="21"/>
                    </w:rPr>
                    <w:t>废水</w:t>
                  </w:r>
                </w:p>
              </w:tc>
              <w:tc>
                <w:tcPr>
                  <w:tcW w:w="5319" w:type="dxa"/>
                  <w:noWrap w:val="0"/>
                  <w:vAlign w:val="center"/>
                </w:tcPr>
                <w:p w14:paraId="1198FE95">
                  <w:pPr>
                    <w:keepNext w:val="0"/>
                    <w:keepLines w:val="0"/>
                    <w:pageBreakBefore w:val="0"/>
                    <w:widowControl w:val="0"/>
                    <w:kinsoku/>
                    <w:wordWrap/>
                    <w:overflowPunct/>
                    <w:topLinePunct w:val="0"/>
                    <w:bidi w:val="0"/>
                    <w:snapToGrid/>
                    <w:ind w:left="0" w:leftChars="0" w:right="0" w:rightChars="0"/>
                    <w:textAlignment w:val="auto"/>
                    <w:rPr>
                      <w:rFonts w:ascii="Times New Roman" w:hAnsi="Times New Roman"/>
                      <w:color w:val="auto"/>
                      <w:szCs w:val="21"/>
                      <w:highlight w:val="none"/>
                    </w:rPr>
                  </w:pPr>
                  <w:r>
                    <w:rPr>
                      <w:rFonts w:ascii="Times New Roman" w:hAnsi="Times New Roman"/>
                      <w:color w:val="auto"/>
                      <w:szCs w:val="21"/>
                      <w:highlight w:val="none"/>
                    </w:rPr>
                    <w:t>项目区不设置员工食宿，员工食宿依托附近村庄，</w:t>
                  </w:r>
                  <w:r>
                    <w:rPr>
                      <w:rFonts w:hint="eastAsia" w:ascii="Times New Roman" w:hAnsi="Times New Roman"/>
                      <w:color w:val="auto"/>
                      <w:szCs w:val="21"/>
                    </w:rPr>
                    <w:t>生活污水经化粪池预处理后委托清掏单位定期清掏处理，</w:t>
                  </w:r>
                  <w:r>
                    <w:rPr>
                      <w:rFonts w:hint="eastAsia" w:ascii="Times New Roman" w:hAnsi="Times New Roman"/>
                      <w:color w:val="auto"/>
                      <w:szCs w:val="21"/>
                      <w:highlight w:val="none"/>
                    </w:rPr>
                    <w:t>不外排，</w:t>
                  </w:r>
                  <w:r>
                    <w:rPr>
                      <w:rFonts w:ascii="Times New Roman" w:hAnsi="Times New Roman"/>
                      <w:color w:val="auto"/>
                      <w:szCs w:val="21"/>
                      <w:highlight w:val="none"/>
                    </w:rPr>
                    <w:t>用于当地农作物施肥。</w:t>
                  </w:r>
                </w:p>
                <w:p w14:paraId="6F1712E7">
                  <w:pPr>
                    <w:keepNext w:val="0"/>
                    <w:keepLines w:val="0"/>
                    <w:pageBreakBefore w:val="0"/>
                    <w:widowControl w:val="0"/>
                    <w:kinsoku/>
                    <w:wordWrap/>
                    <w:overflowPunct/>
                    <w:topLinePunct w:val="0"/>
                    <w:bidi w:val="0"/>
                    <w:snapToGrid/>
                    <w:ind w:left="0" w:leftChars="0" w:right="0" w:rightChars="0"/>
                    <w:textAlignment w:val="auto"/>
                    <w:rPr>
                      <w:rFonts w:ascii="Times New Roman" w:hAnsi="Times New Roman"/>
                      <w:color w:val="auto"/>
                      <w:szCs w:val="21"/>
                    </w:rPr>
                  </w:pPr>
                  <w:r>
                    <w:rPr>
                      <w:rFonts w:ascii="Times New Roman" w:hAnsi="Times New Roman"/>
                      <w:color w:val="auto"/>
                      <w:szCs w:val="21"/>
                      <w:highlight w:val="none"/>
                    </w:rPr>
                    <w:t>项目实施钻井仅为施工期</w:t>
                  </w:r>
                  <w:r>
                    <w:rPr>
                      <w:rFonts w:hint="eastAsia" w:ascii="Times New Roman" w:hAnsi="Times New Roman"/>
                      <w:color w:val="auto"/>
                      <w:szCs w:val="21"/>
                      <w:highlight w:val="none"/>
                    </w:rPr>
                    <w:t>，</w:t>
                  </w:r>
                  <w:r>
                    <w:rPr>
                      <w:rFonts w:ascii="Times New Roman" w:hAnsi="Times New Roman"/>
                      <w:color w:val="auto"/>
                      <w:szCs w:val="21"/>
                      <w:highlight w:val="none"/>
                    </w:rPr>
                    <w:t>每个井场</w:t>
                  </w:r>
                  <w:r>
                    <w:rPr>
                      <w:rFonts w:hint="eastAsia" w:ascii="Times New Roman" w:hAnsi="Times New Roman"/>
                      <w:color w:val="auto"/>
                      <w:szCs w:val="21"/>
                      <w:highlight w:val="none"/>
                    </w:rPr>
                    <w:t>需对</w:t>
                  </w:r>
                  <w:r>
                    <w:rPr>
                      <w:rFonts w:hint="eastAsia" w:ascii="Times New Roman" w:hAnsi="Times New Roman"/>
                      <w:color w:val="auto"/>
                      <w:szCs w:val="21"/>
                      <w:highlight w:val="none"/>
                      <w:lang w:val="en-US" w:eastAsia="zh-CN"/>
                    </w:rPr>
                    <w:t>进出</w:t>
                  </w:r>
                  <w:r>
                    <w:rPr>
                      <w:rFonts w:ascii="Times New Roman" w:hAnsi="Times New Roman"/>
                      <w:color w:val="auto"/>
                      <w:szCs w:val="21"/>
                      <w:highlight w:val="none"/>
                    </w:rPr>
                    <w:t>车辆冲洗，配套建设容积</w:t>
                  </w:r>
                  <w:r>
                    <w:rPr>
                      <w:rFonts w:hint="eastAsia" w:ascii="Times New Roman" w:hAnsi="Times New Roman"/>
                      <w:color w:val="auto"/>
                      <w:szCs w:val="21"/>
                      <w:highlight w:val="none"/>
                      <w:lang w:val="en-US" w:eastAsia="zh-CN"/>
                    </w:rPr>
                    <w:t>约8</w:t>
                  </w:r>
                  <w:r>
                    <w:rPr>
                      <w:rFonts w:ascii="Times New Roman" w:hAnsi="Times New Roman"/>
                      <w:color w:val="auto"/>
                      <w:szCs w:val="21"/>
                      <w:highlight w:val="none"/>
                    </w:rPr>
                    <w:t>m</w:t>
                  </w:r>
                  <w:r>
                    <w:rPr>
                      <w:rFonts w:ascii="Times New Roman" w:hAnsi="Times New Roman"/>
                      <w:color w:val="auto"/>
                      <w:szCs w:val="21"/>
                      <w:highlight w:val="none"/>
                      <w:vertAlign w:val="superscript"/>
                    </w:rPr>
                    <w:t>3</w:t>
                  </w:r>
                  <w:r>
                    <w:rPr>
                      <w:rFonts w:ascii="Times New Roman" w:hAnsi="Times New Roman"/>
                      <w:color w:val="auto"/>
                      <w:szCs w:val="21"/>
                      <w:highlight w:val="none"/>
                    </w:rPr>
                    <w:t>循环沉淀池，车辆清洗废水经沉淀池沉淀后循环使用，不外排；每个井场钻探废水设1个</w:t>
                  </w:r>
                  <w:r>
                    <w:rPr>
                      <w:rFonts w:hint="eastAsia" w:ascii="Times New Roman" w:hAnsi="Times New Roman"/>
                      <w:color w:val="auto"/>
                      <w:szCs w:val="21"/>
                      <w:highlight w:val="none"/>
                      <w:lang w:val="en-US" w:eastAsia="zh-CN"/>
                    </w:rPr>
                    <w:t>泥浆</w:t>
                  </w:r>
                  <w:r>
                    <w:rPr>
                      <w:rFonts w:ascii="Times New Roman" w:hAnsi="Times New Roman"/>
                      <w:color w:val="auto"/>
                      <w:szCs w:val="21"/>
                      <w:highlight w:val="none"/>
                    </w:rPr>
                    <w:t>池，容积</w:t>
                  </w:r>
                  <w:r>
                    <w:rPr>
                      <w:rFonts w:hint="eastAsia" w:ascii="Times New Roman" w:hAnsi="Times New Roman"/>
                      <w:color w:val="auto"/>
                      <w:szCs w:val="21"/>
                      <w:highlight w:val="none"/>
                      <w:lang w:val="en-US" w:eastAsia="zh-CN"/>
                    </w:rPr>
                    <w:t>约36</w:t>
                  </w:r>
                  <w:r>
                    <w:rPr>
                      <w:rFonts w:ascii="Times New Roman" w:hAnsi="Times New Roman"/>
                      <w:color w:val="auto"/>
                      <w:szCs w:val="21"/>
                      <w:highlight w:val="none"/>
                    </w:rPr>
                    <w:t>m</w:t>
                  </w:r>
                  <w:r>
                    <w:rPr>
                      <w:rFonts w:ascii="Times New Roman" w:hAnsi="Times New Roman"/>
                      <w:color w:val="auto"/>
                      <w:szCs w:val="21"/>
                      <w:highlight w:val="none"/>
                      <w:vertAlign w:val="superscript"/>
                    </w:rPr>
                    <w:t>3</w:t>
                  </w:r>
                  <w:r>
                    <w:rPr>
                      <w:rFonts w:ascii="Times New Roman" w:hAnsi="Times New Roman"/>
                      <w:color w:val="auto"/>
                      <w:szCs w:val="21"/>
                      <w:highlight w:val="none"/>
                    </w:rPr>
                    <w:t>，设1个干化池，容积</w:t>
                  </w:r>
                  <w:r>
                    <w:rPr>
                      <w:rFonts w:hint="eastAsia" w:ascii="Times New Roman" w:hAnsi="Times New Roman"/>
                      <w:color w:val="auto"/>
                      <w:szCs w:val="21"/>
                      <w:highlight w:val="none"/>
                      <w:lang w:val="en-US" w:eastAsia="zh-CN"/>
                    </w:rPr>
                    <w:t>36</w:t>
                  </w:r>
                  <w:r>
                    <w:rPr>
                      <w:rFonts w:ascii="Times New Roman" w:hAnsi="Times New Roman"/>
                      <w:color w:val="auto"/>
                      <w:szCs w:val="21"/>
                      <w:highlight w:val="none"/>
                    </w:rPr>
                    <w:t>m</w:t>
                  </w:r>
                  <w:r>
                    <w:rPr>
                      <w:rFonts w:ascii="Times New Roman" w:hAnsi="Times New Roman"/>
                      <w:color w:val="auto"/>
                      <w:szCs w:val="21"/>
                      <w:highlight w:val="none"/>
                      <w:vertAlign w:val="superscript"/>
                    </w:rPr>
                    <w:t>3</w:t>
                  </w:r>
                  <w:r>
                    <w:rPr>
                      <w:rFonts w:ascii="Times New Roman" w:hAnsi="Times New Roman"/>
                      <w:color w:val="auto"/>
                      <w:szCs w:val="21"/>
                      <w:highlight w:val="none"/>
                    </w:rPr>
                    <w:t>，钻探废水经沉淀后回用于钻探</w:t>
                  </w:r>
                  <w:r>
                    <w:rPr>
                      <w:rFonts w:hint="eastAsia" w:ascii="Times New Roman" w:hAnsi="Times New Roman"/>
                      <w:color w:val="auto"/>
                      <w:szCs w:val="21"/>
                      <w:highlight w:val="none"/>
                    </w:rPr>
                    <w:t>工序</w:t>
                  </w:r>
                  <w:r>
                    <w:rPr>
                      <w:rFonts w:hint="eastAsia" w:ascii="Times New Roman" w:hAnsi="Times New Roman"/>
                      <w:color w:val="auto"/>
                      <w:szCs w:val="21"/>
                      <w:highlight w:val="none"/>
                      <w:lang w:eastAsia="zh-CN"/>
                    </w:rPr>
                    <w:t>。</w:t>
                  </w:r>
                </w:p>
              </w:tc>
            </w:tr>
            <w:tr w14:paraId="2FA9F0B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4A695FFF">
                  <w:pPr>
                    <w:jc w:val="center"/>
                    <w:rPr>
                      <w:rFonts w:ascii="Times New Roman" w:hAnsi="Times New Roman"/>
                      <w:color w:val="auto"/>
                      <w:szCs w:val="21"/>
                    </w:rPr>
                  </w:pPr>
                </w:p>
              </w:tc>
              <w:tc>
                <w:tcPr>
                  <w:tcW w:w="1276" w:type="dxa"/>
                  <w:gridSpan w:val="2"/>
                  <w:noWrap w:val="0"/>
                  <w:vAlign w:val="center"/>
                </w:tcPr>
                <w:p w14:paraId="03FC08FB">
                  <w:pPr>
                    <w:jc w:val="center"/>
                    <w:rPr>
                      <w:rFonts w:ascii="Times New Roman" w:hAnsi="Times New Roman"/>
                      <w:color w:val="auto"/>
                      <w:szCs w:val="21"/>
                      <w:highlight w:val="yellow"/>
                    </w:rPr>
                  </w:pPr>
                  <w:r>
                    <w:rPr>
                      <w:rFonts w:ascii="Times New Roman" w:hAnsi="Times New Roman"/>
                      <w:color w:val="auto"/>
                      <w:szCs w:val="21"/>
                    </w:rPr>
                    <w:t>噪声</w:t>
                  </w:r>
                </w:p>
              </w:tc>
              <w:tc>
                <w:tcPr>
                  <w:tcW w:w="5319" w:type="dxa"/>
                  <w:noWrap w:val="0"/>
                  <w:vAlign w:val="center"/>
                </w:tcPr>
                <w:p w14:paraId="66EB6ACA">
                  <w:pPr>
                    <w:rPr>
                      <w:rFonts w:ascii="Times New Roman" w:hAnsi="Times New Roman"/>
                      <w:color w:val="auto"/>
                      <w:szCs w:val="21"/>
                    </w:rPr>
                  </w:pPr>
                  <w:r>
                    <w:rPr>
                      <w:rFonts w:ascii="Times New Roman" w:hAnsi="Times New Roman"/>
                      <w:color w:val="auto"/>
                      <w:szCs w:val="21"/>
                      <w:highlight w:val="none"/>
                    </w:rPr>
                    <w:t>选用低噪声设备，合理布置施工机械，合理安排施工时间，加强施工管理，设置施工围墙、降噪安全围帘等，项目</w:t>
                  </w:r>
                  <w:r>
                    <w:rPr>
                      <w:rFonts w:hint="eastAsia" w:ascii="Times New Roman" w:hAnsi="Times New Roman"/>
                      <w:color w:val="auto"/>
                      <w:szCs w:val="21"/>
                      <w:highlight w:val="none"/>
                    </w:rPr>
                    <w:t>井场</w:t>
                  </w:r>
                  <w:r>
                    <w:rPr>
                      <w:rFonts w:ascii="Times New Roman" w:hAnsi="Times New Roman"/>
                      <w:color w:val="auto"/>
                      <w:szCs w:val="21"/>
                      <w:highlight w:val="none"/>
                    </w:rPr>
                    <w:t>周边布置隔声屏等，可有效降低对周边敏感点的影响</w:t>
                  </w:r>
                  <w:r>
                    <w:rPr>
                      <w:rFonts w:ascii="Times New Roman" w:hAnsi="Times New Roman"/>
                      <w:bCs/>
                      <w:color w:val="auto"/>
                      <w:szCs w:val="21"/>
                      <w:highlight w:val="none"/>
                    </w:rPr>
                    <w:t>。</w:t>
                  </w:r>
                </w:p>
              </w:tc>
            </w:tr>
            <w:tr w14:paraId="3FC2721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647BD431">
                  <w:pPr>
                    <w:jc w:val="center"/>
                    <w:rPr>
                      <w:rFonts w:ascii="Times New Roman" w:hAnsi="Times New Roman"/>
                      <w:color w:val="auto"/>
                      <w:szCs w:val="21"/>
                    </w:rPr>
                  </w:pPr>
                </w:p>
              </w:tc>
              <w:tc>
                <w:tcPr>
                  <w:tcW w:w="1276" w:type="dxa"/>
                  <w:gridSpan w:val="2"/>
                  <w:noWrap w:val="0"/>
                  <w:vAlign w:val="center"/>
                </w:tcPr>
                <w:p w14:paraId="1742DE6F">
                  <w:pPr>
                    <w:jc w:val="center"/>
                    <w:rPr>
                      <w:rFonts w:ascii="Times New Roman" w:hAnsi="Times New Roman"/>
                      <w:color w:val="auto"/>
                      <w:szCs w:val="21"/>
                    </w:rPr>
                  </w:pPr>
                  <w:r>
                    <w:rPr>
                      <w:rFonts w:ascii="Times New Roman" w:hAnsi="Times New Roman"/>
                      <w:color w:val="auto"/>
                      <w:szCs w:val="21"/>
                    </w:rPr>
                    <w:t>固体废弃物</w:t>
                  </w:r>
                </w:p>
              </w:tc>
              <w:tc>
                <w:tcPr>
                  <w:tcW w:w="5319" w:type="dxa"/>
                  <w:noWrap w:val="0"/>
                  <w:vAlign w:val="center"/>
                </w:tcPr>
                <w:p w14:paraId="1CC0EAF0">
                  <w:pPr>
                    <w:rPr>
                      <w:rFonts w:ascii="Times New Roman" w:hAnsi="Times New Roman"/>
                      <w:color w:val="auto"/>
                      <w:szCs w:val="21"/>
                    </w:rPr>
                  </w:pPr>
                  <w:r>
                    <w:rPr>
                      <w:rFonts w:ascii="Times New Roman" w:hAnsi="Times New Roman"/>
                      <w:color w:val="auto"/>
                      <w:szCs w:val="21"/>
                      <w:highlight w:val="none"/>
                    </w:rPr>
                    <w:t>施工结束后，开挖的土方后期回覆；钻井</w:t>
                  </w:r>
                  <w:r>
                    <w:rPr>
                      <w:rFonts w:hint="eastAsia" w:ascii="Times New Roman" w:hAnsi="Times New Roman"/>
                      <w:color w:val="auto"/>
                      <w:szCs w:val="21"/>
                      <w:highlight w:val="none"/>
                      <w:lang w:val="en-US" w:eastAsia="zh-CN"/>
                    </w:rPr>
                    <w:t>泥浆</w:t>
                  </w:r>
                  <w:r>
                    <w:rPr>
                      <w:rFonts w:ascii="Times New Roman" w:hAnsi="Times New Roman"/>
                      <w:color w:val="auto"/>
                      <w:szCs w:val="21"/>
                      <w:highlight w:val="none"/>
                    </w:rPr>
                    <w:t>暂存于废浆干化池中，待钻井结束后投加泥浆固化剂</w:t>
                  </w:r>
                  <w:r>
                    <w:rPr>
                      <w:rFonts w:hint="eastAsia" w:ascii="Times New Roman" w:hAnsi="Times New Roman"/>
                      <w:color w:val="auto"/>
                      <w:szCs w:val="21"/>
                      <w:highlight w:val="none"/>
                      <w:lang w:eastAsia="zh-CN"/>
                    </w:rPr>
                    <w:t>固化后作为建筑材料外售</w:t>
                  </w:r>
                  <w:r>
                    <w:rPr>
                      <w:rFonts w:ascii="Times New Roman" w:hAnsi="Times New Roman"/>
                      <w:color w:val="auto"/>
                      <w:szCs w:val="21"/>
                      <w:highlight w:val="none"/>
                    </w:rPr>
                    <w:t>；</w:t>
                  </w:r>
                  <w:r>
                    <w:rPr>
                      <w:rFonts w:hint="eastAsia" w:ascii="Times New Roman" w:hAnsi="Times New Roman"/>
                      <w:color w:val="auto"/>
                      <w:szCs w:val="21"/>
                      <w:highlight w:val="none"/>
                      <w:lang w:val="en-US" w:eastAsia="zh-CN"/>
                    </w:rPr>
                    <w:t>钻孔产生的岩芯碎屑集中收集后作为一般固废处置；干化泥浆</w:t>
                  </w:r>
                  <w:r>
                    <w:rPr>
                      <w:rFonts w:ascii="Times New Roman" w:hAnsi="Times New Roman"/>
                      <w:color w:val="auto"/>
                      <w:szCs w:val="21"/>
                      <w:highlight w:val="none"/>
                    </w:rPr>
                    <w:t>作为周边路基维护的建材使用；废包装材料集中收集后外售处理。废润滑油、废润滑油桶</w:t>
                  </w:r>
                  <w:r>
                    <w:rPr>
                      <w:rFonts w:hint="eastAsia" w:ascii="Times New Roman" w:hAnsi="Times New Roman"/>
                      <w:color w:val="auto"/>
                      <w:szCs w:val="21"/>
                      <w:highlight w:val="none"/>
                    </w:rPr>
                    <w:t>、</w:t>
                  </w:r>
                  <w:r>
                    <w:rPr>
                      <w:rFonts w:ascii="Times New Roman" w:hAnsi="Times New Roman"/>
                      <w:color w:val="auto"/>
                      <w:szCs w:val="21"/>
                      <w:highlight w:val="none"/>
                    </w:rPr>
                    <w:t>废含油抹布和废含油手套</w:t>
                  </w:r>
                  <w:r>
                    <w:rPr>
                      <w:rFonts w:hint="eastAsia" w:ascii="Times New Roman" w:hAnsi="Times New Roman"/>
                      <w:color w:val="auto"/>
                      <w:szCs w:val="21"/>
                      <w:highlight w:val="none"/>
                      <w:lang w:val="en-US" w:eastAsia="zh-CN"/>
                    </w:rPr>
                    <w:t>集中收集至各井场危废暂存间内，施工结束前委托资质单位进行处置；</w:t>
                  </w:r>
                  <w:r>
                    <w:rPr>
                      <w:rFonts w:ascii="Times New Roman" w:hAnsi="Times New Roman"/>
                      <w:color w:val="auto"/>
                      <w:szCs w:val="21"/>
                      <w:highlight w:val="none"/>
                    </w:rPr>
                    <w:t>生活垃圾委托环卫部门清运。</w:t>
                  </w:r>
                  <w:r>
                    <w:rPr>
                      <w:rFonts w:hint="eastAsia" w:ascii="Times New Roman" w:hAnsi="Times New Roman"/>
                      <w:color w:val="auto"/>
                      <w:szCs w:val="21"/>
                      <w:highlight w:val="none"/>
                      <w:lang w:val="en-US" w:eastAsia="zh-CN"/>
                    </w:rPr>
                    <w:t>本项目各井场均设有固废暂存间以及危废暂存间各一座，建筑面积均约为5m</w:t>
                  </w:r>
                  <w:r>
                    <w:rPr>
                      <w:rFonts w:hint="eastAsia" w:ascii="Times New Roman" w:hAnsi="Times New Roman"/>
                      <w:color w:val="auto"/>
                      <w:szCs w:val="21"/>
                      <w:highlight w:val="none"/>
                      <w:vertAlign w:val="superscript"/>
                      <w:lang w:val="en-US" w:eastAsia="zh-CN"/>
                    </w:rPr>
                    <w:t>2</w:t>
                  </w:r>
                  <w:r>
                    <w:rPr>
                      <w:rFonts w:ascii="Times New Roman" w:hAnsi="Times New Roman"/>
                      <w:color w:val="auto"/>
                      <w:szCs w:val="21"/>
                      <w:highlight w:val="none"/>
                    </w:rPr>
                    <w:t>。</w:t>
                  </w:r>
                </w:p>
              </w:tc>
            </w:tr>
            <w:tr w14:paraId="0B726E8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0F2981D0">
                  <w:pPr>
                    <w:jc w:val="center"/>
                    <w:rPr>
                      <w:rFonts w:ascii="Times New Roman" w:hAnsi="Times New Roman"/>
                      <w:color w:val="auto"/>
                      <w:szCs w:val="21"/>
                    </w:rPr>
                  </w:pPr>
                </w:p>
              </w:tc>
              <w:tc>
                <w:tcPr>
                  <w:tcW w:w="1276" w:type="dxa"/>
                  <w:gridSpan w:val="2"/>
                  <w:noWrap w:val="0"/>
                  <w:vAlign w:val="center"/>
                </w:tcPr>
                <w:p w14:paraId="0977F18B">
                  <w:pPr>
                    <w:ind w:left="-105" w:leftChars="-50" w:right="-105" w:rightChars="-50"/>
                    <w:jc w:val="center"/>
                    <w:rPr>
                      <w:rFonts w:ascii="Times New Roman" w:hAnsi="Times New Roman"/>
                      <w:color w:val="auto"/>
                      <w:szCs w:val="21"/>
                    </w:rPr>
                  </w:pPr>
                  <w:r>
                    <w:rPr>
                      <w:rFonts w:ascii="Times New Roman" w:hAnsi="Times New Roman"/>
                      <w:color w:val="auto"/>
                      <w:szCs w:val="21"/>
                    </w:rPr>
                    <w:t>土壤、地下水环境</w:t>
                  </w:r>
                </w:p>
              </w:tc>
              <w:tc>
                <w:tcPr>
                  <w:tcW w:w="5319" w:type="dxa"/>
                  <w:noWrap w:val="0"/>
                  <w:vAlign w:val="center"/>
                </w:tcPr>
                <w:p w14:paraId="205F8EE8">
                  <w:pPr>
                    <w:keepNext w:val="0"/>
                    <w:keepLines w:val="0"/>
                    <w:pageBreakBefore w:val="0"/>
                    <w:widowControl w:val="0"/>
                    <w:kinsoku/>
                    <w:wordWrap/>
                    <w:overflowPunct/>
                    <w:topLinePunct w:val="0"/>
                    <w:bidi w:val="0"/>
                    <w:snapToGrid/>
                    <w:ind w:left="0" w:leftChars="0" w:right="0" w:rightChars="0"/>
                    <w:textAlignment w:val="auto"/>
                    <w:rPr>
                      <w:rFonts w:ascii="Times New Roman" w:hAnsi="Times New Roman"/>
                      <w:color w:val="auto"/>
                      <w:szCs w:val="21"/>
                      <w:highlight w:val="none"/>
                    </w:rPr>
                  </w:pPr>
                  <w:r>
                    <w:rPr>
                      <w:rFonts w:hint="eastAsia" w:ascii="Times New Roman" w:hAnsi="Times New Roman"/>
                      <w:color w:val="auto"/>
                      <w:szCs w:val="21"/>
                      <w:highlight w:val="none"/>
                    </w:rPr>
                    <w:t>项目采取分区防渗措施。</w:t>
                  </w:r>
                </w:p>
                <w:p w14:paraId="2CB79A23">
                  <w:pPr>
                    <w:keepNext w:val="0"/>
                    <w:keepLines w:val="0"/>
                    <w:pageBreakBefore w:val="0"/>
                    <w:widowControl w:val="0"/>
                    <w:kinsoku/>
                    <w:wordWrap/>
                    <w:overflowPunct/>
                    <w:topLinePunct w:val="0"/>
                    <w:bidi w:val="0"/>
                    <w:snapToGrid/>
                    <w:ind w:left="0" w:leftChars="0" w:right="0" w:rightChars="0"/>
                    <w:textAlignment w:val="auto"/>
                    <w:rPr>
                      <w:rFonts w:ascii="Times New Roman" w:hAnsi="Times New Roman"/>
                      <w:color w:val="auto"/>
                      <w:szCs w:val="21"/>
                    </w:rPr>
                  </w:pPr>
                  <w:r>
                    <w:rPr>
                      <w:rFonts w:ascii="Times New Roman" w:hAnsi="Times New Roman"/>
                      <w:color w:val="auto"/>
                      <w:szCs w:val="21"/>
                      <w:highlight w:val="none"/>
                    </w:rPr>
                    <w:t>重点防渗区：</w:t>
                  </w:r>
                  <w:r>
                    <w:rPr>
                      <w:rFonts w:hint="eastAsia" w:ascii="Times New Roman" w:hAnsi="Times New Roman"/>
                      <w:color w:val="auto"/>
                      <w:szCs w:val="21"/>
                      <w:highlight w:val="none"/>
                      <w:lang w:val="en-US" w:eastAsia="zh-CN"/>
                    </w:rPr>
                    <w:t>危废暂存间</w:t>
                  </w:r>
                  <w:r>
                    <w:rPr>
                      <w:rFonts w:ascii="Times New Roman" w:hAnsi="Times New Roman"/>
                      <w:color w:val="auto"/>
                      <w:szCs w:val="21"/>
                      <w:highlight w:val="none"/>
                    </w:rPr>
                    <w:t>。防渗要求</w:t>
                  </w:r>
                  <w:r>
                    <w:rPr>
                      <w:rFonts w:hint="eastAsia" w:ascii="Times New Roman" w:hAnsi="Times New Roman"/>
                      <w:color w:val="auto"/>
                      <w:szCs w:val="21"/>
                      <w:highlight w:val="none"/>
                    </w:rPr>
                    <w:t>：</w:t>
                  </w:r>
                  <w:r>
                    <w:rPr>
                      <w:rFonts w:ascii="Times New Roman" w:hAnsi="Times New Roman"/>
                      <w:color w:val="auto"/>
                      <w:szCs w:val="21"/>
                      <w:highlight w:val="none"/>
                    </w:rPr>
                    <w:t>采用</w:t>
                  </w:r>
                  <w:r>
                    <w:rPr>
                      <w:rFonts w:hint="eastAsia" w:ascii="Times New Roman" w:hAnsi="Times New Roman"/>
                      <w:color w:val="auto"/>
                      <w:szCs w:val="21"/>
                      <w:highlight w:val="none"/>
                      <w:lang w:eastAsia="zh-CN"/>
                    </w:rPr>
                    <w:t>“</w:t>
                  </w:r>
                  <w:r>
                    <w:rPr>
                      <w:rFonts w:ascii="Times New Roman" w:hAnsi="Times New Roman"/>
                      <w:color w:val="auto"/>
                      <w:szCs w:val="21"/>
                      <w:highlight w:val="none"/>
                    </w:rPr>
                    <w:t>防渗混凝土+防渗布+砂浆层</w:t>
                  </w:r>
                  <w:r>
                    <w:rPr>
                      <w:rFonts w:hint="eastAsia" w:ascii="Times New Roman" w:hAnsi="Times New Roman"/>
                      <w:color w:val="auto"/>
                      <w:szCs w:val="21"/>
                      <w:highlight w:val="none"/>
                      <w:lang w:eastAsia="zh-CN"/>
                    </w:rPr>
                    <w:t>”</w:t>
                  </w:r>
                  <w:r>
                    <w:rPr>
                      <w:rFonts w:ascii="Times New Roman" w:hAnsi="Times New Roman"/>
                      <w:color w:val="auto"/>
                      <w:szCs w:val="21"/>
                      <w:highlight w:val="none"/>
                    </w:rPr>
                    <w:t>进行防渗，等效厚度≥6.0m，确保渗透系数不大于10</w:t>
                  </w:r>
                  <w:r>
                    <w:rPr>
                      <w:rFonts w:ascii="Times New Roman" w:hAnsi="Times New Roman"/>
                      <w:color w:val="auto"/>
                      <w:szCs w:val="21"/>
                      <w:highlight w:val="none"/>
                      <w:vertAlign w:val="superscript"/>
                    </w:rPr>
                    <w:t>-</w:t>
                  </w:r>
                  <w:r>
                    <w:rPr>
                      <w:rFonts w:hint="eastAsia" w:ascii="Times New Roman" w:hAnsi="Times New Roman"/>
                      <w:color w:val="auto"/>
                      <w:szCs w:val="21"/>
                      <w:highlight w:val="none"/>
                      <w:vertAlign w:val="superscript"/>
                    </w:rPr>
                    <w:t>7</w:t>
                  </w:r>
                  <w:r>
                    <w:rPr>
                      <w:rFonts w:ascii="Times New Roman" w:hAnsi="Times New Roman"/>
                      <w:color w:val="auto"/>
                      <w:szCs w:val="21"/>
                      <w:highlight w:val="none"/>
                    </w:rPr>
                    <w:t>cm/s</w:t>
                  </w:r>
                  <w:r>
                    <w:rPr>
                      <w:rFonts w:hint="eastAsia" w:ascii="Times New Roman" w:hAnsi="Times New Roman"/>
                      <w:color w:val="auto"/>
                      <w:szCs w:val="21"/>
                      <w:highlight w:val="none"/>
                    </w:rPr>
                    <w:t>；</w:t>
                  </w:r>
                  <w:r>
                    <w:rPr>
                      <w:rFonts w:ascii="Times New Roman" w:hAnsi="Times New Roman"/>
                      <w:color w:val="auto"/>
                      <w:szCs w:val="21"/>
                      <w:highlight w:val="none"/>
                    </w:rPr>
                    <w:t>一般防渗区：</w:t>
                  </w:r>
                  <w:r>
                    <w:rPr>
                      <w:rFonts w:hint="eastAsia" w:ascii="Times New Roman" w:hAnsi="Times New Roman"/>
                      <w:color w:val="auto"/>
                      <w:szCs w:val="21"/>
                      <w:highlight w:val="none"/>
                      <w:lang w:eastAsia="zh-CN"/>
                    </w:rPr>
                    <w:t>钻机房井口区域、泥浆池、沉淀池、干化池、设备及库房</w:t>
                  </w:r>
                  <w:r>
                    <w:rPr>
                      <w:rFonts w:ascii="Times New Roman" w:hAnsi="Times New Roman"/>
                      <w:color w:val="auto"/>
                      <w:szCs w:val="21"/>
                      <w:highlight w:val="none"/>
                    </w:rPr>
                    <w:t>。防渗要求</w:t>
                  </w:r>
                  <w:r>
                    <w:rPr>
                      <w:rFonts w:hint="eastAsia" w:ascii="Times New Roman" w:hAnsi="Times New Roman"/>
                      <w:color w:val="auto"/>
                      <w:szCs w:val="21"/>
                      <w:highlight w:val="none"/>
                    </w:rPr>
                    <w:t>：</w:t>
                  </w:r>
                  <w:r>
                    <w:rPr>
                      <w:rFonts w:ascii="Times New Roman" w:hAnsi="Times New Roman"/>
                      <w:color w:val="auto"/>
                      <w:szCs w:val="21"/>
                      <w:highlight w:val="none"/>
                    </w:rPr>
                    <w:t>采取防渗混凝土进行防渗，等效厚度≥1.5m</w:t>
                  </w:r>
                  <w:r>
                    <w:rPr>
                      <w:rFonts w:hint="eastAsia" w:ascii="Times New Roman" w:hAnsi="Times New Roman"/>
                      <w:color w:val="auto"/>
                      <w:szCs w:val="21"/>
                      <w:highlight w:val="none"/>
                    </w:rPr>
                    <w:t>；</w:t>
                  </w:r>
                  <w:r>
                    <w:rPr>
                      <w:rFonts w:ascii="Times New Roman" w:hAnsi="Times New Roman"/>
                      <w:color w:val="auto"/>
                      <w:szCs w:val="21"/>
                      <w:highlight w:val="none"/>
                    </w:rPr>
                    <w:t>简单防渗区：除重点防渗区和一般防渗区以外的其他区域。防渗要求</w:t>
                  </w:r>
                  <w:r>
                    <w:rPr>
                      <w:rFonts w:hint="eastAsia" w:ascii="Times New Roman" w:hAnsi="Times New Roman"/>
                      <w:color w:val="auto"/>
                      <w:szCs w:val="21"/>
                      <w:highlight w:val="none"/>
                    </w:rPr>
                    <w:t>：</w:t>
                  </w:r>
                  <w:r>
                    <w:rPr>
                      <w:rFonts w:ascii="Times New Roman" w:hAnsi="Times New Roman"/>
                      <w:color w:val="auto"/>
                      <w:szCs w:val="21"/>
                      <w:highlight w:val="none"/>
                    </w:rPr>
                    <w:t>采用一般地面硬化。</w:t>
                  </w:r>
                </w:p>
              </w:tc>
            </w:tr>
            <w:tr w14:paraId="5296E6D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2E2EFD3E">
                  <w:pPr>
                    <w:jc w:val="center"/>
                    <w:rPr>
                      <w:rFonts w:ascii="Times New Roman" w:hAnsi="Times New Roman"/>
                      <w:color w:val="auto"/>
                      <w:szCs w:val="21"/>
                    </w:rPr>
                  </w:pPr>
                </w:p>
              </w:tc>
              <w:tc>
                <w:tcPr>
                  <w:tcW w:w="1276" w:type="dxa"/>
                  <w:gridSpan w:val="2"/>
                  <w:noWrap w:val="0"/>
                  <w:vAlign w:val="center"/>
                </w:tcPr>
                <w:p w14:paraId="6CC06D6C">
                  <w:pPr>
                    <w:jc w:val="center"/>
                    <w:rPr>
                      <w:rFonts w:ascii="Times New Roman" w:hAnsi="Times New Roman"/>
                      <w:color w:val="auto"/>
                      <w:szCs w:val="21"/>
                    </w:rPr>
                  </w:pPr>
                  <w:r>
                    <w:rPr>
                      <w:rFonts w:ascii="Times New Roman" w:hAnsi="Times New Roman"/>
                      <w:color w:val="auto"/>
                      <w:szCs w:val="21"/>
                    </w:rPr>
                    <w:t>生态环境</w:t>
                  </w:r>
                </w:p>
              </w:tc>
              <w:tc>
                <w:tcPr>
                  <w:tcW w:w="5319" w:type="dxa"/>
                  <w:noWrap w:val="0"/>
                  <w:vAlign w:val="center"/>
                </w:tcPr>
                <w:p w14:paraId="323E8C8B">
                  <w:pPr>
                    <w:keepNext w:val="0"/>
                    <w:keepLines w:val="0"/>
                    <w:pageBreakBefore w:val="0"/>
                    <w:widowControl w:val="0"/>
                    <w:kinsoku/>
                    <w:wordWrap/>
                    <w:overflowPunct/>
                    <w:topLinePunct w:val="0"/>
                    <w:bidi w:val="0"/>
                    <w:snapToGrid/>
                    <w:ind w:left="0" w:leftChars="0" w:right="0" w:rightChars="0"/>
                    <w:textAlignment w:val="auto"/>
                    <w:rPr>
                      <w:rFonts w:hint="eastAsia" w:ascii="Times New Roman" w:hAnsi="Times New Roman" w:eastAsia="宋体"/>
                      <w:color w:val="auto"/>
                      <w:szCs w:val="21"/>
                      <w:lang w:eastAsia="zh-CN"/>
                    </w:rPr>
                  </w:pPr>
                  <w:r>
                    <w:rPr>
                      <w:rFonts w:ascii="Times New Roman" w:hAnsi="Times New Roman"/>
                      <w:color w:val="auto"/>
                      <w:szCs w:val="21"/>
                      <w:highlight w:val="none"/>
                    </w:rPr>
                    <w:t>主要影响为工程占地及施工对土地利用状况的影响，对项目施工区域植物的破坏、对动物的干扰，以及水土流失等影响。应对措施是严格控制施工占地，对项目区土壤的分层剥离、分层开挖、分层堆放和循序分层回填，及时进行生态恢复；合理安排施工进度及施工时间，避免雨天和大风天开挖施工作业；落实各项水土保持措施，施工结束后应根据复垦方案落实复垦措施</w:t>
                  </w:r>
                  <w:r>
                    <w:rPr>
                      <w:rFonts w:hint="eastAsia" w:ascii="Times New Roman" w:hAnsi="Times New Roman"/>
                      <w:color w:val="auto"/>
                      <w:szCs w:val="21"/>
                      <w:highlight w:val="none"/>
                    </w:rPr>
                    <w:t>。</w:t>
                  </w:r>
                </w:p>
              </w:tc>
            </w:tr>
          </w:tbl>
          <w:p w14:paraId="28EDBE15">
            <w:pPr>
              <w:spacing w:line="360" w:lineRule="auto"/>
              <w:jc w:val="center"/>
              <w:rPr>
                <w:rFonts w:ascii="Times New Roman" w:hAnsi="Times New Roman"/>
                <w:b/>
                <w:color w:val="auto"/>
                <w:szCs w:val="21"/>
              </w:rPr>
            </w:pPr>
            <w:r>
              <w:rPr>
                <w:rFonts w:ascii="Times New Roman" w:hAnsi="Times New Roman"/>
                <w:b/>
                <w:color w:val="auto"/>
                <w:szCs w:val="21"/>
              </w:rPr>
              <w:t>表2-</w:t>
            </w:r>
            <w:r>
              <w:rPr>
                <w:rFonts w:hint="eastAsia" w:ascii="Times New Roman" w:hAnsi="Times New Roman"/>
                <w:b/>
                <w:color w:val="auto"/>
                <w:szCs w:val="21"/>
              </w:rPr>
              <w:t>2</w:t>
            </w:r>
            <w:r>
              <w:rPr>
                <w:rFonts w:ascii="Times New Roman" w:hAnsi="Times New Roman"/>
                <w:b/>
                <w:color w:val="auto"/>
                <w:szCs w:val="21"/>
              </w:rPr>
              <w:t xml:space="preserve">  项目井场坐标一览表（中心点）</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766"/>
              <w:gridCol w:w="1328"/>
              <w:gridCol w:w="1509"/>
              <w:gridCol w:w="664"/>
              <w:gridCol w:w="846"/>
              <w:gridCol w:w="881"/>
              <w:gridCol w:w="1070"/>
            </w:tblGrid>
            <w:tr w14:paraId="025D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 w:type="pct"/>
                  <w:vMerge w:val="restart"/>
                  <w:tcBorders>
                    <w:top w:val="single" w:color="auto" w:sz="4" w:space="0"/>
                    <w:left w:val="single" w:color="auto" w:sz="4" w:space="0"/>
                    <w:bottom w:val="single" w:color="auto" w:sz="4" w:space="0"/>
                    <w:right w:val="single" w:color="auto" w:sz="4" w:space="0"/>
                  </w:tcBorders>
                  <w:noWrap/>
                  <w:vAlign w:val="center"/>
                </w:tcPr>
                <w:p w14:paraId="49F79E86">
                  <w:pPr>
                    <w:jc w:val="center"/>
                    <w:rPr>
                      <w:rFonts w:ascii="Times New Roman" w:hAnsi="Times New Roman"/>
                      <w:bCs/>
                      <w:color w:val="auto"/>
                      <w:szCs w:val="21"/>
                    </w:rPr>
                  </w:pPr>
                  <w:r>
                    <w:rPr>
                      <w:rFonts w:hint="eastAsia" w:ascii="Times New Roman" w:hAnsi="Times New Roman"/>
                      <w:bCs/>
                      <w:color w:val="auto"/>
                      <w:szCs w:val="21"/>
                      <w:lang w:val="en-US" w:eastAsia="zh-CN"/>
                    </w:rPr>
                    <w:t>钻孔孔</w:t>
                  </w:r>
                  <w:r>
                    <w:rPr>
                      <w:rFonts w:ascii="Times New Roman" w:hAnsi="Times New Roman"/>
                      <w:bCs/>
                      <w:color w:val="auto"/>
                      <w:szCs w:val="21"/>
                    </w:rPr>
                    <w:t>号</w:t>
                  </w:r>
                </w:p>
              </w:tc>
              <w:tc>
                <w:tcPr>
                  <w:tcW w:w="488" w:type="pct"/>
                  <w:vMerge w:val="restart"/>
                  <w:tcBorders>
                    <w:top w:val="single" w:color="auto" w:sz="4" w:space="0"/>
                    <w:left w:val="single" w:color="auto" w:sz="4" w:space="0"/>
                    <w:right w:val="single" w:color="auto" w:sz="4" w:space="0"/>
                  </w:tcBorders>
                  <w:noWrap/>
                  <w:vAlign w:val="center"/>
                </w:tcPr>
                <w:p w14:paraId="609399DF">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钻孔编号</w:t>
                  </w:r>
                </w:p>
              </w:tc>
              <w:tc>
                <w:tcPr>
                  <w:tcW w:w="2232" w:type="pct"/>
                  <w:gridSpan w:val="3"/>
                  <w:tcBorders>
                    <w:top w:val="single" w:color="auto" w:sz="4" w:space="0"/>
                    <w:left w:val="single" w:color="auto" w:sz="4" w:space="0"/>
                    <w:bottom w:val="single" w:color="auto" w:sz="4" w:space="0"/>
                    <w:right w:val="single" w:color="auto" w:sz="4" w:space="0"/>
                  </w:tcBorders>
                  <w:noWrap/>
                  <w:vAlign w:val="center"/>
                </w:tcPr>
                <w:p w14:paraId="146BB66F">
                  <w:pPr>
                    <w:jc w:val="center"/>
                    <w:rPr>
                      <w:rFonts w:ascii="Times New Roman" w:hAnsi="Times New Roman"/>
                      <w:bCs/>
                      <w:color w:val="auto"/>
                      <w:szCs w:val="21"/>
                    </w:rPr>
                  </w:pPr>
                  <w:r>
                    <w:rPr>
                      <w:rFonts w:ascii="Times New Roman" w:hAnsi="Times New Roman"/>
                      <w:color w:val="auto"/>
                      <w:szCs w:val="21"/>
                    </w:rPr>
                    <w:t>钻井</w:t>
                  </w:r>
                  <w:r>
                    <w:rPr>
                      <w:rFonts w:ascii="Times New Roman" w:hAnsi="Times New Roman"/>
                      <w:bCs/>
                      <w:color w:val="auto"/>
                      <w:szCs w:val="21"/>
                    </w:rPr>
                    <w:t>坐标</w:t>
                  </w:r>
                </w:p>
              </w:tc>
              <w:tc>
                <w:tcPr>
                  <w:tcW w:w="539" w:type="pct"/>
                  <w:vMerge w:val="restart"/>
                  <w:tcBorders>
                    <w:top w:val="single" w:color="auto" w:sz="4" w:space="0"/>
                    <w:left w:val="single" w:color="auto" w:sz="4" w:space="0"/>
                    <w:bottom w:val="single" w:color="auto" w:sz="4" w:space="0"/>
                    <w:right w:val="single" w:color="auto" w:sz="4" w:space="0"/>
                  </w:tcBorders>
                  <w:noWrap/>
                  <w:vAlign w:val="center"/>
                </w:tcPr>
                <w:p w14:paraId="1B3D18B9">
                  <w:pPr>
                    <w:jc w:val="center"/>
                    <w:rPr>
                      <w:rFonts w:ascii="Times New Roman" w:hAnsi="Times New Roman"/>
                      <w:bCs/>
                      <w:color w:val="auto"/>
                      <w:szCs w:val="21"/>
                    </w:rPr>
                  </w:pPr>
                  <w:r>
                    <w:rPr>
                      <w:rFonts w:ascii="Times New Roman" w:hAnsi="Times New Roman"/>
                      <w:bCs/>
                      <w:color w:val="auto"/>
                      <w:szCs w:val="21"/>
                    </w:rPr>
                    <w:t>预计孔深（m）</w:t>
                  </w:r>
                </w:p>
              </w:tc>
              <w:tc>
                <w:tcPr>
                  <w:tcW w:w="561" w:type="pct"/>
                  <w:vMerge w:val="restart"/>
                  <w:tcBorders>
                    <w:top w:val="single" w:color="auto" w:sz="4" w:space="0"/>
                    <w:left w:val="single" w:color="auto" w:sz="4" w:space="0"/>
                    <w:bottom w:val="single" w:color="auto" w:sz="4" w:space="0"/>
                    <w:right w:val="single" w:color="auto" w:sz="4" w:space="0"/>
                  </w:tcBorders>
                  <w:noWrap/>
                  <w:vAlign w:val="center"/>
                </w:tcPr>
                <w:p w14:paraId="226C366F">
                  <w:pPr>
                    <w:jc w:val="center"/>
                    <w:rPr>
                      <w:rFonts w:ascii="Times New Roman" w:hAnsi="Times New Roman"/>
                      <w:bCs/>
                      <w:color w:val="auto"/>
                      <w:szCs w:val="21"/>
                    </w:rPr>
                  </w:pPr>
                  <w:r>
                    <w:rPr>
                      <w:rFonts w:ascii="Times New Roman" w:hAnsi="Times New Roman"/>
                      <w:bCs/>
                      <w:color w:val="auto"/>
                      <w:szCs w:val="21"/>
                    </w:rPr>
                    <w:t>终孔</w:t>
                  </w:r>
                </w:p>
                <w:p w14:paraId="78DDF536">
                  <w:pPr>
                    <w:jc w:val="center"/>
                    <w:rPr>
                      <w:rFonts w:ascii="Times New Roman" w:hAnsi="Times New Roman"/>
                      <w:bCs/>
                      <w:color w:val="auto"/>
                      <w:szCs w:val="21"/>
                    </w:rPr>
                  </w:pPr>
                  <w:r>
                    <w:rPr>
                      <w:rFonts w:ascii="Times New Roman" w:hAnsi="Times New Roman"/>
                      <w:bCs/>
                      <w:color w:val="auto"/>
                      <w:szCs w:val="21"/>
                    </w:rPr>
                    <w:t>层位</w:t>
                  </w:r>
                </w:p>
              </w:tc>
              <w:tc>
                <w:tcPr>
                  <w:tcW w:w="682" w:type="pct"/>
                  <w:vMerge w:val="restart"/>
                  <w:tcBorders>
                    <w:top w:val="single" w:color="auto" w:sz="4" w:space="0"/>
                    <w:left w:val="single" w:color="auto" w:sz="4" w:space="0"/>
                    <w:right w:val="single" w:color="auto" w:sz="4" w:space="0"/>
                  </w:tcBorders>
                  <w:noWrap/>
                  <w:vAlign w:val="center"/>
                </w:tcPr>
                <w:p w14:paraId="22931FE5">
                  <w:pPr>
                    <w:jc w:val="center"/>
                    <w:rPr>
                      <w:rFonts w:ascii="Times New Roman" w:hAnsi="Times New Roman"/>
                      <w:bCs/>
                      <w:color w:val="auto"/>
                      <w:szCs w:val="21"/>
                    </w:rPr>
                  </w:pPr>
                  <w:r>
                    <w:rPr>
                      <w:rFonts w:hint="eastAsia" w:ascii="Times New Roman" w:hAnsi="Times New Roman"/>
                      <w:bCs/>
                      <w:color w:val="auto"/>
                      <w:szCs w:val="21"/>
                    </w:rPr>
                    <w:t>井口孔径（mm）</w:t>
                  </w:r>
                </w:p>
              </w:tc>
            </w:tr>
            <w:tr w14:paraId="7F95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496" w:type="pct"/>
                  <w:vMerge w:val="continue"/>
                  <w:tcBorders>
                    <w:top w:val="single" w:color="auto" w:sz="4" w:space="0"/>
                    <w:left w:val="single" w:color="auto" w:sz="4" w:space="0"/>
                    <w:bottom w:val="single" w:color="auto" w:sz="4" w:space="0"/>
                    <w:right w:val="single" w:color="auto" w:sz="4" w:space="0"/>
                  </w:tcBorders>
                  <w:noWrap/>
                  <w:vAlign w:val="center"/>
                </w:tcPr>
                <w:p w14:paraId="6E7016F6">
                  <w:pPr>
                    <w:widowControl/>
                    <w:jc w:val="center"/>
                    <w:rPr>
                      <w:rFonts w:ascii="Times New Roman" w:hAnsi="Times New Roman"/>
                      <w:bCs/>
                      <w:color w:val="auto"/>
                      <w:szCs w:val="21"/>
                    </w:rPr>
                  </w:pPr>
                </w:p>
              </w:tc>
              <w:tc>
                <w:tcPr>
                  <w:tcW w:w="488" w:type="pct"/>
                  <w:vMerge w:val="continue"/>
                  <w:tcBorders>
                    <w:left w:val="single" w:color="auto" w:sz="4" w:space="0"/>
                    <w:bottom w:val="single" w:color="auto" w:sz="4" w:space="0"/>
                    <w:right w:val="single" w:color="auto" w:sz="4" w:space="0"/>
                  </w:tcBorders>
                  <w:noWrap/>
                  <w:vAlign w:val="center"/>
                </w:tcPr>
                <w:p w14:paraId="797C1E6D">
                  <w:pPr>
                    <w:jc w:val="center"/>
                    <w:rPr>
                      <w:rFonts w:ascii="Times New Roman" w:hAnsi="Times New Roman"/>
                      <w:bCs/>
                      <w:color w:val="auto"/>
                      <w:szCs w:val="21"/>
                    </w:rPr>
                  </w:pPr>
                </w:p>
              </w:tc>
              <w:tc>
                <w:tcPr>
                  <w:tcW w:w="846" w:type="pct"/>
                  <w:tcBorders>
                    <w:top w:val="single" w:color="auto" w:sz="4" w:space="0"/>
                    <w:left w:val="single" w:color="auto" w:sz="4" w:space="0"/>
                    <w:bottom w:val="single" w:color="auto" w:sz="4" w:space="0"/>
                    <w:right w:val="single" w:color="auto" w:sz="4" w:space="0"/>
                  </w:tcBorders>
                  <w:noWrap/>
                  <w:vAlign w:val="center"/>
                </w:tcPr>
                <w:p w14:paraId="6CEC1402">
                  <w:pPr>
                    <w:jc w:val="center"/>
                    <w:rPr>
                      <w:rFonts w:ascii="Times New Roman" w:hAnsi="Times New Roman"/>
                      <w:bCs/>
                      <w:color w:val="auto"/>
                      <w:szCs w:val="21"/>
                    </w:rPr>
                  </w:pPr>
                  <w:r>
                    <w:rPr>
                      <w:rFonts w:ascii="Times New Roman" w:hAnsi="Times New Roman"/>
                      <w:bCs/>
                      <w:color w:val="auto"/>
                      <w:szCs w:val="21"/>
                    </w:rPr>
                    <w:t>X</w:t>
                  </w:r>
                </w:p>
              </w:tc>
              <w:tc>
                <w:tcPr>
                  <w:tcW w:w="962" w:type="pct"/>
                  <w:tcBorders>
                    <w:top w:val="single" w:color="auto" w:sz="4" w:space="0"/>
                    <w:left w:val="single" w:color="auto" w:sz="4" w:space="0"/>
                    <w:bottom w:val="single" w:color="auto" w:sz="4" w:space="0"/>
                    <w:right w:val="single" w:color="auto" w:sz="4" w:space="0"/>
                  </w:tcBorders>
                  <w:noWrap/>
                  <w:vAlign w:val="center"/>
                </w:tcPr>
                <w:p w14:paraId="49005DE5">
                  <w:pPr>
                    <w:jc w:val="center"/>
                    <w:rPr>
                      <w:rFonts w:ascii="Times New Roman" w:hAnsi="Times New Roman"/>
                      <w:bCs/>
                      <w:color w:val="auto"/>
                      <w:szCs w:val="21"/>
                    </w:rPr>
                  </w:pPr>
                  <w:r>
                    <w:rPr>
                      <w:rFonts w:ascii="Times New Roman" w:hAnsi="Times New Roman"/>
                      <w:bCs/>
                      <w:color w:val="auto"/>
                      <w:szCs w:val="21"/>
                    </w:rPr>
                    <w:t>Y</w:t>
                  </w:r>
                </w:p>
              </w:tc>
              <w:tc>
                <w:tcPr>
                  <w:tcW w:w="423" w:type="pct"/>
                  <w:tcBorders>
                    <w:top w:val="single" w:color="auto" w:sz="4" w:space="0"/>
                    <w:left w:val="single" w:color="auto" w:sz="4" w:space="0"/>
                    <w:bottom w:val="single" w:color="auto" w:sz="4" w:space="0"/>
                    <w:right w:val="single" w:color="auto" w:sz="4" w:space="0"/>
                  </w:tcBorders>
                  <w:noWrap/>
                  <w:vAlign w:val="center"/>
                </w:tcPr>
                <w:p w14:paraId="1B872B6F">
                  <w:pPr>
                    <w:jc w:val="center"/>
                    <w:rPr>
                      <w:rFonts w:ascii="Times New Roman" w:hAnsi="Times New Roman"/>
                      <w:bCs/>
                      <w:color w:val="auto"/>
                      <w:szCs w:val="21"/>
                    </w:rPr>
                  </w:pPr>
                  <w:r>
                    <w:rPr>
                      <w:rFonts w:ascii="Times New Roman" w:hAnsi="Times New Roman"/>
                      <w:bCs/>
                      <w:color w:val="auto"/>
                      <w:szCs w:val="21"/>
                    </w:rPr>
                    <w:t>Z</w:t>
                  </w:r>
                </w:p>
              </w:tc>
              <w:tc>
                <w:tcPr>
                  <w:tcW w:w="539" w:type="pct"/>
                  <w:vMerge w:val="continue"/>
                  <w:tcBorders>
                    <w:top w:val="single" w:color="auto" w:sz="4" w:space="0"/>
                    <w:left w:val="single" w:color="auto" w:sz="4" w:space="0"/>
                    <w:bottom w:val="single" w:color="auto" w:sz="4" w:space="0"/>
                    <w:right w:val="single" w:color="auto" w:sz="4" w:space="0"/>
                  </w:tcBorders>
                  <w:noWrap/>
                  <w:vAlign w:val="center"/>
                </w:tcPr>
                <w:p w14:paraId="711C1866">
                  <w:pPr>
                    <w:widowControl/>
                    <w:jc w:val="center"/>
                    <w:rPr>
                      <w:rFonts w:ascii="Times New Roman" w:hAnsi="Times New Roman"/>
                      <w:bCs/>
                      <w:color w:val="auto"/>
                      <w:szCs w:val="21"/>
                    </w:rPr>
                  </w:pPr>
                </w:p>
              </w:tc>
              <w:tc>
                <w:tcPr>
                  <w:tcW w:w="561" w:type="pct"/>
                  <w:vMerge w:val="continue"/>
                  <w:tcBorders>
                    <w:top w:val="single" w:color="auto" w:sz="4" w:space="0"/>
                    <w:left w:val="single" w:color="auto" w:sz="4" w:space="0"/>
                    <w:bottom w:val="single" w:color="auto" w:sz="4" w:space="0"/>
                    <w:right w:val="single" w:color="auto" w:sz="4" w:space="0"/>
                  </w:tcBorders>
                  <w:noWrap/>
                  <w:vAlign w:val="center"/>
                </w:tcPr>
                <w:p w14:paraId="2A8F4711">
                  <w:pPr>
                    <w:widowControl/>
                    <w:jc w:val="center"/>
                    <w:rPr>
                      <w:rFonts w:ascii="Times New Roman" w:hAnsi="Times New Roman"/>
                      <w:bCs/>
                      <w:color w:val="auto"/>
                      <w:szCs w:val="21"/>
                    </w:rPr>
                  </w:pPr>
                </w:p>
              </w:tc>
              <w:tc>
                <w:tcPr>
                  <w:tcW w:w="682" w:type="pct"/>
                  <w:vMerge w:val="continue"/>
                  <w:tcBorders>
                    <w:left w:val="single" w:color="auto" w:sz="4" w:space="0"/>
                    <w:bottom w:val="single" w:color="auto" w:sz="4" w:space="0"/>
                    <w:right w:val="single" w:color="auto" w:sz="4" w:space="0"/>
                  </w:tcBorders>
                  <w:noWrap/>
                  <w:vAlign w:val="center"/>
                </w:tcPr>
                <w:p w14:paraId="14C0F97B">
                  <w:pPr>
                    <w:widowControl/>
                    <w:jc w:val="center"/>
                    <w:rPr>
                      <w:rFonts w:ascii="Times New Roman" w:hAnsi="Times New Roman"/>
                      <w:bCs/>
                      <w:color w:val="auto"/>
                      <w:szCs w:val="21"/>
                    </w:rPr>
                  </w:pPr>
                </w:p>
              </w:tc>
            </w:tr>
            <w:tr w14:paraId="23E7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8EB709">
                  <w:pPr>
                    <w:jc w:val="center"/>
                    <w:rPr>
                      <w:rFonts w:hint="default" w:ascii="Times New Roman" w:hAnsi="Times New Roman"/>
                      <w:bCs/>
                      <w:color w:val="auto"/>
                      <w:szCs w:val="21"/>
                      <w:lang w:val="en-US" w:eastAsia="zh-CN"/>
                    </w:rPr>
                  </w:pPr>
                  <w:r>
                    <w:rPr>
                      <w:rFonts w:hint="eastAsia" w:ascii="Times New Roman" w:hAnsi="Times New Roman"/>
                      <w:bCs/>
                      <w:color w:val="auto"/>
                      <w:szCs w:val="21"/>
                      <w:lang w:val="en-US" w:eastAsia="zh-CN"/>
                    </w:rPr>
                    <w:t>DG-1</w:t>
                  </w:r>
                </w:p>
              </w:tc>
              <w:tc>
                <w:tcPr>
                  <w:tcW w:w="488" w:type="pct"/>
                  <w:tcBorders>
                    <w:top w:val="single" w:color="auto" w:sz="4" w:space="0"/>
                    <w:left w:val="single" w:color="auto" w:sz="4" w:space="0"/>
                    <w:bottom w:val="single" w:color="auto" w:sz="4" w:space="0"/>
                    <w:right w:val="single" w:color="auto" w:sz="4" w:space="0"/>
                  </w:tcBorders>
                  <w:noWrap/>
                  <w:vAlign w:val="center"/>
                </w:tcPr>
                <w:p w14:paraId="6977C9B6">
                  <w:pPr>
                    <w:jc w:val="center"/>
                    <w:rPr>
                      <w:rFonts w:hint="default" w:ascii="Times New Roman" w:hAnsi="Times New Roman" w:eastAsia="宋体"/>
                      <w:bCs/>
                      <w:color w:val="auto"/>
                      <w:szCs w:val="21"/>
                      <w:lang w:val="en-US" w:eastAsia="zh-CN"/>
                    </w:rPr>
                  </w:pPr>
                  <w:r>
                    <w:rPr>
                      <w:rFonts w:hint="eastAsia" w:ascii="Times New Roman" w:hAnsi="Times New Roman"/>
                      <w:bCs/>
                      <w:color w:val="auto"/>
                      <w:szCs w:val="21"/>
                      <w:lang w:val="en-US" w:eastAsia="zh-CN"/>
                    </w:rPr>
                    <w:t>1#</w:t>
                  </w:r>
                </w:p>
              </w:tc>
              <w:tc>
                <w:tcPr>
                  <w:tcW w:w="846" w:type="pct"/>
                  <w:tcBorders>
                    <w:top w:val="single" w:color="auto" w:sz="4" w:space="0"/>
                    <w:left w:val="single" w:color="auto" w:sz="4" w:space="0"/>
                    <w:bottom w:val="single" w:color="auto" w:sz="4" w:space="0"/>
                    <w:right w:val="single" w:color="auto" w:sz="4" w:space="0"/>
                  </w:tcBorders>
                  <w:noWrap/>
                  <w:vAlign w:val="center"/>
                </w:tcPr>
                <w:p w14:paraId="10022C08">
                  <w:pPr>
                    <w:jc w:val="center"/>
                    <w:rPr>
                      <w:rFonts w:ascii="Times New Roman" w:hAnsi="Times New Roman"/>
                      <w:bCs/>
                      <w:color w:val="auto"/>
                      <w:szCs w:val="21"/>
                    </w:rPr>
                  </w:pPr>
                  <w:r>
                    <w:rPr>
                      <w:rFonts w:hint="eastAsia" w:ascii="Times New Roman" w:hAnsi="Times New Roman"/>
                      <w:bCs/>
                      <w:color w:val="auto"/>
                      <w:szCs w:val="21"/>
                    </w:rPr>
                    <w:t>3642838.582</w:t>
                  </w:r>
                </w:p>
              </w:tc>
              <w:tc>
                <w:tcPr>
                  <w:tcW w:w="962" w:type="pct"/>
                  <w:tcBorders>
                    <w:top w:val="single" w:color="auto" w:sz="4" w:space="0"/>
                    <w:left w:val="single" w:color="auto" w:sz="4" w:space="0"/>
                    <w:bottom w:val="single" w:color="auto" w:sz="4" w:space="0"/>
                    <w:right w:val="single" w:color="auto" w:sz="4" w:space="0"/>
                  </w:tcBorders>
                  <w:noWrap/>
                  <w:vAlign w:val="center"/>
                </w:tcPr>
                <w:p w14:paraId="2E23B05D">
                  <w:pPr>
                    <w:jc w:val="center"/>
                    <w:rPr>
                      <w:rFonts w:ascii="Times New Roman" w:hAnsi="Times New Roman"/>
                      <w:bCs/>
                      <w:color w:val="auto"/>
                      <w:szCs w:val="21"/>
                    </w:rPr>
                  </w:pPr>
                  <w:r>
                    <w:rPr>
                      <w:rFonts w:hint="eastAsia" w:ascii="Times New Roman" w:hAnsi="Times New Roman"/>
                      <w:bCs/>
                      <w:color w:val="auto"/>
                      <w:szCs w:val="21"/>
                    </w:rPr>
                    <w:t>39471536.298</w:t>
                  </w:r>
                </w:p>
              </w:tc>
              <w:tc>
                <w:tcPr>
                  <w:tcW w:w="423" w:type="pct"/>
                  <w:tcBorders>
                    <w:top w:val="single" w:color="auto" w:sz="4" w:space="0"/>
                    <w:left w:val="single" w:color="auto" w:sz="4" w:space="0"/>
                    <w:bottom w:val="single" w:color="auto" w:sz="4" w:space="0"/>
                    <w:right w:val="single" w:color="auto" w:sz="4" w:space="0"/>
                  </w:tcBorders>
                  <w:noWrap/>
                  <w:vAlign w:val="center"/>
                </w:tcPr>
                <w:p w14:paraId="51C62E1D">
                  <w:pPr>
                    <w:jc w:val="center"/>
                    <w:rPr>
                      <w:rFonts w:hint="default" w:ascii="Times New Roman" w:hAnsi="Times New Roman" w:eastAsia="宋体"/>
                      <w:bCs/>
                      <w:color w:val="auto"/>
                      <w:szCs w:val="21"/>
                      <w:lang w:val="en-US" w:eastAsia="zh-CN"/>
                    </w:rPr>
                  </w:pPr>
                  <w:r>
                    <w:rPr>
                      <w:rFonts w:hint="eastAsia" w:ascii="Times New Roman" w:hAnsi="Times New Roman"/>
                      <w:bCs/>
                      <w:color w:val="auto"/>
                      <w:szCs w:val="21"/>
                      <w:lang w:val="en-US" w:eastAsia="zh-CN"/>
                    </w:rPr>
                    <w:t>22.9</w:t>
                  </w:r>
                </w:p>
              </w:tc>
              <w:tc>
                <w:tcPr>
                  <w:tcW w:w="539" w:type="pct"/>
                  <w:tcBorders>
                    <w:top w:val="single" w:color="auto" w:sz="4" w:space="0"/>
                    <w:left w:val="single" w:color="auto" w:sz="4" w:space="0"/>
                    <w:bottom w:val="single" w:color="auto" w:sz="4" w:space="0"/>
                    <w:right w:val="single" w:color="auto" w:sz="4" w:space="0"/>
                  </w:tcBorders>
                  <w:noWrap/>
                  <w:vAlign w:val="center"/>
                </w:tcPr>
                <w:p w14:paraId="7B6D8EC7">
                  <w:pPr>
                    <w:jc w:val="center"/>
                    <w:rPr>
                      <w:rFonts w:hint="eastAsia" w:ascii="Times New Roman" w:hAnsi="Times New Roman"/>
                      <w:bCs/>
                      <w:color w:val="auto"/>
                      <w:szCs w:val="21"/>
                    </w:rPr>
                  </w:pPr>
                  <w:r>
                    <w:rPr>
                      <w:rFonts w:hint="eastAsia" w:ascii="Times New Roman" w:hAnsi="Times New Roman"/>
                      <w:bCs/>
                      <w:color w:val="auto"/>
                      <w:szCs w:val="21"/>
                      <w:lang w:val="en-US" w:eastAsia="zh-CN"/>
                    </w:rPr>
                    <w:t>951</w:t>
                  </w:r>
                </w:p>
              </w:tc>
              <w:tc>
                <w:tcPr>
                  <w:tcW w:w="561" w:type="pct"/>
                  <w:vMerge w:val="restart"/>
                  <w:tcBorders>
                    <w:top w:val="single" w:color="auto" w:sz="4" w:space="0"/>
                    <w:left w:val="single" w:color="auto" w:sz="4" w:space="0"/>
                    <w:right w:val="single" w:color="auto" w:sz="4" w:space="0"/>
                  </w:tcBorders>
                  <w:noWrap/>
                  <w:vAlign w:val="center"/>
                </w:tcPr>
                <w:p w14:paraId="22FD3E20">
                  <w:pPr>
                    <w:jc w:val="center"/>
                    <w:rPr>
                      <w:rFonts w:ascii="Times New Roman" w:hAnsi="Times New Roman"/>
                      <w:bCs/>
                      <w:color w:val="auto"/>
                      <w:szCs w:val="21"/>
                    </w:rPr>
                  </w:pPr>
                  <w:r>
                    <w:rPr>
                      <w:rFonts w:hint="eastAsia" w:ascii="Times New Roman" w:hAnsi="Times New Roman"/>
                      <w:bCs/>
                      <w:color w:val="auto"/>
                      <w:szCs w:val="21"/>
                    </w:rPr>
                    <w:t>终孔深度以11-1煤为准</w:t>
                  </w:r>
                </w:p>
              </w:tc>
              <w:tc>
                <w:tcPr>
                  <w:tcW w:w="682" w:type="pct"/>
                  <w:tcBorders>
                    <w:top w:val="single" w:color="auto" w:sz="4" w:space="0"/>
                    <w:left w:val="single" w:color="auto" w:sz="4" w:space="0"/>
                    <w:right w:val="single" w:color="auto" w:sz="4" w:space="0"/>
                  </w:tcBorders>
                  <w:noWrap/>
                  <w:vAlign w:val="center"/>
                </w:tcPr>
                <w:p w14:paraId="4C88AB90">
                  <w:pPr>
                    <w:jc w:val="center"/>
                    <w:rPr>
                      <w:rFonts w:hint="default" w:ascii="Times New Roman" w:hAnsi="Times New Roman" w:eastAsia="宋体"/>
                      <w:bCs/>
                      <w:color w:val="auto"/>
                      <w:szCs w:val="21"/>
                      <w:lang w:val="en-US" w:eastAsia="zh-CN"/>
                    </w:rPr>
                  </w:pPr>
                  <w:r>
                    <w:rPr>
                      <w:rFonts w:hint="eastAsia" w:ascii="Times New Roman" w:hAnsi="Times New Roman"/>
                      <w:bCs/>
                      <w:color w:val="auto"/>
                      <w:szCs w:val="21"/>
                      <w:lang w:val="en-US" w:eastAsia="zh-CN"/>
                    </w:rPr>
                    <w:t>94</w:t>
                  </w:r>
                </w:p>
              </w:tc>
            </w:tr>
            <w:tr w14:paraId="3961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BEC80C">
                  <w:pPr>
                    <w:jc w:val="center"/>
                    <w:rPr>
                      <w:rFonts w:hint="default" w:ascii="Times New Roman" w:hAnsi="Times New Roman"/>
                      <w:bCs/>
                      <w:color w:val="auto"/>
                      <w:szCs w:val="21"/>
                      <w:lang w:val="en-US" w:eastAsia="zh-CN"/>
                    </w:rPr>
                  </w:pPr>
                  <w:r>
                    <w:rPr>
                      <w:rFonts w:hint="eastAsia" w:ascii="Times New Roman" w:hAnsi="Times New Roman"/>
                      <w:bCs/>
                      <w:color w:val="auto"/>
                      <w:szCs w:val="21"/>
                      <w:lang w:val="en-US" w:eastAsia="zh-CN"/>
                    </w:rPr>
                    <w:t>DG-2</w:t>
                  </w:r>
                </w:p>
              </w:tc>
              <w:tc>
                <w:tcPr>
                  <w:tcW w:w="488" w:type="pct"/>
                  <w:tcBorders>
                    <w:top w:val="single" w:color="auto" w:sz="4" w:space="0"/>
                    <w:left w:val="single" w:color="auto" w:sz="4" w:space="0"/>
                    <w:bottom w:val="single" w:color="auto" w:sz="4" w:space="0"/>
                    <w:right w:val="single" w:color="auto" w:sz="4" w:space="0"/>
                  </w:tcBorders>
                  <w:noWrap/>
                  <w:vAlign w:val="center"/>
                </w:tcPr>
                <w:p w14:paraId="1BE8EA5F">
                  <w:pPr>
                    <w:jc w:val="center"/>
                    <w:rPr>
                      <w:rFonts w:hint="eastAsia" w:ascii="Times New Roman" w:hAnsi="Times New Roman"/>
                      <w:bCs/>
                      <w:color w:val="auto"/>
                      <w:szCs w:val="21"/>
                    </w:rPr>
                  </w:pPr>
                  <w:r>
                    <w:rPr>
                      <w:rFonts w:hint="eastAsia" w:ascii="Times New Roman" w:hAnsi="Times New Roman"/>
                      <w:bCs/>
                      <w:color w:val="auto"/>
                      <w:szCs w:val="21"/>
                      <w:lang w:val="en-US" w:eastAsia="zh-CN"/>
                    </w:rPr>
                    <w:t>2#</w:t>
                  </w:r>
                </w:p>
              </w:tc>
              <w:tc>
                <w:tcPr>
                  <w:tcW w:w="846" w:type="pct"/>
                  <w:tcBorders>
                    <w:top w:val="single" w:color="auto" w:sz="4" w:space="0"/>
                    <w:left w:val="single" w:color="auto" w:sz="4" w:space="0"/>
                    <w:bottom w:val="single" w:color="auto" w:sz="4" w:space="0"/>
                    <w:right w:val="single" w:color="auto" w:sz="4" w:space="0"/>
                  </w:tcBorders>
                  <w:noWrap/>
                  <w:vAlign w:val="center"/>
                </w:tcPr>
                <w:p w14:paraId="405EE00D">
                  <w:pPr>
                    <w:jc w:val="center"/>
                    <w:rPr>
                      <w:rFonts w:ascii="Times New Roman" w:hAnsi="Times New Roman"/>
                      <w:bCs/>
                      <w:color w:val="auto"/>
                      <w:szCs w:val="21"/>
                    </w:rPr>
                  </w:pPr>
                  <w:r>
                    <w:rPr>
                      <w:rFonts w:hint="eastAsia" w:ascii="Times New Roman" w:hAnsi="Times New Roman"/>
                      <w:bCs/>
                      <w:color w:val="auto"/>
                      <w:szCs w:val="21"/>
                    </w:rPr>
                    <w:t>3642949.867</w:t>
                  </w:r>
                </w:p>
              </w:tc>
              <w:tc>
                <w:tcPr>
                  <w:tcW w:w="962" w:type="pct"/>
                  <w:tcBorders>
                    <w:top w:val="single" w:color="auto" w:sz="4" w:space="0"/>
                    <w:left w:val="single" w:color="auto" w:sz="4" w:space="0"/>
                    <w:bottom w:val="single" w:color="auto" w:sz="4" w:space="0"/>
                    <w:right w:val="single" w:color="auto" w:sz="4" w:space="0"/>
                  </w:tcBorders>
                  <w:noWrap/>
                  <w:vAlign w:val="center"/>
                </w:tcPr>
                <w:p w14:paraId="4E20A86B">
                  <w:pPr>
                    <w:jc w:val="center"/>
                    <w:rPr>
                      <w:rFonts w:ascii="Times New Roman" w:hAnsi="Times New Roman"/>
                      <w:bCs/>
                      <w:color w:val="auto"/>
                      <w:szCs w:val="21"/>
                    </w:rPr>
                  </w:pPr>
                  <w:r>
                    <w:rPr>
                      <w:rFonts w:hint="eastAsia" w:ascii="Times New Roman" w:hAnsi="Times New Roman"/>
                      <w:bCs/>
                      <w:color w:val="auto"/>
                      <w:szCs w:val="21"/>
                    </w:rPr>
                    <w:t>39471126.942</w:t>
                  </w:r>
                </w:p>
              </w:tc>
              <w:tc>
                <w:tcPr>
                  <w:tcW w:w="423" w:type="pct"/>
                  <w:tcBorders>
                    <w:top w:val="single" w:color="auto" w:sz="4" w:space="0"/>
                    <w:left w:val="single" w:color="auto" w:sz="4" w:space="0"/>
                    <w:bottom w:val="single" w:color="auto" w:sz="4" w:space="0"/>
                    <w:right w:val="single" w:color="auto" w:sz="4" w:space="0"/>
                  </w:tcBorders>
                  <w:noWrap/>
                  <w:vAlign w:val="center"/>
                </w:tcPr>
                <w:p w14:paraId="26BDA024">
                  <w:pPr>
                    <w:jc w:val="center"/>
                    <w:rPr>
                      <w:rFonts w:ascii="Times New Roman" w:hAnsi="Times New Roman"/>
                      <w:bCs/>
                      <w:color w:val="auto"/>
                      <w:szCs w:val="21"/>
                    </w:rPr>
                  </w:pPr>
                  <w:r>
                    <w:rPr>
                      <w:rFonts w:hint="eastAsia" w:ascii="Times New Roman" w:hAnsi="Times New Roman"/>
                      <w:bCs/>
                      <w:color w:val="auto"/>
                      <w:szCs w:val="21"/>
                      <w:lang w:val="en-US" w:eastAsia="zh-CN"/>
                    </w:rPr>
                    <w:t>22.9</w:t>
                  </w:r>
                </w:p>
              </w:tc>
              <w:tc>
                <w:tcPr>
                  <w:tcW w:w="539" w:type="pct"/>
                  <w:tcBorders>
                    <w:top w:val="single" w:color="auto" w:sz="4" w:space="0"/>
                    <w:left w:val="single" w:color="auto" w:sz="4" w:space="0"/>
                    <w:bottom w:val="single" w:color="auto" w:sz="4" w:space="0"/>
                    <w:right w:val="single" w:color="auto" w:sz="4" w:space="0"/>
                  </w:tcBorders>
                  <w:noWrap/>
                  <w:vAlign w:val="center"/>
                </w:tcPr>
                <w:p w14:paraId="02224E17">
                  <w:pPr>
                    <w:jc w:val="center"/>
                    <w:rPr>
                      <w:rFonts w:hint="eastAsia" w:ascii="Times New Roman" w:hAnsi="Times New Roman"/>
                      <w:bCs/>
                      <w:color w:val="auto"/>
                      <w:szCs w:val="21"/>
                    </w:rPr>
                  </w:pPr>
                  <w:r>
                    <w:rPr>
                      <w:rFonts w:hint="eastAsia" w:ascii="Times New Roman" w:hAnsi="Times New Roman"/>
                      <w:bCs/>
                      <w:color w:val="auto"/>
                      <w:szCs w:val="21"/>
                      <w:lang w:val="en-US" w:eastAsia="zh-CN"/>
                    </w:rPr>
                    <w:t>934</w:t>
                  </w:r>
                </w:p>
              </w:tc>
              <w:tc>
                <w:tcPr>
                  <w:tcW w:w="561" w:type="pct"/>
                  <w:vMerge w:val="continue"/>
                  <w:tcBorders>
                    <w:left w:val="single" w:color="auto" w:sz="4" w:space="0"/>
                    <w:right w:val="single" w:color="auto" w:sz="4" w:space="0"/>
                  </w:tcBorders>
                  <w:noWrap/>
                  <w:vAlign w:val="center"/>
                </w:tcPr>
                <w:p w14:paraId="36B134C0">
                  <w:pPr>
                    <w:widowControl/>
                    <w:jc w:val="center"/>
                    <w:rPr>
                      <w:rFonts w:ascii="Times New Roman" w:hAnsi="Times New Roman"/>
                      <w:bCs/>
                      <w:color w:val="auto"/>
                      <w:szCs w:val="21"/>
                    </w:rPr>
                  </w:pPr>
                </w:p>
              </w:tc>
              <w:tc>
                <w:tcPr>
                  <w:tcW w:w="682" w:type="pct"/>
                  <w:tcBorders>
                    <w:left w:val="single" w:color="auto" w:sz="4" w:space="0"/>
                    <w:right w:val="single" w:color="auto" w:sz="4" w:space="0"/>
                  </w:tcBorders>
                  <w:noWrap/>
                  <w:vAlign w:val="center"/>
                </w:tcPr>
                <w:p w14:paraId="1CDAD25C">
                  <w:pPr>
                    <w:widowControl/>
                    <w:jc w:val="center"/>
                    <w:rPr>
                      <w:rFonts w:ascii="Times New Roman" w:hAnsi="Times New Roman"/>
                      <w:bCs/>
                      <w:color w:val="auto"/>
                      <w:szCs w:val="21"/>
                    </w:rPr>
                  </w:pPr>
                  <w:r>
                    <w:rPr>
                      <w:rFonts w:hint="eastAsia" w:ascii="Times New Roman" w:hAnsi="Times New Roman"/>
                      <w:bCs/>
                      <w:color w:val="auto"/>
                      <w:szCs w:val="21"/>
                      <w:lang w:val="en-US" w:eastAsia="zh-CN"/>
                    </w:rPr>
                    <w:t>94</w:t>
                  </w:r>
                </w:p>
              </w:tc>
            </w:tr>
            <w:tr w14:paraId="5AB5B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0CD2115">
                  <w:pPr>
                    <w:jc w:val="center"/>
                    <w:rPr>
                      <w:rFonts w:hint="default" w:ascii="Times New Roman" w:hAnsi="Times New Roman"/>
                      <w:bCs/>
                      <w:color w:val="auto"/>
                      <w:szCs w:val="21"/>
                      <w:lang w:val="en-US" w:eastAsia="zh-CN"/>
                    </w:rPr>
                  </w:pPr>
                  <w:r>
                    <w:rPr>
                      <w:rFonts w:hint="eastAsia" w:ascii="Times New Roman" w:hAnsi="Times New Roman"/>
                      <w:bCs/>
                      <w:color w:val="auto"/>
                      <w:szCs w:val="21"/>
                      <w:lang w:val="en-US" w:eastAsia="zh-CN"/>
                    </w:rPr>
                    <w:t>DG-3</w:t>
                  </w:r>
                </w:p>
              </w:tc>
              <w:tc>
                <w:tcPr>
                  <w:tcW w:w="488" w:type="pct"/>
                  <w:tcBorders>
                    <w:top w:val="single" w:color="auto" w:sz="4" w:space="0"/>
                    <w:left w:val="single" w:color="auto" w:sz="4" w:space="0"/>
                    <w:bottom w:val="single" w:color="auto" w:sz="4" w:space="0"/>
                    <w:right w:val="single" w:color="auto" w:sz="4" w:space="0"/>
                  </w:tcBorders>
                  <w:noWrap/>
                  <w:vAlign w:val="center"/>
                </w:tcPr>
                <w:p w14:paraId="5141340C">
                  <w:pPr>
                    <w:jc w:val="center"/>
                    <w:rPr>
                      <w:rFonts w:hint="eastAsia" w:ascii="Times New Roman" w:hAnsi="Times New Roman"/>
                      <w:bCs/>
                      <w:color w:val="auto"/>
                      <w:szCs w:val="21"/>
                    </w:rPr>
                  </w:pPr>
                  <w:r>
                    <w:rPr>
                      <w:rFonts w:hint="eastAsia" w:ascii="Times New Roman" w:hAnsi="Times New Roman"/>
                      <w:bCs/>
                      <w:color w:val="auto"/>
                      <w:szCs w:val="21"/>
                      <w:lang w:val="en-US" w:eastAsia="zh-CN"/>
                    </w:rPr>
                    <w:t>3#</w:t>
                  </w:r>
                </w:p>
              </w:tc>
              <w:tc>
                <w:tcPr>
                  <w:tcW w:w="846" w:type="pct"/>
                  <w:tcBorders>
                    <w:top w:val="single" w:color="auto" w:sz="4" w:space="0"/>
                    <w:left w:val="single" w:color="auto" w:sz="4" w:space="0"/>
                    <w:bottom w:val="single" w:color="auto" w:sz="4" w:space="0"/>
                    <w:right w:val="single" w:color="auto" w:sz="4" w:space="0"/>
                  </w:tcBorders>
                  <w:noWrap/>
                  <w:vAlign w:val="center"/>
                </w:tcPr>
                <w:p w14:paraId="351B6A34">
                  <w:pPr>
                    <w:jc w:val="center"/>
                    <w:rPr>
                      <w:rFonts w:ascii="Times New Roman" w:hAnsi="Times New Roman"/>
                      <w:bCs/>
                      <w:color w:val="auto"/>
                      <w:szCs w:val="21"/>
                    </w:rPr>
                  </w:pPr>
                  <w:r>
                    <w:rPr>
                      <w:rFonts w:hint="eastAsia" w:ascii="Times New Roman" w:hAnsi="Times New Roman"/>
                      <w:bCs/>
                      <w:color w:val="auto"/>
                      <w:szCs w:val="21"/>
                    </w:rPr>
                    <w:t>3643036.260</w:t>
                  </w:r>
                </w:p>
              </w:tc>
              <w:tc>
                <w:tcPr>
                  <w:tcW w:w="962" w:type="pct"/>
                  <w:tcBorders>
                    <w:top w:val="single" w:color="auto" w:sz="4" w:space="0"/>
                    <w:left w:val="single" w:color="auto" w:sz="4" w:space="0"/>
                    <w:bottom w:val="single" w:color="auto" w:sz="4" w:space="0"/>
                    <w:right w:val="single" w:color="auto" w:sz="4" w:space="0"/>
                  </w:tcBorders>
                  <w:noWrap/>
                  <w:vAlign w:val="center"/>
                </w:tcPr>
                <w:p w14:paraId="7D9D1D58">
                  <w:pPr>
                    <w:jc w:val="center"/>
                    <w:rPr>
                      <w:rFonts w:ascii="Times New Roman" w:hAnsi="Times New Roman"/>
                      <w:bCs/>
                      <w:color w:val="auto"/>
                      <w:szCs w:val="21"/>
                    </w:rPr>
                  </w:pPr>
                  <w:r>
                    <w:rPr>
                      <w:rFonts w:hint="eastAsia" w:ascii="Times New Roman" w:hAnsi="Times New Roman"/>
                      <w:bCs/>
                      <w:color w:val="auto"/>
                      <w:szCs w:val="21"/>
                    </w:rPr>
                    <w:t>39470582.923</w:t>
                  </w:r>
                </w:p>
              </w:tc>
              <w:tc>
                <w:tcPr>
                  <w:tcW w:w="423" w:type="pct"/>
                  <w:tcBorders>
                    <w:top w:val="single" w:color="auto" w:sz="4" w:space="0"/>
                    <w:left w:val="single" w:color="auto" w:sz="4" w:space="0"/>
                    <w:bottom w:val="single" w:color="auto" w:sz="4" w:space="0"/>
                    <w:right w:val="single" w:color="auto" w:sz="4" w:space="0"/>
                  </w:tcBorders>
                  <w:noWrap/>
                  <w:vAlign w:val="center"/>
                </w:tcPr>
                <w:p w14:paraId="5EE10AA2">
                  <w:pPr>
                    <w:jc w:val="center"/>
                    <w:rPr>
                      <w:rFonts w:hint="default" w:ascii="Times New Roman" w:hAnsi="Times New Roman" w:eastAsia="宋体"/>
                      <w:bCs/>
                      <w:color w:val="auto"/>
                      <w:szCs w:val="21"/>
                      <w:lang w:val="en-US" w:eastAsia="zh-CN"/>
                    </w:rPr>
                  </w:pPr>
                  <w:r>
                    <w:rPr>
                      <w:rFonts w:ascii="Times New Roman" w:hAnsi="Times New Roman"/>
                      <w:bCs/>
                      <w:color w:val="auto"/>
                      <w:szCs w:val="21"/>
                    </w:rPr>
                    <w:t>2</w:t>
                  </w:r>
                  <w:r>
                    <w:rPr>
                      <w:rFonts w:hint="eastAsia" w:ascii="Times New Roman" w:hAnsi="Times New Roman"/>
                      <w:bCs/>
                      <w:color w:val="auto"/>
                      <w:szCs w:val="21"/>
                      <w:lang w:val="en-US" w:eastAsia="zh-CN"/>
                    </w:rPr>
                    <w:t>3.0</w:t>
                  </w:r>
                </w:p>
              </w:tc>
              <w:tc>
                <w:tcPr>
                  <w:tcW w:w="539" w:type="pct"/>
                  <w:tcBorders>
                    <w:top w:val="single" w:color="auto" w:sz="4" w:space="0"/>
                    <w:left w:val="single" w:color="auto" w:sz="4" w:space="0"/>
                    <w:bottom w:val="single" w:color="auto" w:sz="4" w:space="0"/>
                    <w:right w:val="single" w:color="auto" w:sz="4" w:space="0"/>
                  </w:tcBorders>
                  <w:noWrap/>
                  <w:vAlign w:val="center"/>
                </w:tcPr>
                <w:p w14:paraId="294753CC">
                  <w:pPr>
                    <w:jc w:val="center"/>
                    <w:rPr>
                      <w:rFonts w:hint="eastAsia" w:ascii="Times New Roman" w:hAnsi="Times New Roman"/>
                      <w:bCs/>
                      <w:color w:val="auto"/>
                      <w:szCs w:val="21"/>
                    </w:rPr>
                  </w:pPr>
                  <w:r>
                    <w:rPr>
                      <w:rFonts w:hint="eastAsia" w:ascii="Times New Roman" w:hAnsi="Times New Roman"/>
                      <w:bCs/>
                      <w:color w:val="auto"/>
                      <w:szCs w:val="21"/>
                      <w:lang w:val="en-US" w:eastAsia="zh-CN"/>
                    </w:rPr>
                    <w:t>915</w:t>
                  </w:r>
                </w:p>
              </w:tc>
              <w:tc>
                <w:tcPr>
                  <w:tcW w:w="561" w:type="pct"/>
                  <w:vMerge w:val="continue"/>
                  <w:tcBorders>
                    <w:left w:val="single" w:color="auto" w:sz="4" w:space="0"/>
                    <w:right w:val="single" w:color="auto" w:sz="4" w:space="0"/>
                  </w:tcBorders>
                  <w:noWrap/>
                  <w:vAlign w:val="center"/>
                </w:tcPr>
                <w:p w14:paraId="56C43776">
                  <w:pPr>
                    <w:widowControl/>
                    <w:jc w:val="center"/>
                    <w:rPr>
                      <w:rFonts w:ascii="Times New Roman" w:hAnsi="Times New Roman"/>
                      <w:bCs/>
                      <w:color w:val="auto"/>
                      <w:szCs w:val="21"/>
                    </w:rPr>
                  </w:pPr>
                </w:p>
              </w:tc>
              <w:tc>
                <w:tcPr>
                  <w:tcW w:w="682" w:type="pct"/>
                  <w:tcBorders>
                    <w:left w:val="single" w:color="auto" w:sz="4" w:space="0"/>
                    <w:right w:val="single" w:color="auto" w:sz="4" w:space="0"/>
                  </w:tcBorders>
                  <w:noWrap/>
                  <w:vAlign w:val="center"/>
                </w:tcPr>
                <w:p w14:paraId="760DB990">
                  <w:pPr>
                    <w:widowControl/>
                    <w:jc w:val="center"/>
                    <w:rPr>
                      <w:rFonts w:ascii="Times New Roman" w:hAnsi="Times New Roman"/>
                      <w:bCs/>
                      <w:color w:val="auto"/>
                      <w:szCs w:val="21"/>
                    </w:rPr>
                  </w:pPr>
                  <w:r>
                    <w:rPr>
                      <w:rFonts w:hint="eastAsia" w:ascii="Times New Roman" w:hAnsi="Times New Roman"/>
                      <w:bCs/>
                      <w:color w:val="auto"/>
                      <w:szCs w:val="21"/>
                      <w:lang w:val="en-US" w:eastAsia="zh-CN"/>
                    </w:rPr>
                    <w:t>94</w:t>
                  </w:r>
                </w:p>
              </w:tc>
            </w:tr>
          </w:tbl>
          <w:p w14:paraId="3E63AAE4">
            <w:pPr>
              <w:spacing w:line="360" w:lineRule="auto"/>
              <w:ind w:firstLine="482" w:firstLineChars="200"/>
              <w:rPr>
                <w:rFonts w:ascii="Times New Roman" w:hAnsi="Times New Roman" w:eastAsia="宋体" w:cs="Times New Roman"/>
                <w:b/>
                <w:bCs/>
                <w:color w:val="auto"/>
                <w:sz w:val="24"/>
                <w:shd w:val="clear" w:color="auto" w:fill="FFFFFF"/>
              </w:rPr>
            </w:pPr>
            <w:r>
              <w:rPr>
                <w:rFonts w:ascii="Times New Roman" w:hAnsi="Times New Roman" w:eastAsia="宋体" w:cs="Times New Roman"/>
                <w:b/>
                <w:bCs/>
                <w:color w:val="auto"/>
                <w:sz w:val="24"/>
                <w:shd w:val="clear" w:color="auto" w:fill="FFFFFF"/>
              </w:rPr>
              <w:t>4、项目工程任务</w:t>
            </w:r>
          </w:p>
          <w:p w14:paraId="5E5105A0">
            <w:pPr>
              <w:keepNext w:val="0"/>
              <w:keepLines w:val="0"/>
              <w:pageBreakBefore w:val="0"/>
              <w:widowControl w:val="0"/>
              <w:kinsoku/>
              <w:wordWrap/>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rPr>
            </w:pPr>
            <w:r>
              <w:rPr>
                <w:rFonts w:ascii="Times New Roman" w:hAnsi="Times New Roman"/>
                <w:color w:val="auto"/>
                <w:sz w:val="24"/>
              </w:rPr>
              <w:t>4.1煤采区概况</w:t>
            </w:r>
          </w:p>
          <w:p w14:paraId="40DBC2AE">
            <w:pPr>
              <w:keepNext w:val="0"/>
              <w:keepLines w:val="0"/>
              <w:pageBreakBefore w:val="0"/>
              <w:widowControl w:val="0"/>
              <w:kinsoku/>
              <w:wordWrap/>
              <w:topLinePunct w:val="0"/>
              <w:autoSpaceDE/>
              <w:autoSpaceDN/>
              <w:bidi w:val="0"/>
              <w:adjustRightInd/>
              <w:snapToGrid/>
              <w:spacing w:line="360" w:lineRule="auto"/>
              <w:ind w:firstLine="480" w:firstLineChars="200"/>
              <w:textAlignment w:val="auto"/>
              <w:outlineLvl w:val="9"/>
              <w:rPr>
                <w:rFonts w:hint="eastAsia" w:ascii="Times New Roman" w:hAnsi="宋体"/>
                <w:color w:val="auto"/>
                <w:sz w:val="24"/>
              </w:rPr>
            </w:pPr>
            <w:r>
              <w:rPr>
                <w:rFonts w:hint="eastAsia" w:ascii="Times New Roman" w:hAnsi="宋体"/>
                <w:color w:val="auto"/>
                <w:sz w:val="24"/>
              </w:rPr>
              <w:t>朱集西煤矿地处安徽省淮南市潘集区，开采煤层主要隶属于二叠系山西组、下石盒子组及上石盒子组，属于松散层覆盖下的全隐覆煤田，矿区松散层平均厚度达450m；井田总体构造形态为轴向北西西的背斜与向斜组合，其中背斜轴部附近两翼地层倾角较大，为20°-25°，南部宽缓向斜区域地层倾角平缓，仅5°-10°；目前矿井共有4个生产采区，分别为11-2 四采区、11-2五采区、13-1煤五采区、13-1四采区；全矿井由17条勘探线控制，整体控制程度较高，但勘探钻孔主要集中在井田中部与南部，北部区域对井田边界及边界断层的控制程度较低，东部与西部则因勘探线密度不足，局部断层的控制力度较弱，存在一定地质勘探盲区。</w:t>
            </w:r>
          </w:p>
          <w:p w14:paraId="7BCEF3C1">
            <w:pPr>
              <w:keepNext w:val="0"/>
              <w:keepLines w:val="0"/>
              <w:pageBreakBefore w:val="0"/>
              <w:widowControl w:val="0"/>
              <w:kinsoku/>
              <w:wordWrap/>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olor w:val="auto"/>
                <w:sz w:val="24"/>
                <w:lang w:eastAsia="zh-CN"/>
              </w:rPr>
            </w:pPr>
            <w:r>
              <w:rPr>
                <w:rFonts w:ascii="Times New Roman" w:hAnsi="Times New Roman"/>
                <w:color w:val="auto"/>
                <w:sz w:val="24"/>
              </w:rPr>
              <w:t>4.2工作面</w:t>
            </w:r>
            <w:r>
              <w:rPr>
                <w:rFonts w:hint="eastAsia" w:ascii="Times New Roman" w:hAnsi="Times New Roman"/>
                <w:color w:val="auto"/>
                <w:sz w:val="24"/>
                <w:lang w:val="en-US" w:eastAsia="zh-CN"/>
              </w:rPr>
              <w:t>概况</w:t>
            </w:r>
          </w:p>
          <w:p w14:paraId="7A66DCA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olor w:val="auto"/>
                <w:sz w:val="24"/>
                <w:lang w:eastAsia="zh-CN"/>
              </w:rPr>
            </w:pPr>
            <w:r>
              <w:rPr>
                <w:rFonts w:hint="eastAsia" w:ascii="Times New Roman" w:hAnsi="Times New Roman"/>
                <w:color w:val="auto"/>
                <w:sz w:val="24"/>
              </w:rPr>
              <w:t>本次盾构机地面探查钻孔工程对应的工作面为东翼5#顶板瓦斯抽放巷所在工作面，该工作面是矿井瓦斯治理与煤层开采衔接的关键区域</w:t>
            </w:r>
            <w:r>
              <w:rPr>
                <w:rFonts w:hint="eastAsia" w:ascii="Times New Roman" w:hAnsi="Times New Roman"/>
                <w:color w:val="auto"/>
                <w:sz w:val="24"/>
                <w:lang w:eastAsia="zh-CN"/>
              </w:rPr>
              <w:t>。</w:t>
            </w:r>
          </w:p>
          <w:p w14:paraId="666F4EF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rPr>
            </w:pPr>
            <w:r>
              <w:rPr>
                <w:rFonts w:ascii="Times New Roman" w:hAnsi="Times New Roman"/>
                <w:color w:val="auto"/>
                <w:sz w:val="24"/>
              </w:rPr>
              <w:t>（1）工作面情况</w:t>
            </w:r>
          </w:p>
          <w:p w14:paraId="28740D7F">
            <w:pPr>
              <w:keepNext w:val="0"/>
              <w:keepLines w:val="0"/>
              <w:pageBreakBefore w:val="0"/>
              <w:widowControl w:val="0"/>
              <w:kinsoku/>
              <w:wordWrap/>
              <w:topLinePunct w:val="0"/>
              <w:autoSpaceDE/>
              <w:autoSpaceDN/>
              <w:bidi w:val="0"/>
              <w:adjustRightInd/>
              <w:snapToGrid/>
              <w:spacing w:line="360" w:lineRule="auto"/>
              <w:ind w:firstLine="480" w:firstLineChars="200"/>
              <w:textAlignment w:val="auto"/>
              <w:outlineLvl w:val="9"/>
              <w:rPr>
                <w:rFonts w:hint="eastAsia" w:ascii="Times New Roman" w:hAnsi="Times New Roman"/>
                <w:color w:val="auto"/>
                <w:sz w:val="24"/>
                <w:lang w:eastAsia="zh-CN"/>
              </w:rPr>
            </w:pPr>
            <w:r>
              <w:rPr>
                <w:rFonts w:hint="eastAsia" w:ascii="Times New Roman" w:hAnsi="Times New Roman"/>
                <w:color w:val="auto"/>
                <w:sz w:val="24"/>
                <w:lang w:val="en-US" w:eastAsia="zh-CN"/>
              </w:rPr>
              <w:t>1）</w:t>
            </w:r>
            <w:r>
              <w:rPr>
                <w:rFonts w:hint="eastAsia" w:ascii="Times New Roman" w:hAnsi="Times New Roman"/>
                <w:color w:val="auto"/>
                <w:sz w:val="24"/>
                <w:lang w:eastAsia="zh-CN"/>
              </w:rPr>
              <w:t>煤层赋存特征</w:t>
            </w:r>
          </w:p>
          <w:p w14:paraId="14A2405F">
            <w:pPr>
              <w:keepNext w:val="0"/>
              <w:keepLines w:val="0"/>
              <w:pageBreakBefore w:val="0"/>
              <w:widowControl w:val="0"/>
              <w:kinsoku/>
              <w:wordWrap/>
              <w:topLinePunct w:val="0"/>
              <w:autoSpaceDE/>
              <w:autoSpaceDN/>
              <w:bidi w:val="0"/>
              <w:adjustRightInd/>
              <w:snapToGrid/>
              <w:spacing w:line="360" w:lineRule="auto"/>
              <w:ind w:firstLine="480" w:firstLineChars="200"/>
              <w:textAlignment w:val="auto"/>
              <w:outlineLvl w:val="9"/>
              <w:rPr>
                <w:rFonts w:hint="eastAsia" w:ascii="Times New Roman" w:hAnsi="Times New Roman"/>
                <w:color w:val="auto"/>
                <w:sz w:val="24"/>
              </w:rPr>
            </w:pPr>
            <w:r>
              <w:rPr>
                <w:rFonts w:hint="eastAsia" w:ascii="Times New Roman" w:hAnsi="Times New Roman"/>
                <w:color w:val="auto"/>
                <w:sz w:val="24"/>
                <w:lang w:eastAsia="zh-CN"/>
              </w:rPr>
              <w:t>根据已有煤层勘探成果推测，</w:t>
            </w:r>
            <w:r>
              <w:rPr>
                <w:rFonts w:hint="eastAsia" w:ascii="Times New Roman" w:hAnsi="Times New Roman"/>
                <w:color w:val="auto"/>
                <w:sz w:val="24"/>
              </w:rPr>
              <w:t>工作面所在勘探区域内含可采煤层12层，赋存状态整体较稳定，按可采性与稳定性可分为三类：稳定可采煤层：13-1煤、8煤、5-1煤，为区域内核心开采煤层，赋存连续性好、厚度变化小，是保障工作面产能的关键；较稳定可采煤层：11-2煤、7-2煤、4-2煤、4-1煤、3煤，基本可采或大部分可采，局部可能因地质条件出现小幅厚度波动，但整体不影响开采规划；不稳定局部可采煤层：17-1煤、16-2煤、11-1煤，仅在区域内局部地段达到可采厚度，开采范围需结合具体地质钻孔数据进一步圈定。</w:t>
            </w:r>
          </w:p>
          <w:p w14:paraId="1BA8462C">
            <w:pPr>
              <w:keepNext w:val="0"/>
              <w:keepLines w:val="0"/>
              <w:pageBreakBefore w:val="0"/>
              <w:widowControl w:val="0"/>
              <w:numPr>
                <w:ilvl w:val="0"/>
                <w:numId w:val="0"/>
              </w:numPr>
              <w:kinsoku/>
              <w:wordWrap/>
              <w:topLinePunct w:val="0"/>
              <w:autoSpaceDE/>
              <w:autoSpaceDN/>
              <w:bidi w:val="0"/>
              <w:adjustRightInd/>
              <w:snapToGrid/>
              <w:spacing w:line="360" w:lineRule="auto"/>
              <w:ind w:firstLine="480" w:firstLineChars="200"/>
              <w:textAlignment w:val="auto"/>
              <w:outlineLvl w:val="9"/>
              <w:rPr>
                <w:rFonts w:hint="eastAsia" w:ascii="Times New Roman" w:hAnsi="Times New Roman"/>
                <w:color w:val="auto"/>
                <w:sz w:val="24"/>
              </w:rPr>
            </w:pPr>
            <w:r>
              <w:rPr>
                <w:rFonts w:hint="eastAsia" w:ascii="Times New Roman" w:hAnsi="Times New Roman" w:eastAsia="宋体" w:cs="Times New Roman"/>
                <w:color w:val="auto"/>
                <w:kern w:val="2"/>
                <w:sz w:val="24"/>
                <w:szCs w:val="24"/>
                <w:lang w:val="en-US" w:eastAsia="zh-CN" w:bidi="ar-SA"/>
              </w:rPr>
              <w:t>2）</w:t>
            </w:r>
            <w:r>
              <w:rPr>
                <w:rFonts w:hint="eastAsia" w:ascii="Times New Roman" w:hAnsi="Times New Roman"/>
                <w:color w:val="auto"/>
                <w:sz w:val="24"/>
              </w:rPr>
              <w:t>煤岩物理性质</w:t>
            </w:r>
          </w:p>
          <w:p w14:paraId="28A6E5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color w:val="auto"/>
                <w:sz w:val="24"/>
              </w:rPr>
            </w:pPr>
            <w:r>
              <w:rPr>
                <w:rFonts w:hint="eastAsia" w:ascii="Times New Roman" w:hAnsi="Times New Roman"/>
                <w:color w:val="auto"/>
                <w:sz w:val="24"/>
              </w:rPr>
              <w:t>各可采煤层外观呈黑色，条痕为褐黑色，光泽以沥青光泽-玻璃光泽为主，少量呈金刚光泽或土状光泽；煤体结构多为粉末状、块状、条带状，少量为粒状及鳞片状；质脆，断口常见参差状、阶梯状；宏观煤岩成分以暗煤、亮煤为主，夹少量镜煤条带与丝炭，煤岩类型多为半暗型煤，少数为半亮型煤，局部存在光亮型煤，煤质特征符合区域二叠系煤层的典型属性。</w:t>
            </w:r>
          </w:p>
          <w:p w14:paraId="3CB69C8B">
            <w:pPr>
              <w:keepNext w:val="0"/>
              <w:keepLines w:val="0"/>
              <w:pageBreakBefore w:val="0"/>
              <w:widowControl w:val="0"/>
              <w:numPr>
                <w:ilvl w:val="0"/>
                <w:numId w:val="0"/>
              </w:numPr>
              <w:kinsoku/>
              <w:wordWrap/>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color w:val="auto"/>
                <w:sz w:val="24"/>
              </w:rPr>
            </w:pPr>
            <w:r>
              <w:rPr>
                <w:rFonts w:hint="eastAsia" w:ascii="Times New Roman" w:hAnsi="Times New Roman" w:eastAsia="宋体" w:cs="Times New Roman"/>
                <w:color w:val="auto"/>
                <w:kern w:val="2"/>
                <w:sz w:val="24"/>
                <w:szCs w:val="24"/>
                <w:lang w:val="en-US" w:eastAsia="zh-CN" w:bidi="ar-SA"/>
              </w:rPr>
              <w:t>3）</w:t>
            </w:r>
            <w:r>
              <w:rPr>
                <w:rFonts w:hint="eastAsia" w:ascii="Times New Roman" w:hAnsi="Times New Roman"/>
                <w:color w:val="auto"/>
                <w:sz w:val="24"/>
              </w:rPr>
              <w:t>水文地质条件</w:t>
            </w:r>
          </w:p>
          <w:p w14:paraId="55A01AC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outlineLvl w:val="9"/>
              <w:rPr>
                <w:rFonts w:hint="eastAsia" w:ascii="Times New Roman" w:hAnsi="Times New Roman"/>
                <w:color w:val="auto"/>
                <w:sz w:val="24"/>
              </w:rPr>
            </w:pPr>
            <w:r>
              <w:rPr>
                <w:rFonts w:hint="eastAsia" w:ascii="Times New Roman" w:hAnsi="Times New Roman"/>
                <w:color w:val="auto"/>
                <w:sz w:val="24"/>
              </w:rPr>
              <w:t>主要含水系统分为松散层含水层与基岩段含水层。其中松散层厚度为350-400m，厚度分布呈现</w:t>
            </w:r>
            <w:r>
              <w:rPr>
                <w:rFonts w:hint="eastAsia" w:ascii="Times New Roman" w:hAnsi="Times New Roman"/>
                <w:color w:val="auto"/>
                <w:sz w:val="24"/>
                <w:lang w:eastAsia="zh-CN"/>
              </w:rPr>
              <w:t>“</w:t>
            </w:r>
            <w:r>
              <w:rPr>
                <w:rFonts w:hint="eastAsia" w:ascii="Times New Roman" w:hAnsi="Times New Roman"/>
                <w:color w:val="auto"/>
                <w:sz w:val="24"/>
              </w:rPr>
              <w:t>南北厚、中间薄</w:t>
            </w:r>
            <w:r>
              <w:rPr>
                <w:rFonts w:hint="eastAsia" w:ascii="Times New Roman" w:hAnsi="Times New Roman"/>
                <w:color w:val="auto"/>
                <w:sz w:val="24"/>
                <w:lang w:eastAsia="zh-CN"/>
              </w:rPr>
              <w:t>”</w:t>
            </w:r>
            <w:r>
              <w:rPr>
                <w:rFonts w:hint="eastAsia" w:ascii="Times New Roman" w:hAnsi="Times New Roman"/>
                <w:color w:val="auto"/>
                <w:sz w:val="24"/>
              </w:rPr>
              <w:t>的规律，自上而下发育4个含水层（一含、二含、三含、四含）与3个隔水层（由粘土、砂质粘土、钙质粘土组成），隔水层可有效阻隔松散层水向深部基岩渗透；基岩段中，二叠系上石盒子组、下石盒子组及山西组的砂岩裂隙水是各煤层的主要含水来源。参考附近31-1钻孔13-1煤层顶板砂岩含水层抽水试验数据，该区域煤系砂岩富水性弱（单位涌水量q=0.000073L/(s・m)，渗透系数K=0.001287m/d），且Q-S曲线向</w:t>
            </w:r>
            <w:r>
              <w:rPr>
                <w:rFonts w:hint="eastAsia" w:ascii="Times New Roman" w:hAnsi="Times New Roman"/>
                <w:color w:val="auto"/>
                <w:sz w:val="24"/>
                <w:lang w:eastAsia="zh-CN"/>
              </w:rPr>
              <w:t>“</w:t>
            </w:r>
            <w:r>
              <w:rPr>
                <w:rFonts w:hint="eastAsia" w:ascii="Times New Roman" w:hAnsi="Times New Roman"/>
                <w:color w:val="auto"/>
                <w:sz w:val="24"/>
              </w:rPr>
              <w:t>疏干</w:t>
            </w:r>
            <w:r>
              <w:rPr>
                <w:rFonts w:hint="eastAsia" w:ascii="Times New Roman" w:hAnsi="Times New Roman"/>
                <w:color w:val="auto"/>
                <w:sz w:val="24"/>
                <w:lang w:eastAsia="zh-CN"/>
              </w:rPr>
              <w:t>”</w:t>
            </w:r>
            <w:r>
              <w:rPr>
                <w:rFonts w:hint="eastAsia" w:ascii="Times New Roman" w:hAnsi="Times New Roman"/>
                <w:color w:val="auto"/>
                <w:sz w:val="24"/>
              </w:rPr>
              <w:t>方向变化，停抽后水位恢复缓慢，表明煤系砂岩含水层为以储存量为主的不均一裂隙含水层，对工作面施工的水文影响较小。</w:t>
            </w:r>
          </w:p>
          <w:p w14:paraId="546FDE9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rPr>
            </w:pPr>
            <w:r>
              <w:rPr>
                <w:rFonts w:ascii="Times New Roman" w:hAnsi="Times New Roman"/>
                <w:color w:val="auto"/>
                <w:sz w:val="24"/>
              </w:rPr>
              <w:t>（</w:t>
            </w:r>
            <w:r>
              <w:rPr>
                <w:rFonts w:hint="eastAsia" w:ascii="Times New Roman" w:hAnsi="Times New Roman"/>
                <w:color w:val="auto"/>
                <w:sz w:val="24"/>
                <w:lang w:val="en-US" w:eastAsia="zh-CN"/>
              </w:rPr>
              <w:t>2</w:t>
            </w:r>
            <w:r>
              <w:rPr>
                <w:rFonts w:ascii="Times New Roman" w:hAnsi="Times New Roman"/>
                <w:color w:val="auto"/>
                <w:sz w:val="24"/>
              </w:rPr>
              <w:t>）地质构造情况</w:t>
            </w:r>
          </w:p>
          <w:p w14:paraId="6F61DA1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outlineLvl w:val="9"/>
              <w:rPr>
                <w:rFonts w:hint="eastAsia" w:ascii="Times New Roman" w:hAnsi="Times New Roman"/>
                <w:color w:val="auto"/>
                <w:sz w:val="24"/>
              </w:rPr>
            </w:pPr>
            <w:r>
              <w:rPr>
                <w:rFonts w:hint="eastAsia" w:ascii="Times New Roman" w:hAnsi="Times New Roman"/>
                <w:color w:val="auto"/>
                <w:sz w:val="24"/>
                <w:lang w:val="en-US" w:eastAsia="zh-CN"/>
              </w:rPr>
              <w:t>1）</w:t>
            </w:r>
            <w:r>
              <w:rPr>
                <w:rFonts w:hint="eastAsia" w:ascii="Times New Roman" w:hAnsi="Times New Roman"/>
                <w:color w:val="auto"/>
                <w:sz w:val="24"/>
              </w:rPr>
              <w:t>整体构造背景</w:t>
            </w:r>
          </w:p>
          <w:p w14:paraId="1FC59D2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outlineLvl w:val="9"/>
              <w:rPr>
                <w:rFonts w:hint="eastAsia" w:ascii="Times New Roman" w:hAnsi="Times New Roman"/>
                <w:color w:val="auto"/>
                <w:sz w:val="24"/>
              </w:rPr>
            </w:pPr>
            <w:r>
              <w:rPr>
                <w:rFonts w:hint="eastAsia" w:ascii="Times New Roman" w:hAnsi="Times New Roman"/>
                <w:color w:val="auto"/>
                <w:sz w:val="24"/>
              </w:rPr>
              <w:t>工作面位于井田轴向北西西的背斜-向斜构造体系内，处于南部宽缓向斜与北部背斜的过渡区域，地层倾角整体较平缓（5°-10°），仅局部靠近背斜翼部可能出现小幅倾角增大，构造整体稳定性较好，无大规模剧烈褶皱或断裂构造。</w:t>
            </w:r>
          </w:p>
          <w:p w14:paraId="12EC39D0">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480" w:firstLineChars="200"/>
              <w:textAlignment w:val="auto"/>
              <w:rPr>
                <w:rFonts w:hint="eastAsia" w:ascii="Times New Roman" w:hAnsi="Times New Roman"/>
                <w:color w:val="auto"/>
                <w:sz w:val="24"/>
              </w:rPr>
            </w:pPr>
            <w:r>
              <w:rPr>
                <w:rFonts w:hint="eastAsia" w:ascii="Times New Roman" w:hAnsi="Times New Roman" w:eastAsia="宋体" w:cs="Times New Roman"/>
                <w:color w:val="auto"/>
                <w:kern w:val="2"/>
                <w:sz w:val="24"/>
                <w:szCs w:val="24"/>
                <w:lang w:val="en-US" w:eastAsia="zh-CN" w:bidi="ar-SA"/>
              </w:rPr>
              <w:t>2）</w:t>
            </w:r>
            <w:r>
              <w:rPr>
                <w:rFonts w:hint="eastAsia" w:ascii="Times New Roman" w:hAnsi="Times New Roman"/>
                <w:color w:val="auto"/>
                <w:sz w:val="24"/>
              </w:rPr>
              <w:t>局部构造风险</w:t>
            </w:r>
          </w:p>
          <w:p w14:paraId="7851E2F3">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480" w:firstLineChars="200"/>
              <w:textAlignment w:val="auto"/>
              <w:rPr>
                <w:rFonts w:hint="eastAsia" w:ascii="Times New Roman" w:hAnsi="Times New Roman"/>
                <w:color w:val="auto"/>
                <w:sz w:val="24"/>
              </w:rPr>
            </w:pPr>
            <w:r>
              <w:rPr>
                <w:rFonts w:hint="eastAsia" w:ascii="Times New Roman" w:hAnsi="Times New Roman"/>
                <w:color w:val="auto"/>
                <w:sz w:val="24"/>
              </w:rPr>
              <w:t>结合矿井勘探现状，工作面所在的东翼区域因勘探线密度不足，局部断层控制程度较弱，可能存在未探明的小型隐伏断层或裂隙发育带；此类局部构造可能导致煤层厚度突变、顶底板岩性变化，或引发局部砂岩裂隙水富集，需通过本次地面探查钻孔进一步验证与圈定，避免盾构机施工过程中遭遇构造异常风险。</w:t>
            </w:r>
          </w:p>
          <w:p w14:paraId="676CA439">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leftChars="0" w:firstLine="480" w:firstLineChars="200"/>
              <w:textAlignment w:val="auto"/>
              <w:rPr>
                <w:rFonts w:hint="eastAsia" w:ascii="Times New Roman" w:hAnsi="Times New Roman"/>
                <w:color w:val="auto"/>
                <w:sz w:val="24"/>
              </w:rPr>
            </w:pPr>
            <w:r>
              <w:rPr>
                <w:rFonts w:hint="eastAsia" w:ascii="Times New Roman" w:hAnsi="Times New Roman" w:eastAsia="宋体" w:cs="Times New Roman"/>
                <w:color w:val="auto"/>
                <w:kern w:val="2"/>
                <w:sz w:val="24"/>
                <w:szCs w:val="24"/>
                <w:lang w:val="en-US" w:eastAsia="zh-CN" w:bidi="ar-SA"/>
              </w:rPr>
              <w:t>3）</w:t>
            </w:r>
            <w:r>
              <w:rPr>
                <w:rFonts w:hint="eastAsia" w:ascii="Times New Roman" w:hAnsi="Times New Roman"/>
                <w:color w:val="auto"/>
                <w:sz w:val="24"/>
              </w:rPr>
              <w:t>岩层稳定性</w:t>
            </w:r>
          </w:p>
          <w:p w14:paraId="4E348F8C">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lang w:eastAsia="zh-CN"/>
              </w:rPr>
            </w:pPr>
            <w:r>
              <w:rPr>
                <w:rFonts w:hint="eastAsia" w:ascii="Times New Roman" w:hAnsi="Times New Roman"/>
                <w:color w:val="auto"/>
                <w:sz w:val="24"/>
              </w:rPr>
              <w:t>工作面地层以二叠系煤系地层为主，岩性主要为煤层、砂岩、泥岩、砂质泥岩等，其中砂岩作为煤层顶底板时，厚度变化较大，其稳定性取决于裂隙发育程度——由于煤系砂岩裂隙发育具有不均一性，局部可能存在裂隙开启度大、延展长度长的区域，易导致顶底板岩层稳定性下降，需通过钻孔岩芯观测准确判断岩层裂隙分布，为盾构机支护方案设计提供依据。</w:t>
            </w:r>
          </w:p>
        </w:tc>
      </w:tr>
    </w:tbl>
    <w:p w14:paraId="433EF20F">
      <w:pPr>
        <w:pStyle w:val="19"/>
        <w:widowControl/>
        <w:numPr>
          <w:ilvl w:val="0"/>
          <w:numId w:val="0"/>
        </w:numPr>
        <w:spacing w:before="100" w:beforeAutospacing="1" w:after="100" w:afterAutospacing="1"/>
        <w:jc w:val="center"/>
        <w:outlineLvl w:val="0"/>
        <w:rPr>
          <w:rFonts w:ascii="Times New Roman" w:hAnsi="Times New Roman" w:eastAsia="黑体"/>
          <w:snapToGrid w:val="0"/>
          <w:color w:val="auto"/>
          <w:sz w:val="30"/>
          <w:szCs w:val="30"/>
        </w:rPr>
        <w:sectPr>
          <w:pgSz w:w="11906" w:h="16838"/>
          <w:pgMar w:top="1440" w:right="1800" w:bottom="1440" w:left="1800" w:header="851" w:footer="1077" w:gutter="0"/>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3753"/>
      </w:tblGrid>
      <w:tr w14:paraId="6C55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4" w:hRule="atLeast"/>
        </w:trPr>
        <w:tc>
          <w:tcPr>
            <w:tcW w:w="421" w:type="dxa"/>
          </w:tcPr>
          <w:p w14:paraId="4B1351BD">
            <w:pPr>
              <w:adjustRightInd w:val="0"/>
              <w:snapToGrid w:val="0"/>
              <w:jc w:val="center"/>
              <w:rPr>
                <w:rFonts w:hint="eastAsia" w:ascii="Times New Roman" w:hAnsi="Times New Roman" w:eastAsia="黑体"/>
                <w:snapToGrid w:val="0"/>
                <w:color w:val="auto"/>
                <w:sz w:val="30"/>
                <w:szCs w:val="30"/>
                <w:vertAlign w:val="baseline"/>
                <w:lang w:val="en-US" w:eastAsia="zh-CN"/>
              </w:rPr>
            </w:pPr>
            <w:r>
              <w:rPr>
                <w:rFonts w:hint="eastAsia" w:ascii="Times New Roman" w:hAnsi="Times New Roman" w:eastAsia="宋体" w:cs="Times New Roman"/>
                <w:color w:val="auto"/>
                <w:kern w:val="0"/>
                <w:sz w:val="24"/>
                <w:lang w:val="en-US" w:eastAsia="zh-CN"/>
              </w:rPr>
              <w:t>项目组成及规模</w:t>
            </w:r>
          </w:p>
        </w:tc>
        <w:tc>
          <w:tcPr>
            <w:tcW w:w="13753" w:type="dxa"/>
          </w:tcPr>
          <w:p w14:paraId="64BC2575">
            <w:pPr>
              <w:spacing w:line="360" w:lineRule="auto"/>
              <w:jc w:val="center"/>
              <w:rPr>
                <w:rFonts w:hint="default" w:ascii="Times New Roman" w:hAnsi="Times New Roman"/>
                <w:b/>
                <w:color w:val="auto"/>
                <w:szCs w:val="21"/>
                <w:lang w:val="en-US" w:eastAsia="zh-CN"/>
              </w:rPr>
            </w:pPr>
            <w:r>
              <w:rPr>
                <w:rFonts w:hint="eastAsia" w:ascii="Times New Roman" w:hAnsi="Times New Roman"/>
                <w:b/>
                <w:color w:val="auto"/>
                <w:szCs w:val="21"/>
                <w:lang w:val="en-US" w:eastAsia="zh-CN"/>
              </w:rPr>
              <w:t>表2-3  钻孔点位及井场现状一览表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888"/>
              <w:gridCol w:w="1781"/>
              <w:gridCol w:w="5786"/>
              <w:gridCol w:w="726"/>
              <w:gridCol w:w="1169"/>
              <w:gridCol w:w="1531"/>
              <w:gridCol w:w="1089"/>
            </w:tblGrid>
            <w:tr w14:paraId="560D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05" w:type="pct"/>
                  <w:vAlign w:val="center"/>
                </w:tcPr>
                <w:p w14:paraId="75A06730">
                  <w:pPr>
                    <w:pStyle w:val="34"/>
                    <w:bidi w:val="0"/>
                    <w:rPr>
                      <w:rFonts w:hint="eastAsia"/>
                      <w:color w:val="auto"/>
                      <w:lang w:eastAsia="zh-CN"/>
                    </w:rPr>
                  </w:pPr>
                  <w:r>
                    <w:rPr>
                      <w:rFonts w:hint="eastAsia"/>
                      <w:color w:val="auto"/>
                      <w:lang w:eastAsia="zh-CN"/>
                    </w:rPr>
                    <w:t>序号</w:t>
                  </w:r>
                </w:p>
              </w:tc>
              <w:tc>
                <w:tcPr>
                  <w:tcW w:w="328" w:type="pct"/>
                  <w:vAlign w:val="center"/>
                </w:tcPr>
                <w:p w14:paraId="4816028C">
                  <w:pPr>
                    <w:pStyle w:val="34"/>
                    <w:bidi w:val="0"/>
                    <w:rPr>
                      <w:rFonts w:hint="eastAsia"/>
                      <w:color w:val="auto"/>
                      <w:lang w:val="en-US" w:eastAsia="zh-CN"/>
                    </w:rPr>
                  </w:pPr>
                  <w:r>
                    <w:rPr>
                      <w:rFonts w:hint="eastAsia"/>
                      <w:color w:val="auto"/>
                      <w:lang w:val="en-US" w:eastAsia="zh-CN"/>
                    </w:rPr>
                    <w:t>钻孔点位编号</w:t>
                  </w:r>
                </w:p>
              </w:tc>
              <w:tc>
                <w:tcPr>
                  <w:tcW w:w="658" w:type="pct"/>
                  <w:vAlign w:val="center"/>
                </w:tcPr>
                <w:p w14:paraId="094A8E07">
                  <w:pPr>
                    <w:pStyle w:val="34"/>
                    <w:bidi w:val="0"/>
                    <w:rPr>
                      <w:rFonts w:hint="eastAsia"/>
                      <w:color w:val="auto"/>
                      <w:lang w:eastAsia="zh-CN"/>
                    </w:rPr>
                  </w:pPr>
                  <w:r>
                    <w:rPr>
                      <w:color w:val="auto"/>
                    </w:rPr>
                    <w:t>钻孔坐标</w:t>
                  </w:r>
                </w:p>
              </w:tc>
              <w:tc>
                <w:tcPr>
                  <w:tcW w:w="2138" w:type="pct"/>
                  <w:vAlign w:val="center"/>
                </w:tcPr>
                <w:p w14:paraId="79F6EC28">
                  <w:pPr>
                    <w:pStyle w:val="34"/>
                    <w:bidi w:val="0"/>
                    <w:rPr>
                      <w:rFonts w:hint="eastAsia"/>
                      <w:color w:val="auto"/>
                      <w:lang w:eastAsia="zh-CN"/>
                    </w:rPr>
                  </w:pPr>
                  <w:r>
                    <w:rPr>
                      <w:color w:val="auto"/>
                    </w:rPr>
                    <w:t>现状</w:t>
                  </w:r>
                  <w:r>
                    <w:rPr>
                      <w:rFonts w:hint="eastAsia"/>
                      <w:color w:val="auto"/>
                      <w:lang w:eastAsia="zh-CN"/>
                    </w:rPr>
                    <w:t>图片</w:t>
                  </w:r>
                </w:p>
              </w:tc>
              <w:tc>
                <w:tcPr>
                  <w:tcW w:w="268" w:type="pct"/>
                  <w:vAlign w:val="center"/>
                </w:tcPr>
                <w:p w14:paraId="2BA23285">
                  <w:pPr>
                    <w:pStyle w:val="34"/>
                    <w:spacing w:before="0"/>
                    <w:rPr>
                      <w:rFonts w:hint="eastAsia"/>
                      <w:color w:val="auto"/>
                      <w:lang w:eastAsia="zh-CN"/>
                    </w:rPr>
                  </w:pPr>
                  <w:r>
                    <w:rPr>
                      <w:rFonts w:cs="Times New Roman"/>
                      <w:sz w:val="21"/>
                    </w:rPr>
                    <w:t>占地类型</w:t>
                  </w:r>
                </w:p>
              </w:tc>
              <w:tc>
                <w:tcPr>
                  <w:tcW w:w="432" w:type="pct"/>
                  <w:vAlign w:val="center"/>
                </w:tcPr>
                <w:p w14:paraId="791EE036">
                  <w:pPr>
                    <w:pStyle w:val="34"/>
                    <w:spacing w:before="0"/>
                    <w:rPr>
                      <w:rFonts w:hint="eastAsia"/>
                      <w:color w:val="auto"/>
                      <w:highlight w:val="none"/>
                      <w:lang w:eastAsia="zh-CN"/>
                    </w:rPr>
                  </w:pPr>
                  <w:r>
                    <w:rPr>
                      <w:rFonts w:cs="Times New Roman"/>
                      <w:color w:val="auto"/>
                      <w:sz w:val="21"/>
                      <w:highlight w:val="none"/>
                    </w:rPr>
                    <w:t>井场占地面积（m</w:t>
                  </w:r>
                  <w:r>
                    <w:rPr>
                      <w:rFonts w:cs="Times New Roman"/>
                      <w:color w:val="auto"/>
                      <w:sz w:val="21"/>
                      <w:highlight w:val="none"/>
                      <w:vertAlign w:val="superscript"/>
                    </w:rPr>
                    <w:t>2</w:t>
                  </w:r>
                  <w:r>
                    <w:rPr>
                      <w:rFonts w:cs="Times New Roman"/>
                      <w:color w:val="auto"/>
                      <w:sz w:val="21"/>
                      <w:highlight w:val="none"/>
                    </w:rPr>
                    <w:t>）</w:t>
                  </w:r>
                </w:p>
              </w:tc>
              <w:tc>
                <w:tcPr>
                  <w:tcW w:w="565" w:type="pct"/>
                  <w:vAlign w:val="center"/>
                </w:tcPr>
                <w:p w14:paraId="73C60FC8">
                  <w:pPr>
                    <w:pStyle w:val="34"/>
                    <w:spacing w:before="0"/>
                    <w:rPr>
                      <w:rFonts w:hint="eastAsia"/>
                      <w:color w:val="auto"/>
                      <w:highlight w:val="none"/>
                      <w:lang w:eastAsia="zh-CN"/>
                    </w:rPr>
                  </w:pPr>
                  <w:r>
                    <w:rPr>
                      <w:rFonts w:hint="eastAsia" w:cs="Times New Roman"/>
                      <w:color w:val="auto"/>
                      <w:sz w:val="21"/>
                      <w:highlight w:val="none"/>
                      <w:lang w:val="en-US" w:eastAsia="zh-CN"/>
                    </w:rPr>
                    <w:t>表土堆放区占地面积</w:t>
                  </w:r>
                  <w:r>
                    <w:rPr>
                      <w:rFonts w:cs="Times New Roman"/>
                      <w:color w:val="auto"/>
                      <w:sz w:val="21"/>
                      <w:highlight w:val="none"/>
                    </w:rPr>
                    <w:t>（m</w:t>
                  </w:r>
                  <w:r>
                    <w:rPr>
                      <w:rFonts w:cs="Times New Roman"/>
                      <w:color w:val="auto"/>
                      <w:sz w:val="21"/>
                      <w:highlight w:val="none"/>
                      <w:vertAlign w:val="superscript"/>
                    </w:rPr>
                    <w:t>2</w:t>
                  </w:r>
                  <w:r>
                    <w:rPr>
                      <w:rFonts w:cs="Times New Roman"/>
                      <w:color w:val="auto"/>
                      <w:sz w:val="21"/>
                      <w:highlight w:val="none"/>
                    </w:rPr>
                    <w:t>）</w:t>
                  </w:r>
                </w:p>
              </w:tc>
              <w:tc>
                <w:tcPr>
                  <w:tcW w:w="402" w:type="pct"/>
                  <w:vAlign w:val="center"/>
                </w:tcPr>
                <w:p w14:paraId="49E46972">
                  <w:pPr>
                    <w:pStyle w:val="34"/>
                    <w:spacing w:before="0"/>
                    <w:rPr>
                      <w:rFonts w:hint="eastAsia"/>
                      <w:color w:val="auto"/>
                      <w:highlight w:val="none"/>
                      <w:lang w:eastAsia="zh-CN"/>
                    </w:rPr>
                  </w:pPr>
                  <w:r>
                    <w:rPr>
                      <w:rFonts w:cs="Times New Roman"/>
                      <w:color w:val="auto"/>
                      <w:sz w:val="21"/>
                      <w:highlight w:val="none"/>
                    </w:rPr>
                    <w:t>表土剥离量（m</w:t>
                  </w:r>
                  <w:r>
                    <w:rPr>
                      <w:rFonts w:cs="Times New Roman"/>
                      <w:color w:val="auto"/>
                      <w:sz w:val="21"/>
                      <w:highlight w:val="none"/>
                      <w:vertAlign w:val="superscript"/>
                    </w:rPr>
                    <w:t>3</w:t>
                  </w:r>
                  <w:r>
                    <w:rPr>
                      <w:rFonts w:cs="Times New Roman"/>
                      <w:color w:val="auto"/>
                      <w:sz w:val="21"/>
                      <w:highlight w:val="none"/>
                    </w:rPr>
                    <w:t>）</w:t>
                  </w:r>
                </w:p>
              </w:tc>
            </w:tr>
            <w:tr w14:paraId="7CD4F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7" w:hRule="atLeast"/>
                <w:jc w:val="center"/>
              </w:trPr>
              <w:tc>
                <w:tcPr>
                  <w:tcW w:w="205" w:type="pct"/>
                  <w:vAlign w:val="center"/>
                </w:tcPr>
                <w:p w14:paraId="61A2305B">
                  <w:pPr>
                    <w:pStyle w:val="34"/>
                    <w:bidi w:val="0"/>
                    <w:rPr>
                      <w:rFonts w:hint="default"/>
                      <w:color w:val="auto"/>
                      <w:lang w:val="en-US" w:eastAsia="zh-CN"/>
                    </w:rPr>
                  </w:pPr>
                  <w:r>
                    <w:rPr>
                      <w:rFonts w:hint="eastAsia"/>
                      <w:color w:val="auto"/>
                      <w:lang w:val="en-US" w:eastAsia="zh-CN"/>
                    </w:rPr>
                    <w:t>1</w:t>
                  </w:r>
                </w:p>
              </w:tc>
              <w:tc>
                <w:tcPr>
                  <w:tcW w:w="328" w:type="pct"/>
                  <w:vAlign w:val="center"/>
                </w:tcPr>
                <w:p w14:paraId="57AD0163">
                  <w:pPr>
                    <w:pStyle w:val="34"/>
                    <w:bidi w:val="0"/>
                    <w:rPr>
                      <w:rFonts w:hint="default"/>
                      <w:color w:val="auto"/>
                      <w:lang w:val="en-US" w:eastAsia="zh-CN"/>
                    </w:rPr>
                  </w:pPr>
                  <w:r>
                    <w:rPr>
                      <w:rFonts w:hint="eastAsia"/>
                      <w:color w:val="auto"/>
                      <w:lang w:val="en-US" w:eastAsia="zh-CN"/>
                    </w:rPr>
                    <w:t>DG1-1</w:t>
                  </w:r>
                </w:p>
              </w:tc>
              <w:tc>
                <w:tcPr>
                  <w:tcW w:w="658" w:type="pct"/>
                  <w:vAlign w:val="center"/>
                </w:tcPr>
                <w:p w14:paraId="01EFBA7F">
                  <w:pPr>
                    <w:pStyle w:val="34"/>
                    <w:bidi w:val="0"/>
                    <w:rPr>
                      <w:rFonts w:hint="default"/>
                      <w:color w:val="auto"/>
                    </w:rPr>
                  </w:pPr>
                  <w:r>
                    <w:rPr>
                      <w:rFonts w:hint="default"/>
                      <w:color w:val="auto"/>
                    </w:rPr>
                    <w:t>116度43分28.916秒，32度53分14.446秒</w:t>
                  </w:r>
                </w:p>
              </w:tc>
              <w:tc>
                <w:tcPr>
                  <w:tcW w:w="2138" w:type="pct"/>
                  <w:vAlign w:val="center"/>
                </w:tcPr>
                <w:p w14:paraId="48AF8618">
                  <w:pPr>
                    <w:pStyle w:val="34"/>
                    <w:bidi w:val="0"/>
                    <w:rPr>
                      <w:rFonts w:hint="eastAsia"/>
                      <w:color w:val="auto"/>
                      <w:lang w:eastAsia="zh-CN"/>
                    </w:rPr>
                  </w:pPr>
                  <w:r>
                    <w:drawing>
                      <wp:inline distT="0" distB="0" distL="114300" distR="114300">
                        <wp:extent cx="3660140" cy="2200910"/>
                        <wp:effectExtent l="0" t="0" r="16510" b="889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8"/>
                                <a:stretch>
                                  <a:fillRect/>
                                </a:stretch>
                              </pic:blipFill>
                              <pic:spPr>
                                <a:xfrm>
                                  <a:off x="0" y="0"/>
                                  <a:ext cx="3660140" cy="2200910"/>
                                </a:xfrm>
                                <a:prstGeom prst="rect">
                                  <a:avLst/>
                                </a:prstGeom>
                                <a:noFill/>
                                <a:ln>
                                  <a:noFill/>
                                </a:ln>
                              </pic:spPr>
                            </pic:pic>
                          </a:graphicData>
                        </a:graphic>
                      </wp:inline>
                    </w:drawing>
                  </w:r>
                </w:p>
              </w:tc>
              <w:tc>
                <w:tcPr>
                  <w:tcW w:w="268" w:type="pct"/>
                  <w:vAlign w:val="center"/>
                </w:tcPr>
                <w:p w14:paraId="5B6A8F85">
                  <w:pPr>
                    <w:pStyle w:val="34"/>
                    <w:bidi w:val="0"/>
                    <w:rPr>
                      <w:rFonts w:hint="default"/>
                      <w:color w:val="auto"/>
                      <w:lang w:val="en-US" w:eastAsia="zh-CN"/>
                    </w:rPr>
                  </w:pPr>
                  <w:r>
                    <w:rPr>
                      <w:rFonts w:hint="eastAsia"/>
                      <w:color w:val="auto"/>
                      <w:lang w:val="en-US" w:eastAsia="zh-CN"/>
                    </w:rPr>
                    <w:t>基本农田</w:t>
                  </w:r>
                </w:p>
              </w:tc>
              <w:tc>
                <w:tcPr>
                  <w:tcW w:w="432" w:type="pct"/>
                  <w:vAlign w:val="center"/>
                </w:tcPr>
                <w:p w14:paraId="2208D223">
                  <w:pPr>
                    <w:keepNext w:val="0"/>
                    <w:keepLines w:val="0"/>
                    <w:pageBreakBefore w:val="0"/>
                    <w:widowControl/>
                    <w:suppressLineNumbers w:val="0"/>
                    <w:shd w:val="clear"/>
                    <w:wordWrap/>
                    <w:overflowPunct/>
                    <w:topLinePunct w:val="0"/>
                    <w:bidi w:val="0"/>
                    <w:spacing w:line="240" w:lineRule="exact"/>
                    <w:jc w:val="center"/>
                    <w:textAlignment w:val="center"/>
                    <w:rPr>
                      <w:rFonts w:hint="default" w:ascii="宋体" w:hAnsi="宋体" w:eastAsia="宋体" w:cs="宋体"/>
                      <w:color w:val="auto"/>
                      <w:sz w:val="18"/>
                      <w:szCs w:val="18"/>
                      <w:lang w:val="en-US" w:eastAsia="zh-CN"/>
                    </w:rPr>
                  </w:pPr>
                  <w:r>
                    <w:rPr>
                      <w:rFonts w:hint="eastAsia" w:ascii="宋体" w:hAnsi="宋体" w:cs="宋体"/>
                      <w:i w:val="0"/>
                      <w:iCs w:val="0"/>
                      <w:snapToGrid w:val="0"/>
                      <w:color w:val="auto"/>
                      <w:kern w:val="0"/>
                      <w:sz w:val="18"/>
                      <w:szCs w:val="18"/>
                      <w:highlight w:val="none"/>
                      <w:u w:val="none"/>
                      <w:lang w:val="en-US" w:eastAsia="zh-CN" w:bidi="ar"/>
                    </w:rPr>
                    <w:t>532</w:t>
                  </w:r>
                </w:p>
              </w:tc>
              <w:tc>
                <w:tcPr>
                  <w:tcW w:w="565" w:type="pct"/>
                  <w:vAlign w:val="center"/>
                </w:tcPr>
                <w:p w14:paraId="39CC702B">
                  <w:pPr>
                    <w:keepNext w:val="0"/>
                    <w:keepLines w:val="0"/>
                    <w:pageBreakBefore w:val="0"/>
                    <w:widowControl/>
                    <w:suppressLineNumbers w:val="0"/>
                    <w:shd w:val="clear"/>
                    <w:wordWrap/>
                    <w:overflowPunct/>
                    <w:topLinePunct w:val="0"/>
                    <w:bidi w:val="0"/>
                    <w:spacing w:line="240" w:lineRule="exact"/>
                    <w:jc w:val="center"/>
                    <w:textAlignment w:val="center"/>
                    <w:rPr>
                      <w:rFonts w:hint="default" w:ascii="宋体" w:hAnsi="宋体" w:eastAsia="宋体" w:cs="宋体"/>
                      <w:color w:val="auto"/>
                      <w:sz w:val="18"/>
                      <w:szCs w:val="18"/>
                      <w:lang w:val="en-US" w:eastAsia="zh-CN"/>
                    </w:rPr>
                  </w:pPr>
                  <w:r>
                    <w:rPr>
                      <w:rFonts w:hint="eastAsia" w:ascii="宋体" w:hAnsi="宋体" w:cs="宋体"/>
                      <w:i w:val="0"/>
                      <w:iCs w:val="0"/>
                      <w:snapToGrid w:val="0"/>
                      <w:color w:val="auto"/>
                      <w:kern w:val="0"/>
                      <w:sz w:val="18"/>
                      <w:szCs w:val="18"/>
                      <w:highlight w:val="none"/>
                      <w:u w:val="none"/>
                      <w:lang w:val="en-US" w:eastAsia="zh-CN" w:bidi="ar"/>
                    </w:rPr>
                    <w:t>72</w:t>
                  </w:r>
                </w:p>
              </w:tc>
              <w:tc>
                <w:tcPr>
                  <w:tcW w:w="402" w:type="pct"/>
                  <w:vAlign w:val="center"/>
                </w:tcPr>
                <w:p w14:paraId="284EFA48">
                  <w:pPr>
                    <w:keepNext w:val="0"/>
                    <w:keepLines w:val="0"/>
                    <w:pageBreakBefore w:val="0"/>
                    <w:widowControl/>
                    <w:suppressLineNumbers w:val="0"/>
                    <w:shd w:val="clear"/>
                    <w:wordWrap/>
                    <w:overflowPunct/>
                    <w:topLinePunct w:val="0"/>
                    <w:bidi w:val="0"/>
                    <w:spacing w:line="240" w:lineRule="exact"/>
                    <w:jc w:val="center"/>
                    <w:textAlignment w:val="center"/>
                    <w:rPr>
                      <w:rFonts w:hint="default" w:ascii="宋体" w:hAnsi="宋体" w:cs="宋体"/>
                      <w:i w:val="0"/>
                      <w:iCs w:val="0"/>
                      <w:snapToGrid w:val="0"/>
                      <w:color w:val="auto"/>
                      <w:kern w:val="0"/>
                      <w:sz w:val="18"/>
                      <w:szCs w:val="18"/>
                      <w:highlight w:val="none"/>
                      <w:u w:val="none"/>
                      <w:lang w:val="en-US" w:eastAsia="zh-CN" w:bidi="ar"/>
                    </w:rPr>
                  </w:pPr>
                  <w:r>
                    <w:rPr>
                      <w:rFonts w:hint="eastAsia" w:ascii="宋体" w:hAnsi="宋体" w:cs="宋体"/>
                      <w:i w:val="0"/>
                      <w:iCs w:val="0"/>
                      <w:snapToGrid w:val="0"/>
                      <w:color w:val="auto"/>
                      <w:kern w:val="0"/>
                      <w:sz w:val="18"/>
                      <w:szCs w:val="18"/>
                      <w:highlight w:val="none"/>
                      <w:u w:val="none"/>
                      <w:lang w:val="en-US" w:eastAsia="zh-CN" w:bidi="ar"/>
                    </w:rPr>
                    <w:t>115</w:t>
                  </w:r>
                </w:p>
              </w:tc>
            </w:tr>
            <w:tr w14:paraId="68E2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9" w:hRule="atLeast"/>
                <w:jc w:val="center"/>
              </w:trPr>
              <w:tc>
                <w:tcPr>
                  <w:tcW w:w="205" w:type="pct"/>
                  <w:vAlign w:val="center"/>
                </w:tcPr>
                <w:p w14:paraId="43304E6A">
                  <w:pPr>
                    <w:pStyle w:val="34"/>
                    <w:bidi w:val="0"/>
                    <w:rPr>
                      <w:rFonts w:hint="default"/>
                      <w:color w:val="auto"/>
                      <w:lang w:val="en-US" w:eastAsia="zh-CN"/>
                    </w:rPr>
                  </w:pPr>
                  <w:r>
                    <w:rPr>
                      <w:rFonts w:hint="eastAsia"/>
                      <w:color w:val="auto"/>
                      <w:lang w:val="en-US" w:eastAsia="zh-CN"/>
                    </w:rPr>
                    <w:t>2</w:t>
                  </w:r>
                </w:p>
              </w:tc>
              <w:tc>
                <w:tcPr>
                  <w:tcW w:w="328" w:type="pct"/>
                  <w:vAlign w:val="center"/>
                </w:tcPr>
                <w:p w14:paraId="386E6768">
                  <w:pPr>
                    <w:pStyle w:val="34"/>
                    <w:bidi w:val="0"/>
                    <w:rPr>
                      <w:rFonts w:hint="default"/>
                      <w:color w:val="auto"/>
                      <w:lang w:val="en-US" w:eastAsia="zh-CN"/>
                    </w:rPr>
                  </w:pPr>
                  <w:r>
                    <w:rPr>
                      <w:rFonts w:hint="eastAsia"/>
                      <w:color w:val="auto"/>
                      <w:lang w:val="en-US" w:eastAsia="zh-CN"/>
                    </w:rPr>
                    <w:t>DG1-2</w:t>
                  </w:r>
                </w:p>
              </w:tc>
              <w:tc>
                <w:tcPr>
                  <w:tcW w:w="658" w:type="pct"/>
                  <w:vAlign w:val="center"/>
                </w:tcPr>
                <w:p w14:paraId="3483F494">
                  <w:pPr>
                    <w:pStyle w:val="34"/>
                    <w:bidi w:val="0"/>
                    <w:rPr>
                      <w:color w:val="auto"/>
                    </w:rPr>
                  </w:pPr>
                  <w:r>
                    <w:rPr>
                      <w:rFonts w:hint="default"/>
                      <w:color w:val="auto"/>
                    </w:rPr>
                    <w:t>116度43分27.800秒，32度53分7.102秒</w:t>
                  </w:r>
                </w:p>
              </w:tc>
              <w:tc>
                <w:tcPr>
                  <w:tcW w:w="2138" w:type="pct"/>
                  <w:vAlign w:val="center"/>
                </w:tcPr>
                <w:p w14:paraId="15BDFECE">
                  <w:pPr>
                    <w:pStyle w:val="34"/>
                    <w:bidi w:val="0"/>
                    <w:rPr>
                      <w:rFonts w:hint="eastAsia"/>
                      <w:color w:val="auto"/>
                      <w:lang w:eastAsia="zh-CN"/>
                    </w:rPr>
                  </w:pPr>
                  <w:r>
                    <w:drawing>
                      <wp:inline distT="0" distB="0" distL="114300" distR="114300">
                        <wp:extent cx="3919220" cy="2292985"/>
                        <wp:effectExtent l="0" t="0" r="5080"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3919220" cy="2292985"/>
                                </a:xfrm>
                                <a:prstGeom prst="rect">
                                  <a:avLst/>
                                </a:prstGeom>
                                <a:noFill/>
                                <a:ln>
                                  <a:noFill/>
                                </a:ln>
                              </pic:spPr>
                            </pic:pic>
                          </a:graphicData>
                        </a:graphic>
                      </wp:inline>
                    </w:drawing>
                  </w:r>
                </w:p>
              </w:tc>
              <w:tc>
                <w:tcPr>
                  <w:tcW w:w="268" w:type="pct"/>
                  <w:vAlign w:val="center"/>
                </w:tcPr>
                <w:p w14:paraId="08201A09">
                  <w:pPr>
                    <w:bidi w:val="0"/>
                    <w:rPr>
                      <w:rFonts w:hint="eastAsia"/>
                      <w:color w:val="auto"/>
                      <w:sz w:val="18"/>
                      <w:szCs w:val="18"/>
                      <w:lang w:eastAsia="zh-CN"/>
                    </w:rPr>
                  </w:pPr>
                  <w:r>
                    <w:rPr>
                      <w:rFonts w:hint="eastAsia"/>
                      <w:color w:val="auto"/>
                      <w:sz w:val="18"/>
                      <w:szCs w:val="18"/>
                      <w:lang w:val="en-US" w:eastAsia="zh-CN"/>
                    </w:rPr>
                    <w:t>基本农田</w:t>
                  </w:r>
                </w:p>
              </w:tc>
              <w:tc>
                <w:tcPr>
                  <w:tcW w:w="432" w:type="pct"/>
                  <w:vAlign w:val="center"/>
                </w:tcPr>
                <w:p w14:paraId="0F423956">
                  <w:pPr>
                    <w:keepNext w:val="0"/>
                    <w:keepLines w:val="0"/>
                    <w:pageBreakBefore w:val="0"/>
                    <w:widowControl/>
                    <w:suppressLineNumbers w:val="0"/>
                    <w:shd w:val="clear"/>
                    <w:wordWrap/>
                    <w:overflowPunct/>
                    <w:topLinePunct w:val="0"/>
                    <w:bidi w:val="0"/>
                    <w:spacing w:line="240" w:lineRule="exact"/>
                    <w:jc w:val="center"/>
                    <w:textAlignment w:val="center"/>
                    <w:rPr>
                      <w:rFonts w:hint="default" w:ascii="宋体" w:hAnsi="宋体" w:eastAsia="宋体" w:cs="宋体"/>
                      <w:color w:val="auto"/>
                      <w:sz w:val="18"/>
                      <w:szCs w:val="18"/>
                      <w:lang w:val="en-US" w:eastAsia="zh-CN"/>
                    </w:rPr>
                  </w:pPr>
                  <w:r>
                    <w:rPr>
                      <w:rFonts w:hint="eastAsia" w:ascii="宋体" w:hAnsi="宋体" w:cs="宋体"/>
                      <w:i w:val="0"/>
                      <w:iCs w:val="0"/>
                      <w:snapToGrid w:val="0"/>
                      <w:color w:val="auto"/>
                      <w:kern w:val="0"/>
                      <w:sz w:val="18"/>
                      <w:szCs w:val="18"/>
                      <w:highlight w:val="none"/>
                      <w:u w:val="none"/>
                      <w:lang w:val="en-US" w:eastAsia="zh-CN" w:bidi="ar"/>
                    </w:rPr>
                    <w:t>542</w:t>
                  </w:r>
                </w:p>
              </w:tc>
              <w:tc>
                <w:tcPr>
                  <w:tcW w:w="565" w:type="pct"/>
                  <w:vAlign w:val="center"/>
                </w:tcPr>
                <w:p w14:paraId="7536F6AA">
                  <w:pPr>
                    <w:keepNext w:val="0"/>
                    <w:keepLines w:val="0"/>
                    <w:pageBreakBefore w:val="0"/>
                    <w:widowControl/>
                    <w:suppressLineNumbers w:val="0"/>
                    <w:shd w:val="clear"/>
                    <w:wordWrap/>
                    <w:overflowPunct/>
                    <w:topLinePunct w:val="0"/>
                    <w:bidi w:val="0"/>
                    <w:spacing w:line="240" w:lineRule="exact"/>
                    <w:jc w:val="center"/>
                    <w:textAlignment w:val="center"/>
                    <w:rPr>
                      <w:rFonts w:hint="default" w:ascii="宋体" w:hAnsi="宋体" w:eastAsia="宋体" w:cs="宋体"/>
                      <w:color w:val="auto"/>
                      <w:sz w:val="18"/>
                      <w:szCs w:val="18"/>
                      <w:lang w:val="en-US" w:eastAsia="zh-CN"/>
                    </w:rPr>
                  </w:pPr>
                  <w:r>
                    <w:rPr>
                      <w:rFonts w:hint="eastAsia" w:ascii="宋体" w:hAnsi="宋体" w:cs="宋体"/>
                      <w:i w:val="0"/>
                      <w:iCs w:val="0"/>
                      <w:snapToGrid w:val="0"/>
                      <w:color w:val="auto"/>
                      <w:kern w:val="0"/>
                      <w:sz w:val="18"/>
                      <w:szCs w:val="18"/>
                      <w:highlight w:val="none"/>
                      <w:u w:val="none"/>
                      <w:lang w:val="en-US" w:eastAsia="zh-CN" w:bidi="ar"/>
                    </w:rPr>
                    <w:t>72</w:t>
                  </w:r>
                </w:p>
              </w:tc>
              <w:tc>
                <w:tcPr>
                  <w:tcW w:w="402" w:type="pct"/>
                  <w:vAlign w:val="center"/>
                </w:tcPr>
                <w:p w14:paraId="76912FFB">
                  <w:pPr>
                    <w:keepNext w:val="0"/>
                    <w:keepLines w:val="0"/>
                    <w:pageBreakBefore w:val="0"/>
                    <w:widowControl/>
                    <w:suppressLineNumbers w:val="0"/>
                    <w:shd w:val="clear"/>
                    <w:wordWrap/>
                    <w:overflowPunct/>
                    <w:topLinePunct w:val="0"/>
                    <w:bidi w:val="0"/>
                    <w:spacing w:line="240" w:lineRule="exact"/>
                    <w:jc w:val="center"/>
                    <w:textAlignment w:val="center"/>
                    <w:rPr>
                      <w:rFonts w:hint="default" w:ascii="宋体" w:hAnsi="宋体" w:cs="宋体"/>
                      <w:i w:val="0"/>
                      <w:iCs w:val="0"/>
                      <w:snapToGrid w:val="0"/>
                      <w:color w:val="auto"/>
                      <w:kern w:val="0"/>
                      <w:sz w:val="18"/>
                      <w:szCs w:val="18"/>
                      <w:highlight w:val="none"/>
                      <w:u w:val="none"/>
                      <w:lang w:val="en-US" w:eastAsia="zh-CN" w:bidi="ar"/>
                    </w:rPr>
                  </w:pPr>
                  <w:r>
                    <w:rPr>
                      <w:rFonts w:hint="eastAsia" w:ascii="宋体" w:hAnsi="宋体" w:cs="宋体"/>
                      <w:i w:val="0"/>
                      <w:iCs w:val="0"/>
                      <w:snapToGrid w:val="0"/>
                      <w:color w:val="auto"/>
                      <w:kern w:val="0"/>
                      <w:sz w:val="18"/>
                      <w:szCs w:val="18"/>
                      <w:highlight w:val="none"/>
                      <w:u w:val="none"/>
                      <w:lang w:val="en-US" w:eastAsia="zh-CN" w:bidi="ar"/>
                    </w:rPr>
                    <w:t>118</w:t>
                  </w:r>
                </w:p>
              </w:tc>
            </w:tr>
            <w:tr w14:paraId="66D2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6" w:hRule="atLeast"/>
                <w:jc w:val="center"/>
              </w:trPr>
              <w:tc>
                <w:tcPr>
                  <w:tcW w:w="205" w:type="pct"/>
                  <w:vAlign w:val="center"/>
                </w:tcPr>
                <w:p w14:paraId="6F3F33B3">
                  <w:pPr>
                    <w:pStyle w:val="34"/>
                    <w:bidi w:val="0"/>
                    <w:rPr>
                      <w:rFonts w:hint="default"/>
                      <w:color w:val="auto"/>
                      <w:lang w:val="en-US" w:eastAsia="zh-CN"/>
                    </w:rPr>
                  </w:pPr>
                  <w:r>
                    <w:rPr>
                      <w:rFonts w:hint="eastAsia"/>
                      <w:color w:val="auto"/>
                      <w:lang w:val="en-US" w:eastAsia="zh-CN"/>
                    </w:rPr>
                    <w:t>3</w:t>
                  </w:r>
                </w:p>
              </w:tc>
              <w:tc>
                <w:tcPr>
                  <w:tcW w:w="328" w:type="pct"/>
                  <w:vAlign w:val="center"/>
                </w:tcPr>
                <w:p w14:paraId="41EE01A8">
                  <w:pPr>
                    <w:pStyle w:val="34"/>
                    <w:bidi w:val="0"/>
                    <w:rPr>
                      <w:rFonts w:hint="default"/>
                      <w:color w:val="auto"/>
                      <w:lang w:val="en-US" w:eastAsia="zh-CN"/>
                    </w:rPr>
                  </w:pPr>
                  <w:r>
                    <w:rPr>
                      <w:rFonts w:hint="eastAsia"/>
                      <w:color w:val="auto"/>
                      <w:lang w:val="en-US" w:eastAsia="zh-CN"/>
                    </w:rPr>
                    <w:t>DG1-3</w:t>
                  </w:r>
                </w:p>
              </w:tc>
              <w:tc>
                <w:tcPr>
                  <w:tcW w:w="658" w:type="pct"/>
                  <w:vAlign w:val="center"/>
                </w:tcPr>
                <w:p w14:paraId="4AD99BFA">
                  <w:pPr>
                    <w:pStyle w:val="34"/>
                    <w:bidi w:val="0"/>
                    <w:rPr>
                      <w:rFonts w:hint="eastAsia"/>
                      <w:color w:val="auto"/>
                      <w:lang w:eastAsia="zh-CN"/>
                    </w:rPr>
                  </w:pPr>
                  <w:r>
                    <w:rPr>
                      <w:rFonts w:hint="default"/>
                      <w:color w:val="auto"/>
                    </w:rPr>
                    <w:t>116度43分26.083秒，32度53分0.970秒</w:t>
                  </w:r>
                </w:p>
              </w:tc>
              <w:tc>
                <w:tcPr>
                  <w:tcW w:w="2138" w:type="pct"/>
                  <w:vAlign w:val="center"/>
                </w:tcPr>
                <w:p w14:paraId="386BB6D2">
                  <w:pPr>
                    <w:pStyle w:val="34"/>
                    <w:bidi w:val="0"/>
                    <w:rPr>
                      <w:rFonts w:hint="eastAsia"/>
                      <w:color w:val="auto"/>
                      <w:lang w:eastAsia="zh-CN"/>
                    </w:rPr>
                  </w:pPr>
                  <w:r>
                    <w:drawing>
                      <wp:inline distT="0" distB="0" distL="114300" distR="114300">
                        <wp:extent cx="3954145" cy="2251075"/>
                        <wp:effectExtent l="0" t="0" r="8255" b="158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3954145" cy="2251075"/>
                                </a:xfrm>
                                <a:prstGeom prst="rect">
                                  <a:avLst/>
                                </a:prstGeom>
                                <a:noFill/>
                                <a:ln>
                                  <a:noFill/>
                                </a:ln>
                              </pic:spPr>
                            </pic:pic>
                          </a:graphicData>
                        </a:graphic>
                      </wp:inline>
                    </w:drawing>
                  </w:r>
                </w:p>
              </w:tc>
              <w:tc>
                <w:tcPr>
                  <w:tcW w:w="268" w:type="pct"/>
                  <w:vAlign w:val="center"/>
                </w:tcPr>
                <w:p w14:paraId="5CF96BD0">
                  <w:pPr>
                    <w:bidi w:val="0"/>
                    <w:rPr>
                      <w:color w:val="auto"/>
                      <w:sz w:val="18"/>
                      <w:szCs w:val="18"/>
                    </w:rPr>
                  </w:pPr>
                  <w:r>
                    <w:rPr>
                      <w:rFonts w:hint="eastAsia"/>
                      <w:color w:val="auto"/>
                      <w:sz w:val="18"/>
                      <w:szCs w:val="18"/>
                      <w:lang w:val="en-US" w:eastAsia="zh-CN"/>
                    </w:rPr>
                    <w:t>基本农田</w:t>
                  </w:r>
                </w:p>
              </w:tc>
              <w:tc>
                <w:tcPr>
                  <w:tcW w:w="432" w:type="pct"/>
                  <w:vAlign w:val="center"/>
                </w:tcPr>
                <w:p w14:paraId="5FFF8419">
                  <w:pPr>
                    <w:keepNext w:val="0"/>
                    <w:keepLines w:val="0"/>
                    <w:pageBreakBefore w:val="0"/>
                    <w:widowControl/>
                    <w:suppressLineNumbers w:val="0"/>
                    <w:shd w:val="clear"/>
                    <w:wordWrap/>
                    <w:overflowPunct/>
                    <w:topLinePunct w:val="0"/>
                    <w:bidi w:val="0"/>
                    <w:spacing w:line="240" w:lineRule="exact"/>
                    <w:jc w:val="center"/>
                    <w:textAlignment w:val="center"/>
                    <w:rPr>
                      <w:rFonts w:hint="default" w:ascii="宋体" w:hAnsi="宋体" w:eastAsia="宋体" w:cs="宋体"/>
                      <w:color w:val="auto"/>
                      <w:sz w:val="18"/>
                      <w:szCs w:val="18"/>
                      <w:lang w:val="en-US" w:eastAsia="zh-CN"/>
                    </w:rPr>
                  </w:pPr>
                  <w:r>
                    <w:rPr>
                      <w:rFonts w:hint="eastAsia" w:ascii="宋体" w:hAnsi="宋体" w:cs="宋体"/>
                      <w:i w:val="0"/>
                      <w:iCs w:val="0"/>
                      <w:snapToGrid w:val="0"/>
                      <w:color w:val="auto"/>
                      <w:kern w:val="0"/>
                      <w:sz w:val="18"/>
                      <w:szCs w:val="18"/>
                      <w:highlight w:val="none"/>
                      <w:u w:val="none"/>
                      <w:lang w:val="en-US" w:eastAsia="zh-CN" w:bidi="ar"/>
                    </w:rPr>
                    <w:t>494</w:t>
                  </w:r>
                </w:p>
              </w:tc>
              <w:tc>
                <w:tcPr>
                  <w:tcW w:w="565" w:type="pct"/>
                  <w:vAlign w:val="center"/>
                </w:tcPr>
                <w:p w14:paraId="3A370F1B">
                  <w:pPr>
                    <w:keepNext w:val="0"/>
                    <w:keepLines w:val="0"/>
                    <w:pageBreakBefore w:val="0"/>
                    <w:widowControl/>
                    <w:suppressLineNumbers w:val="0"/>
                    <w:shd w:val="clear"/>
                    <w:wordWrap/>
                    <w:overflowPunct/>
                    <w:topLinePunct w:val="0"/>
                    <w:bidi w:val="0"/>
                    <w:spacing w:line="240" w:lineRule="exact"/>
                    <w:jc w:val="center"/>
                    <w:textAlignment w:val="center"/>
                    <w:rPr>
                      <w:rFonts w:hint="default" w:ascii="宋体" w:hAnsi="宋体" w:eastAsia="宋体" w:cs="宋体"/>
                      <w:color w:val="auto"/>
                      <w:sz w:val="18"/>
                      <w:szCs w:val="18"/>
                      <w:lang w:val="en-US" w:eastAsia="zh-CN"/>
                    </w:rPr>
                  </w:pPr>
                  <w:r>
                    <w:rPr>
                      <w:rFonts w:hint="eastAsia" w:ascii="宋体" w:hAnsi="宋体" w:cs="宋体"/>
                      <w:i w:val="0"/>
                      <w:iCs w:val="0"/>
                      <w:snapToGrid w:val="0"/>
                      <w:color w:val="auto"/>
                      <w:kern w:val="0"/>
                      <w:sz w:val="18"/>
                      <w:szCs w:val="18"/>
                      <w:highlight w:val="none"/>
                      <w:u w:val="none"/>
                      <w:lang w:val="en-US" w:eastAsia="zh-CN" w:bidi="ar"/>
                    </w:rPr>
                    <w:t>56</w:t>
                  </w:r>
                </w:p>
              </w:tc>
              <w:tc>
                <w:tcPr>
                  <w:tcW w:w="402" w:type="pct"/>
                  <w:vAlign w:val="center"/>
                </w:tcPr>
                <w:p w14:paraId="18F99CD6">
                  <w:pPr>
                    <w:keepNext w:val="0"/>
                    <w:keepLines w:val="0"/>
                    <w:pageBreakBefore w:val="0"/>
                    <w:widowControl/>
                    <w:suppressLineNumbers w:val="0"/>
                    <w:shd w:val="clear"/>
                    <w:wordWrap/>
                    <w:overflowPunct/>
                    <w:topLinePunct w:val="0"/>
                    <w:bidi w:val="0"/>
                    <w:spacing w:line="240" w:lineRule="exact"/>
                    <w:jc w:val="center"/>
                    <w:textAlignment w:val="center"/>
                    <w:rPr>
                      <w:rFonts w:hint="default" w:ascii="宋体" w:hAnsi="宋体" w:cs="宋体"/>
                      <w:i w:val="0"/>
                      <w:iCs w:val="0"/>
                      <w:snapToGrid w:val="0"/>
                      <w:color w:val="auto"/>
                      <w:kern w:val="0"/>
                      <w:sz w:val="18"/>
                      <w:szCs w:val="18"/>
                      <w:highlight w:val="none"/>
                      <w:u w:val="none"/>
                      <w:lang w:val="en-US" w:eastAsia="zh-CN" w:bidi="ar"/>
                    </w:rPr>
                  </w:pPr>
                  <w:r>
                    <w:rPr>
                      <w:rFonts w:hint="eastAsia" w:ascii="宋体" w:hAnsi="宋体" w:cs="宋体"/>
                      <w:i w:val="0"/>
                      <w:iCs w:val="0"/>
                      <w:snapToGrid w:val="0"/>
                      <w:color w:val="auto"/>
                      <w:kern w:val="0"/>
                      <w:sz w:val="18"/>
                      <w:szCs w:val="18"/>
                      <w:highlight w:val="none"/>
                      <w:u w:val="none"/>
                      <w:lang w:val="en-US" w:eastAsia="zh-CN" w:bidi="ar"/>
                    </w:rPr>
                    <w:t>110</w:t>
                  </w:r>
                </w:p>
              </w:tc>
            </w:tr>
          </w:tbl>
          <w:p w14:paraId="29F9220A">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outlineLvl w:val="0"/>
              <w:rPr>
                <w:rFonts w:hint="default" w:ascii="Times New Roman" w:hAnsi="Times New Roman" w:eastAsia="黑体"/>
                <w:snapToGrid w:val="0"/>
                <w:color w:val="auto"/>
                <w:sz w:val="30"/>
                <w:szCs w:val="30"/>
                <w:vertAlign w:val="baseline"/>
                <w:lang w:val="en-US" w:eastAsia="zh-CN"/>
              </w:rPr>
            </w:pPr>
            <w:r>
              <w:rPr>
                <w:rFonts w:hint="eastAsia" w:ascii="Times New Roman" w:hAnsi="Times New Roman"/>
                <w:color w:val="auto"/>
                <w:sz w:val="24"/>
                <w:szCs w:val="24"/>
                <w:highlight w:val="none"/>
                <w:lang w:val="en-US" w:eastAsia="zh-CN"/>
              </w:rPr>
              <w:t>注：表土剥离高度20cm~30cm，本项目平均高度按25cm计，表土堆放区内表土不进行剥离。</w:t>
            </w:r>
          </w:p>
        </w:tc>
      </w:tr>
    </w:tbl>
    <w:p w14:paraId="34437EDA">
      <w:pPr>
        <w:pStyle w:val="19"/>
        <w:widowControl/>
        <w:numPr>
          <w:ilvl w:val="0"/>
          <w:numId w:val="0"/>
        </w:numPr>
        <w:spacing w:before="100" w:beforeAutospacing="1" w:after="100" w:afterAutospacing="1"/>
        <w:jc w:val="center"/>
        <w:outlineLvl w:val="0"/>
        <w:rPr>
          <w:rFonts w:ascii="Times New Roman" w:hAnsi="Times New Roman" w:eastAsia="黑体"/>
          <w:snapToGrid w:val="0"/>
          <w:color w:val="auto"/>
          <w:sz w:val="30"/>
          <w:szCs w:val="30"/>
        </w:rPr>
        <w:sectPr>
          <w:pgSz w:w="16838" w:h="11906" w:orient="landscape"/>
          <w:pgMar w:top="1800" w:right="1440" w:bottom="1800" w:left="1440" w:header="851" w:footer="1077" w:gutter="0"/>
          <w:pgNumType w:fmt="decimal"/>
          <w:cols w:space="720" w:num="1"/>
          <w:docGrid w:linePitch="312" w:charSpace="0"/>
        </w:sectPr>
      </w:pP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068"/>
      </w:tblGrid>
      <w:tr w14:paraId="69E70A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6" w:hRule="atLeast"/>
          <w:jc w:val="center"/>
        </w:trPr>
        <w:tc>
          <w:tcPr>
            <w:tcW w:w="454" w:type="dxa"/>
            <w:noWrap w:val="0"/>
            <w:vAlign w:val="center"/>
          </w:tcPr>
          <w:p w14:paraId="221F179F">
            <w:pPr>
              <w:adjustRightInd w:val="0"/>
              <w:snapToGrid w:val="0"/>
              <w:jc w:val="center"/>
              <w:rPr>
                <w:rFonts w:ascii="Times New Roman" w:hAnsi="Times New Roman"/>
                <w:color w:val="auto"/>
                <w:kern w:val="0"/>
                <w:sz w:val="24"/>
              </w:rPr>
            </w:pPr>
            <w:r>
              <w:rPr>
                <w:rFonts w:ascii="Times New Roman" w:hAnsi="Times New Roman"/>
                <w:color w:val="auto"/>
                <w:kern w:val="0"/>
                <w:sz w:val="24"/>
              </w:rPr>
              <w:t>总平面及现场布置</w:t>
            </w:r>
          </w:p>
        </w:tc>
        <w:tc>
          <w:tcPr>
            <w:tcW w:w="8068" w:type="dxa"/>
            <w:noWrap w:val="0"/>
            <w:vAlign w:val="center"/>
          </w:tcPr>
          <w:p w14:paraId="18E27C4B">
            <w:pPr>
              <w:spacing w:line="360" w:lineRule="auto"/>
              <w:ind w:firstLine="480" w:firstLineChars="200"/>
              <w:rPr>
                <w:rFonts w:hint="default" w:ascii="Times New Roman" w:hAnsi="Times New Roman" w:eastAsia="宋体"/>
                <w:color w:val="auto"/>
                <w:szCs w:val="21"/>
                <w:lang w:val="en-US" w:eastAsia="zh-CN"/>
              </w:rPr>
            </w:pPr>
            <w:r>
              <w:rPr>
                <w:rFonts w:ascii="Times New Roman" w:hAnsi="Times New Roman"/>
                <w:color w:val="auto"/>
                <w:sz w:val="24"/>
                <w:shd w:val="clear" w:color="auto" w:fill="FFFFFF"/>
              </w:rPr>
              <w:t>本项目</w:t>
            </w:r>
            <w:r>
              <w:rPr>
                <w:rFonts w:hint="eastAsia" w:ascii="Times New Roman" w:hAnsi="Times New Roman"/>
                <w:color w:val="auto"/>
                <w:sz w:val="24"/>
                <w:shd w:val="clear" w:color="auto" w:fill="FFFFFF"/>
              </w:rPr>
              <w:t>每个钻场按照统一的标准布置，同时结合场地实际情况进行微调，施工现场实际用地面积基本接近，现场布置基本相似，均以钻机为中心，周边布置均设置钻井作业区、</w:t>
            </w:r>
            <w:r>
              <w:rPr>
                <w:rFonts w:hint="eastAsia" w:ascii="Times New Roman" w:hAnsi="Times New Roman"/>
                <w:color w:val="auto"/>
                <w:sz w:val="24"/>
                <w:shd w:val="clear" w:color="auto" w:fill="FFFFFF"/>
                <w:lang w:eastAsia="zh-CN"/>
              </w:rPr>
              <w:t>储水池</w:t>
            </w:r>
            <w:r>
              <w:rPr>
                <w:rFonts w:hint="eastAsia" w:ascii="Times New Roman" w:hAnsi="Times New Roman"/>
                <w:color w:val="auto"/>
                <w:sz w:val="24"/>
                <w:shd w:val="clear" w:color="auto" w:fill="FFFFFF"/>
              </w:rPr>
              <w:t>、</w:t>
            </w:r>
            <w:r>
              <w:rPr>
                <w:rFonts w:hint="eastAsia" w:ascii="Times New Roman" w:hAnsi="Times New Roman"/>
                <w:color w:val="auto"/>
                <w:sz w:val="24"/>
                <w:shd w:val="clear" w:color="auto" w:fill="FFFFFF"/>
                <w:lang w:eastAsia="zh-CN"/>
              </w:rPr>
              <w:t>泥浆池</w:t>
            </w:r>
            <w:r>
              <w:rPr>
                <w:rFonts w:hint="eastAsia" w:ascii="Times New Roman" w:hAnsi="Times New Roman"/>
                <w:color w:val="auto"/>
                <w:sz w:val="24"/>
                <w:shd w:val="clear" w:color="auto" w:fill="FFFFFF"/>
              </w:rPr>
              <w:t>、干化池、施工材料区、设备及库房、临时办公区、表土剥离堆放场、岩心摆放区、沉淀池、施工便道等辅助设施。根据施工工序并结合现场情况，施工场地出入口设置在靠近道路的一侧，高噪声设备布置在远离居民区的一侧，办公区设置在远离钻孔工作区。</w:t>
            </w:r>
            <w:r>
              <w:rPr>
                <w:rFonts w:ascii="Times New Roman" w:hAnsi="Times New Roman"/>
                <w:color w:val="auto"/>
                <w:sz w:val="24"/>
                <w:shd w:val="clear" w:color="auto" w:fill="FFFFFF"/>
              </w:rPr>
              <w:t>项目总平面布置采取的原则是紧密结合地形、使工艺流程顺畅、功能分区明确、建筑物布置紧凑、对外交通运输联系方便、用地节约；在满足施工的前提下，使井场布置简洁、集中</w:t>
            </w:r>
            <w:r>
              <w:rPr>
                <w:rFonts w:hint="eastAsia" w:ascii="Times New Roman" w:hAnsi="Times New Roman"/>
                <w:color w:val="auto"/>
                <w:sz w:val="24"/>
                <w:shd w:val="clear" w:color="auto" w:fill="FFFFFF"/>
              </w:rPr>
              <w:t>，</w:t>
            </w:r>
            <w:r>
              <w:rPr>
                <w:rFonts w:hint="eastAsia" w:ascii="Times New Roman" w:hAnsi="Times New Roman"/>
                <w:color w:val="auto"/>
                <w:sz w:val="24"/>
              </w:rPr>
              <w:t>各井场平面布置图见附图3。</w:t>
            </w:r>
          </w:p>
        </w:tc>
      </w:tr>
      <w:tr w14:paraId="477C94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noWrap w:val="0"/>
            <w:vAlign w:val="center"/>
          </w:tcPr>
          <w:p w14:paraId="5777C169">
            <w:pPr>
              <w:adjustRightInd w:val="0"/>
              <w:snapToGrid w:val="0"/>
              <w:jc w:val="center"/>
              <w:rPr>
                <w:rFonts w:ascii="Times New Roman" w:hAnsi="Times New Roman"/>
                <w:color w:val="auto"/>
                <w:kern w:val="0"/>
                <w:sz w:val="24"/>
              </w:rPr>
            </w:pPr>
            <w:r>
              <w:rPr>
                <w:rFonts w:ascii="Times New Roman" w:hAnsi="Times New Roman"/>
                <w:color w:val="auto"/>
                <w:kern w:val="0"/>
                <w:sz w:val="24"/>
              </w:rPr>
              <w:t>施工方案</w:t>
            </w:r>
          </w:p>
        </w:tc>
        <w:tc>
          <w:tcPr>
            <w:tcW w:w="8068" w:type="dxa"/>
            <w:noWrap w:val="0"/>
            <w:vAlign w:val="center"/>
          </w:tcPr>
          <w:p w14:paraId="443303F3">
            <w:pPr>
              <w:pStyle w:val="13"/>
              <w:tabs>
                <w:tab w:val="left" w:pos="0"/>
              </w:tabs>
              <w:spacing w:line="360" w:lineRule="auto"/>
              <w:ind w:firstLine="482" w:firstLineChars="200"/>
              <w:contextualSpacing/>
              <w:rPr>
                <w:rFonts w:ascii="Times New Roman" w:hAnsi="Times New Roman"/>
                <w:b/>
                <w:bCs/>
                <w:color w:val="auto"/>
                <w:sz w:val="24"/>
                <w:highlight w:val="none"/>
              </w:rPr>
            </w:pPr>
            <w:r>
              <w:rPr>
                <w:rFonts w:hint="eastAsia" w:ascii="Times New Roman" w:hAnsi="Times New Roman"/>
                <w:b/>
                <w:bCs/>
                <w:color w:val="auto"/>
                <w:sz w:val="24"/>
                <w:highlight w:val="none"/>
                <w:lang w:val="en-US" w:eastAsia="zh-CN"/>
              </w:rPr>
              <w:t>一</w:t>
            </w:r>
            <w:r>
              <w:rPr>
                <w:rFonts w:ascii="Times New Roman" w:hAnsi="Times New Roman"/>
                <w:b/>
                <w:bCs/>
                <w:color w:val="auto"/>
                <w:sz w:val="24"/>
                <w:highlight w:val="none"/>
              </w:rPr>
              <w:t>、施工工艺</w:t>
            </w:r>
          </w:p>
          <w:p w14:paraId="6FB6729D">
            <w:pPr>
              <w:pStyle w:val="13"/>
              <w:tabs>
                <w:tab w:val="left" w:pos="0"/>
              </w:tabs>
              <w:spacing w:line="360" w:lineRule="auto"/>
              <w:ind w:firstLine="480" w:firstLineChars="200"/>
              <w:contextualSpacing/>
              <w:rPr>
                <w:rFonts w:hint="default" w:ascii="Times New Roman" w:hAnsi="Times New Roman" w:eastAsia="宋体"/>
                <w:bCs/>
                <w:color w:val="auto"/>
                <w:sz w:val="24"/>
                <w:highlight w:val="none"/>
                <w:lang w:val="en-US" w:eastAsia="zh-CN"/>
              </w:rPr>
            </w:pPr>
            <w:r>
              <w:rPr>
                <w:rFonts w:hint="eastAsia" w:ascii="Times New Roman" w:hAnsi="Times New Roman"/>
                <w:bCs/>
                <w:color w:val="auto"/>
                <w:sz w:val="24"/>
                <w:highlight w:val="none"/>
                <w:lang w:val="en-US" w:eastAsia="zh-CN"/>
              </w:rPr>
              <w:t>本项目施工前期需对场地进行平整、表土剥离、</w:t>
            </w:r>
            <w:r>
              <w:rPr>
                <w:rFonts w:ascii="Times New Roman" w:hAnsi="Times New Roman"/>
                <w:bCs/>
                <w:color w:val="auto"/>
                <w:sz w:val="24"/>
                <w:highlight w:val="none"/>
              </w:rPr>
              <w:t>安装钻探设备、搭设临时建筑物以及相关附属设施建设</w:t>
            </w:r>
            <w:r>
              <w:rPr>
                <w:rFonts w:hint="eastAsia" w:ascii="Times New Roman" w:hAnsi="Times New Roman"/>
                <w:bCs/>
                <w:color w:val="auto"/>
                <w:sz w:val="24"/>
                <w:highlight w:val="none"/>
                <w:lang w:val="en-US" w:eastAsia="zh-CN"/>
              </w:rPr>
              <w:t>等。</w:t>
            </w:r>
          </w:p>
          <w:p w14:paraId="5422AC19">
            <w:pPr>
              <w:pStyle w:val="28"/>
              <w:adjustRightInd/>
              <w:spacing w:line="360" w:lineRule="auto"/>
              <w:ind w:firstLine="482" w:firstLineChars="200"/>
              <w:jc w:val="both"/>
              <w:rPr>
                <w:rFonts w:ascii="Times New Roman" w:hAnsi="Times New Roman"/>
                <w:b/>
                <w:bCs/>
                <w:color w:val="auto"/>
                <w:highlight w:val="none"/>
              </w:rPr>
            </w:pPr>
            <w:r>
              <w:rPr>
                <w:rFonts w:hint="eastAsia" w:ascii="Times New Roman" w:hAnsi="Times New Roman"/>
                <w:b/>
                <w:bCs/>
                <w:color w:val="auto"/>
                <w:highlight w:val="none"/>
                <w:lang w:val="en-US" w:eastAsia="zh-CN"/>
              </w:rPr>
              <w:t>1</w:t>
            </w:r>
            <w:r>
              <w:rPr>
                <w:rFonts w:ascii="Times New Roman" w:hAnsi="Times New Roman"/>
                <w:b/>
                <w:bCs/>
                <w:color w:val="auto"/>
                <w:highlight w:val="none"/>
              </w:rPr>
              <w:t>、</w:t>
            </w:r>
            <w:r>
              <w:rPr>
                <w:rFonts w:hint="eastAsia" w:ascii="Times New Roman" w:hAnsi="Times New Roman"/>
                <w:b/>
                <w:bCs/>
                <w:color w:val="auto"/>
                <w:highlight w:val="none"/>
                <w:lang w:val="en-US" w:eastAsia="zh-CN"/>
              </w:rPr>
              <w:t>盾构机探查钻孔</w:t>
            </w:r>
            <w:r>
              <w:rPr>
                <w:rFonts w:ascii="Times New Roman" w:hAnsi="Times New Roman"/>
                <w:b/>
                <w:bCs/>
                <w:color w:val="auto"/>
                <w:highlight w:val="none"/>
              </w:rPr>
              <w:t>工程</w:t>
            </w:r>
          </w:p>
          <w:p w14:paraId="685786B7">
            <w:pPr>
              <w:spacing w:line="360" w:lineRule="auto"/>
              <w:jc w:val="center"/>
              <w:rPr>
                <w:rFonts w:hint="eastAsia" w:ascii="Times New Roman" w:hAnsi="Times New Roman" w:eastAsia="宋体"/>
                <w:color w:val="auto"/>
                <w:sz w:val="24"/>
                <w:lang w:eastAsia="zh-CN"/>
              </w:rPr>
            </w:pPr>
            <w:r>
              <w:rPr>
                <w:rFonts w:hint="eastAsia" w:ascii="Times New Roman" w:hAnsi="Times New Roman" w:eastAsia="宋体"/>
                <w:color w:val="auto"/>
                <w:sz w:val="24"/>
                <w:highlight w:val="none"/>
                <w:lang w:eastAsia="zh-CN"/>
              </w:rPr>
              <w:drawing>
                <wp:inline distT="0" distB="0" distL="114300" distR="114300">
                  <wp:extent cx="4824095" cy="3714115"/>
                  <wp:effectExtent l="0" t="0" r="14605" b="635"/>
                  <wp:docPr id="2" name="F360BE8B-6686-4F3D-AEAF-501FE73E4058-1" descr="地面补勘钻井工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60BE8B-6686-4F3D-AEAF-501FE73E4058-1" descr="地面补勘钻井工程(1)"/>
                          <pic:cNvPicPr>
                            <a:picLocks noChangeAspect="1"/>
                          </pic:cNvPicPr>
                        </pic:nvPicPr>
                        <pic:blipFill>
                          <a:blip r:embed="rId11"/>
                          <a:stretch>
                            <a:fillRect/>
                          </a:stretch>
                        </pic:blipFill>
                        <pic:spPr>
                          <a:xfrm>
                            <a:off x="0" y="0"/>
                            <a:ext cx="4824095" cy="3714115"/>
                          </a:xfrm>
                          <a:prstGeom prst="rect">
                            <a:avLst/>
                          </a:prstGeom>
                        </pic:spPr>
                      </pic:pic>
                    </a:graphicData>
                  </a:graphic>
                </wp:inline>
              </w:drawing>
            </w:r>
          </w:p>
          <w:p w14:paraId="6DC2CA96">
            <w:pPr>
              <w:spacing w:line="360" w:lineRule="auto"/>
              <w:jc w:val="center"/>
              <w:rPr>
                <w:rFonts w:ascii="Times New Roman" w:hAnsi="Times New Roman"/>
                <w:b/>
                <w:color w:val="auto"/>
                <w:sz w:val="21"/>
                <w:szCs w:val="21"/>
                <w:highlight w:val="none"/>
              </w:rPr>
            </w:pPr>
            <w:r>
              <w:rPr>
                <w:rFonts w:ascii="Times New Roman" w:hAnsi="Times New Roman"/>
                <w:b/>
                <w:color w:val="auto"/>
                <w:szCs w:val="21"/>
                <w:lang w:val="en-US" w:eastAsia="zh-CN"/>
              </w:rPr>
              <w:t>图2</w:t>
            </w:r>
            <w:r>
              <w:rPr>
                <w:rFonts w:ascii="Times New Roman" w:hAnsi="Times New Roman" w:eastAsia="宋体" w:cs="Times New Roman"/>
                <w:b/>
                <w:color w:val="auto"/>
                <w:kern w:val="2"/>
                <w:sz w:val="21"/>
                <w:szCs w:val="21"/>
                <w:lang w:val="en-US" w:eastAsia="zh-CN" w:bidi="ar-SA"/>
              </w:rPr>
              <w:t>-</w:t>
            </w:r>
            <w:r>
              <w:rPr>
                <w:rFonts w:hint="eastAsia" w:ascii="Times New Roman" w:hAnsi="Times New Roman" w:eastAsia="宋体" w:cs="Times New Roman"/>
                <w:b/>
                <w:color w:val="auto"/>
                <w:kern w:val="2"/>
                <w:sz w:val="21"/>
                <w:szCs w:val="21"/>
                <w:lang w:val="en-US" w:eastAsia="zh-CN" w:bidi="ar-SA"/>
              </w:rPr>
              <w:t>1</w:t>
            </w:r>
            <w:r>
              <w:rPr>
                <w:rFonts w:ascii="Times New Roman" w:hAnsi="Times New Roman" w:eastAsia="宋体" w:cs="Times New Roman"/>
                <w:b/>
                <w:color w:val="auto"/>
                <w:kern w:val="2"/>
                <w:sz w:val="21"/>
                <w:szCs w:val="21"/>
                <w:lang w:val="en-US" w:eastAsia="zh-CN" w:bidi="ar-SA"/>
              </w:rPr>
              <w:t xml:space="preserve"> </w:t>
            </w:r>
            <w:r>
              <w:rPr>
                <w:rFonts w:hint="eastAsia" w:ascii="Times New Roman" w:hAnsi="Times New Roman" w:cs="Times New Roman"/>
                <w:b/>
                <w:color w:val="auto"/>
                <w:kern w:val="2"/>
                <w:sz w:val="21"/>
                <w:szCs w:val="21"/>
                <w:lang w:val="en-US" w:eastAsia="zh-CN" w:bidi="ar-SA"/>
              </w:rPr>
              <w:t xml:space="preserve"> </w:t>
            </w:r>
            <w:r>
              <w:rPr>
                <w:rFonts w:hint="eastAsia" w:ascii="Times New Roman" w:hAnsi="Times New Roman" w:eastAsia="宋体" w:cs="Times New Roman"/>
                <w:b/>
                <w:color w:val="auto"/>
                <w:kern w:val="2"/>
                <w:sz w:val="21"/>
                <w:szCs w:val="21"/>
                <w:lang w:val="en-US" w:eastAsia="zh-CN" w:bidi="ar-SA"/>
              </w:rPr>
              <w:t>盾构机探查钻孔工程</w:t>
            </w:r>
            <w:r>
              <w:rPr>
                <w:rFonts w:ascii="Times New Roman" w:hAnsi="Times New Roman" w:eastAsia="宋体" w:cs="Times New Roman"/>
                <w:b/>
                <w:color w:val="auto"/>
                <w:kern w:val="2"/>
                <w:sz w:val="21"/>
                <w:szCs w:val="21"/>
                <w:lang w:val="en-US" w:eastAsia="zh-CN" w:bidi="ar-SA"/>
              </w:rPr>
              <w:t>工艺流程</w:t>
            </w:r>
            <w:r>
              <w:rPr>
                <w:rFonts w:hint="eastAsia" w:ascii="Times New Roman" w:hAnsi="Times New Roman" w:eastAsia="宋体" w:cs="Times New Roman"/>
                <w:b/>
                <w:color w:val="auto"/>
                <w:kern w:val="2"/>
                <w:sz w:val="21"/>
                <w:szCs w:val="21"/>
                <w:lang w:val="en-US" w:eastAsia="zh-CN" w:bidi="ar-SA"/>
              </w:rPr>
              <w:t>图</w:t>
            </w:r>
          </w:p>
          <w:p w14:paraId="22442453">
            <w:pPr>
              <w:spacing w:line="360" w:lineRule="auto"/>
              <w:ind w:firstLine="480" w:firstLineChars="200"/>
              <w:rPr>
                <w:rFonts w:ascii="Times New Roman" w:hAnsi="Times New Roman"/>
                <w:color w:val="auto"/>
                <w:sz w:val="24"/>
                <w:highlight w:val="none"/>
              </w:rPr>
            </w:pPr>
            <w:r>
              <w:rPr>
                <w:rFonts w:ascii="Times New Roman" w:hAnsi="宋体"/>
                <w:color w:val="auto"/>
                <w:sz w:val="24"/>
                <w:highlight w:val="none"/>
              </w:rPr>
              <w:t>工艺流程简述：</w:t>
            </w:r>
          </w:p>
          <w:p w14:paraId="43003A82">
            <w:pPr>
              <w:pStyle w:val="35"/>
              <w:adjustRightInd/>
              <w:snapToGrid/>
              <w:ind w:firstLine="480"/>
              <w:rPr>
                <w:rFonts w:hint="eastAsia" w:ascii="Times New Roman" w:hAnsi="Times New Roman" w:eastAsia="宋体"/>
                <w:color w:val="auto"/>
                <w:sz w:val="24"/>
                <w:szCs w:val="24"/>
                <w:highlight w:val="none"/>
                <w:lang w:eastAsia="zh-CN"/>
              </w:rPr>
            </w:pPr>
            <w:r>
              <w:rPr>
                <w:rFonts w:hint="eastAsia" w:ascii="Times New Roman" w:eastAsia="宋体"/>
                <w:color w:val="auto"/>
                <w:sz w:val="24"/>
                <w:szCs w:val="24"/>
                <w:highlight w:val="none"/>
                <w:lang w:val="en-US" w:eastAsia="zh-CN"/>
              </w:rPr>
              <w:t>本项目</w:t>
            </w:r>
            <w:r>
              <w:rPr>
                <w:rFonts w:hint="eastAsia" w:ascii="Times New Roman" w:eastAsia="宋体"/>
                <w:color w:val="auto"/>
                <w:sz w:val="24"/>
                <w:szCs w:val="24"/>
                <w:highlight w:val="none"/>
              </w:rPr>
              <w:t>各钻孔终孔深度以过11-1煤为准</w:t>
            </w:r>
            <w:r>
              <w:rPr>
                <w:rFonts w:hint="eastAsia" w:ascii="Times New Roman" w:eastAsia="宋体"/>
                <w:color w:val="auto"/>
                <w:sz w:val="24"/>
                <w:szCs w:val="24"/>
                <w:highlight w:val="none"/>
                <w:lang w:eastAsia="zh-CN"/>
              </w:rPr>
              <w:t>，</w:t>
            </w:r>
            <w:r>
              <w:rPr>
                <w:rFonts w:hint="eastAsia" w:ascii="Times New Roman" w:eastAsia="宋体"/>
                <w:color w:val="auto"/>
                <w:sz w:val="24"/>
                <w:szCs w:val="24"/>
                <w:highlight w:val="none"/>
              </w:rPr>
              <w:t>各孔均自17煤至终孔全取芯。正常地层岩芯采取率不小于80％，断层破碎带岩芯采取率不小于65％。煤层及煤层顶底板岩芯采取率不小于90％</w:t>
            </w:r>
            <w:r>
              <w:rPr>
                <w:rFonts w:hint="eastAsia" w:ascii="Times New Roman" w:eastAsia="宋体"/>
                <w:color w:val="auto"/>
                <w:sz w:val="24"/>
                <w:szCs w:val="24"/>
                <w:highlight w:val="none"/>
                <w:lang w:eastAsia="zh-CN"/>
              </w:rPr>
              <w:t>。</w:t>
            </w:r>
          </w:p>
          <w:p w14:paraId="1D30D44C">
            <w:pPr>
              <w:spacing w:line="360" w:lineRule="auto"/>
              <w:ind w:firstLine="480" w:firstLineChars="200"/>
              <w:outlineLvl w:val="1"/>
              <w:rPr>
                <w:rFonts w:hint="default" w:ascii="Times New Roman" w:hAnsi="宋体" w:eastAsia="宋体"/>
                <w:bCs/>
                <w:color w:val="auto"/>
                <w:sz w:val="24"/>
                <w:highlight w:val="none"/>
                <w:lang w:val="en-US" w:eastAsia="zh-CN"/>
              </w:rPr>
            </w:pPr>
            <w:r>
              <w:rPr>
                <w:rFonts w:hint="eastAsia" w:ascii="Times New Roman" w:hAnsi="宋体"/>
                <w:bCs/>
                <w:color w:val="auto"/>
                <w:sz w:val="24"/>
                <w:highlight w:val="none"/>
              </w:rPr>
              <w:t>（1）</w:t>
            </w:r>
            <w:r>
              <w:rPr>
                <w:rFonts w:hint="eastAsia" w:ascii="Times New Roman" w:hAnsi="宋体"/>
                <w:bCs/>
                <w:color w:val="auto"/>
                <w:sz w:val="24"/>
                <w:highlight w:val="none"/>
                <w:lang w:val="en-US" w:eastAsia="zh-CN"/>
              </w:rPr>
              <w:t>泥浆配置</w:t>
            </w:r>
          </w:p>
          <w:p w14:paraId="529C2E61">
            <w:pPr>
              <w:spacing w:line="360" w:lineRule="auto"/>
              <w:ind w:firstLine="480" w:firstLineChars="200"/>
              <w:outlineLvl w:val="1"/>
              <w:rPr>
                <w:rFonts w:hint="eastAsia" w:ascii="Times New Roman" w:hAnsi="宋体" w:eastAsia="宋体"/>
                <w:bCs/>
                <w:color w:val="auto"/>
                <w:sz w:val="24"/>
                <w:highlight w:val="none"/>
                <w:lang w:val="en-US" w:eastAsia="zh-CN"/>
              </w:rPr>
            </w:pPr>
            <w:r>
              <w:rPr>
                <w:rFonts w:hint="eastAsia" w:ascii="Times New Roman" w:hAnsi="宋体"/>
                <w:bCs/>
                <w:color w:val="auto"/>
                <w:sz w:val="24"/>
                <w:highlight w:val="none"/>
              </w:rPr>
              <w:t>以水、纤维素、腐植酸为原料，在</w:t>
            </w:r>
            <w:r>
              <w:rPr>
                <w:rFonts w:hint="eastAsia" w:ascii="Times New Roman" w:hAnsi="宋体"/>
                <w:bCs/>
                <w:color w:val="auto"/>
                <w:sz w:val="24"/>
                <w:highlight w:val="none"/>
                <w:lang w:val="en-US" w:eastAsia="zh-CN"/>
              </w:rPr>
              <w:t>泥浆池内进行搅拌配置，配置完成后</w:t>
            </w:r>
            <w:r>
              <w:rPr>
                <w:rFonts w:hint="eastAsia" w:ascii="Times New Roman" w:hAnsi="宋体"/>
                <w:bCs/>
                <w:color w:val="auto"/>
                <w:sz w:val="24"/>
                <w:highlight w:val="none"/>
              </w:rPr>
              <w:t>一路被输送至泥浆泵，为后续钻进工序提供循环用泥浆；另一路进入泥浆池暂存，泥浆池兼具泥浆储存、浓度调节功能，且池内泥浆可通过循环管道回流至</w:t>
            </w:r>
            <w:r>
              <w:rPr>
                <w:rFonts w:hint="eastAsia" w:ascii="Times New Roman" w:hAnsi="宋体"/>
                <w:bCs/>
                <w:color w:val="auto"/>
                <w:sz w:val="24"/>
                <w:highlight w:val="none"/>
                <w:lang w:eastAsia="zh-CN"/>
              </w:rPr>
              <w:t>“</w:t>
            </w:r>
            <w:r>
              <w:rPr>
                <w:rFonts w:hint="eastAsia" w:ascii="Times New Roman" w:hAnsi="宋体"/>
                <w:bCs/>
                <w:color w:val="auto"/>
                <w:sz w:val="24"/>
                <w:highlight w:val="none"/>
              </w:rPr>
              <w:t>泥浆配置</w:t>
            </w:r>
            <w:r>
              <w:rPr>
                <w:rFonts w:hint="eastAsia" w:ascii="Times New Roman" w:hAnsi="宋体"/>
                <w:bCs/>
                <w:color w:val="auto"/>
                <w:sz w:val="24"/>
                <w:highlight w:val="none"/>
                <w:lang w:eastAsia="zh-CN"/>
              </w:rPr>
              <w:t>”</w:t>
            </w:r>
            <w:r>
              <w:rPr>
                <w:rFonts w:hint="eastAsia" w:ascii="Times New Roman" w:hAnsi="宋体"/>
                <w:bCs/>
                <w:color w:val="auto"/>
                <w:sz w:val="24"/>
                <w:highlight w:val="none"/>
              </w:rPr>
              <w:t>工序，实现泥浆的循环利用，减少资源消耗与废弃物产生</w:t>
            </w:r>
            <w:r>
              <w:rPr>
                <w:rFonts w:hint="eastAsia" w:ascii="Times New Roman" w:hAnsi="宋体"/>
                <w:bCs/>
                <w:color w:val="auto"/>
                <w:sz w:val="24"/>
                <w:highlight w:val="none"/>
                <w:lang w:eastAsia="zh-CN"/>
              </w:rPr>
              <w:t>。</w:t>
            </w:r>
          </w:p>
          <w:p w14:paraId="3EDB04CA">
            <w:pPr>
              <w:spacing w:line="360" w:lineRule="auto"/>
              <w:ind w:firstLine="480" w:firstLineChars="200"/>
              <w:outlineLvl w:val="1"/>
              <w:rPr>
                <w:rFonts w:hint="default" w:ascii="Times New Roman" w:hAnsi="宋体" w:eastAsia="宋体"/>
                <w:bCs/>
                <w:color w:val="auto"/>
                <w:sz w:val="24"/>
                <w:highlight w:val="none"/>
                <w:lang w:val="en-US" w:eastAsia="zh-CN"/>
              </w:rPr>
            </w:pPr>
            <w:r>
              <w:rPr>
                <w:rFonts w:hint="eastAsia" w:ascii="Times New Roman" w:hAnsi="宋体"/>
                <w:bCs/>
                <w:color w:val="auto"/>
                <w:sz w:val="24"/>
                <w:highlight w:val="none"/>
                <w:lang w:eastAsia="zh-CN"/>
              </w:rPr>
              <w:t>（</w:t>
            </w:r>
            <w:r>
              <w:rPr>
                <w:rFonts w:hint="eastAsia" w:ascii="Times New Roman" w:hAnsi="宋体"/>
                <w:bCs/>
                <w:color w:val="auto"/>
                <w:sz w:val="24"/>
                <w:highlight w:val="none"/>
                <w:lang w:val="en-US" w:eastAsia="zh-CN"/>
              </w:rPr>
              <w:t>2</w:t>
            </w:r>
            <w:r>
              <w:rPr>
                <w:rFonts w:hint="eastAsia" w:ascii="Times New Roman" w:hAnsi="宋体"/>
                <w:bCs/>
                <w:color w:val="auto"/>
                <w:sz w:val="24"/>
                <w:highlight w:val="none"/>
                <w:lang w:eastAsia="zh-CN"/>
              </w:rPr>
              <w:t>）</w:t>
            </w:r>
            <w:r>
              <w:rPr>
                <w:rFonts w:hint="eastAsia" w:ascii="Times New Roman" w:hAnsi="宋体"/>
                <w:bCs/>
                <w:color w:val="auto"/>
                <w:sz w:val="24"/>
                <w:highlight w:val="none"/>
                <w:lang w:val="en-US" w:eastAsia="zh-CN"/>
              </w:rPr>
              <w:t>一开钻进</w:t>
            </w:r>
          </w:p>
          <w:p w14:paraId="7AC43905">
            <w:pPr>
              <w:spacing w:line="360" w:lineRule="auto"/>
              <w:ind w:firstLine="480" w:firstLineChars="200"/>
              <w:outlineLvl w:val="1"/>
              <w:rPr>
                <w:rFonts w:hint="eastAsia" w:ascii="Times New Roman" w:hAnsi="宋体"/>
                <w:bCs/>
                <w:color w:val="auto"/>
                <w:sz w:val="24"/>
                <w:highlight w:val="none"/>
              </w:rPr>
            </w:pPr>
            <w:r>
              <w:rPr>
                <w:rFonts w:hint="eastAsia" w:ascii="Times New Roman" w:hAnsi="宋体"/>
                <w:bCs/>
                <w:color w:val="auto"/>
                <w:sz w:val="24"/>
                <w:highlight w:val="none"/>
              </w:rPr>
              <w:t>泥浆泵将配置好的泥浆持续泵入钻孔作业系统，配合钻机、钻井泵</w:t>
            </w:r>
            <w:r>
              <w:rPr>
                <w:rFonts w:hint="eastAsia" w:ascii="Times New Roman" w:hAnsi="宋体"/>
                <w:bCs/>
                <w:color w:val="auto"/>
                <w:sz w:val="24"/>
                <w:highlight w:val="none"/>
                <w:lang w:val="en-US" w:eastAsia="zh-CN"/>
              </w:rPr>
              <w:t>进行</w:t>
            </w:r>
            <w:r>
              <w:rPr>
                <w:rFonts w:hint="eastAsia" w:ascii="Times New Roman" w:hAnsi="宋体"/>
                <w:bCs/>
                <w:color w:val="auto"/>
                <w:sz w:val="24"/>
                <w:highlight w:val="none"/>
                <w:lang w:eastAsia="zh-CN"/>
              </w:rPr>
              <w:t>“</w:t>
            </w:r>
            <w:r>
              <w:rPr>
                <w:rFonts w:hint="eastAsia" w:ascii="Times New Roman" w:hAnsi="宋体"/>
                <w:bCs/>
                <w:color w:val="auto"/>
                <w:sz w:val="24"/>
                <w:highlight w:val="none"/>
              </w:rPr>
              <w:t>一开</w:t>
            </w:r>
            <w:r>
              <w:rPr>
                <w:rFonts w:hint="eastAsia" w:ascii="Times New Roman" w:hAnsi="宋体"/>
                <w:bCs/>
                <w:color w:val="auto"/>
                <w:sz w:val="24"/>
                <w:highlight w:val="none"/>
                <w:lang w:eastAsia="zh-CN"/>
              </w:rPr>
              <w:t>”</w:t>
            </w:r>
            <w:r>
              <w:rPr>
                <w:rFonts w:hint="eastAsia" w:ascii="Times New Roman" w:hAnsi="宋体"/>
                <w:bCs/>
                <w:color w:val="auto"/>
                <w:sz w:val="24"/>
                <w:highlight w:val="none"/>
              </w:rPr>
              <w:t>钻进施工。本项目钻孔均为普通地质孔，基本无特殊要求，钻孔结构均为裸孔，口径设计开孔</w:t>
            </w:r>
            <w:r>
              <w:rPr>
                <w:rFonts w:hint="eastAsia" w:ascii="Times New Roman" w:hAnsi="宋体"/>
                <w:bCs/>
                <w:color w:val="auto"/>
                <w:sz w:val="24"/>
                <w:highlight w:val="none"/>
                <w:lang w:eastAsia="zh-CN"/>
              </w:rPr>
              <w:t>Φ94mm</w:t>
            </w:r>
            <w:r>
              <w:rPr>
                <w:rFonts w:hint="eastAsia" w:ascii="Times New Roman" w:hAnsi="宋体"/>
                <w:bCs/>
                <w:color w:val="auto"/>
                <w:sz w:val="24"/>
                <w:highlight w:val="none"/>
              </w:rPr>
              <w:t>。</w:t>
            </w:r>
          </w:p>
          <w:p w14:paraId="62C53CD0">
            <w:pPr>
              <w:spacing w:line="360" w:lineRule="auto"/>
              <w:ind w:firstLine="480" w:firstLineChars="200"/>
              <w:outlineLvl w:val="1"/>
              <w:rPr>
                <w:rFonts w:hint="eastAsia" w:ascii="Times New Roman" w:hAnsi="宋体"/>
                <w:bCs/>
                <w:color w:val="auto"/>
                <w:sz w:val="24"/>
                <w:highlight w:val="none"/>
              </w:rPr>
            </w:pPr>
            <w:r>
              <w:rPr>
                <w:rFonts w:hint="eastAsia" w:ascii="Times New Roman" w:hAnsi="宋体"/>
                <w:bCs/>
                <w:color w:val="auto"/>
                <w:sz w:val="24"/>
                <w:highlight w:val="none"/>
                <w:lang w:val="en-US" w:eastAsia="zh-CN"/>
              </w:rPr>
              <w:t>根据区域以往钻孔经验，</w:t>
            </w:r>
            <w:r>
              <w:rPr>
                <w:rFonts w:hint="eastAsia" w:ascii="Times New Roman" w:hAnsi="宋体"/>
                <w:bCs/>
                <w:color w:val="auto"/>
                <w:sz w:val="24"/>
                <w:highlight w:val="none"/>
              </w:rPr>
              <w:t>项目</w:t>
            </w:r>
            <w:r>
              <w:rPr>
                <w:rFonts w:hint="eastAsia" w:ascii="Times New Roman" w:hAnsi="宋体"/>
                <w:bCs/>
                <w:color w:val="auto"/>
                <w:sz w:val="24"/>
                <w:highlight w:val="none"/>
                <w:lang w:val="en-US" w:eastAsia="zh-CN"/>
              </w:rPr>
              <w:t>所在区域</w:t>
            </w:r>
            <w:r>
              <w:rPr>
                <w:rFonts w:hint="eastAsia" w:ascii="Times New Roman" w:hAnsi="宋体"/>
                <w:bCs/>
                <w:color w:val="auto"/>
                <w:sz w:val="24"/>
                <w:highlight w:val="none"/>
              </w:rPr>
              <w:t>在竖井施工过程中一般不会出现地下水涌水现象，如果在含水层出现地下水涌水现象，施工方有成熟的技术，使用外购混凝土封堵地下水涌出处，使其得到控制。</w:t>
            </w:r>
          </w:p>
          <w:p w14:paraId="4B51A9DA">
            <w:pPr>
              <w:spacing w:line="360" w:lineRule="auto"/>
              <w:ind w:firstLine="480" w:firstLineChars="200"/>
              <w:outlineLvl w:val="1"/>
              <w:rPr>
                <w:rFonts w:hint="default" w:ascii="Times New Roman" w:hAnsi="宋体" w:eastAsia="宋体"/>
                <w:bCs/>
                <w:color w:val="auto"/>
                <w:sz w:val="24"/>
                <w:highlight w:val="none"/>
                <w:lang w:val="en-US" w:eastAsia="zh-CN"/>
              </w:rPr>
            </w:pPr>
            <w:r>
              <w:rPr>
                <w:rFonts w:hint="eastAsia" w:ascii="Times New Roman" w:hAnsi="宋体"/>
                <w:bCs/>
                <w:color w:val="auto"/>
                <w:sz w:val="24"/>
                <w:highlight w:val="none"/>
                <w:lang w:val="en-US" w:eastAsia="zh-CN"/>
              </w:rPr>
              <w:t>钻孔产生的</w:t>
            </w:r>
            <w:r>
              <w:rPr>
                <w:rFonts w:hint="default" w:ascii="Times New Roman" w:hAnsi="宋体" w:eastAsia="宋体"/>
                <w:bCs/>
                <w:color w:val="auto"/>
                <w:sz w:val="24"/>
                <w:highlight w:val="none"/>
                <w:lang w:val="en-US" w:eastAsia="zh-CN"/>
              </w:rPr>
              <w:t>泥浆水进入沉淀池后，依靠重力沉降作用，使其中的固体颗粒（钻屑、泥土等）逐渐沉积至池底，实现泥浆水的初步净化。沉淀后的泥浆水通过池内溢流或泵抽方式被输送至泥浆池，继续参与泥浆循环（可回流至</w:t>
            </w:r>
            <w:r>
              <w:rPr>
                <w:rFonts w:hint="eastAsia" w:ascii="Times New Roman" w:hAnsi="宋体"/>
                <w:bCs/>
                <w:color w:val="auto"/>
                <w:sz w:val="24"/>
                <w:highlight w:val="none"/>
                <w:lang w:val="en-US" w:eastAsia="zh-CN"/>
              </w:rPr>
              <w:t>“</w:t>
            </w:r>
            <w:r>
              <w:rPr>
                <w:rFonts w:hint="default" w:ascii="Times New Roman" w:hAnsi="宋体" w:eastAsia="宋体"/>
                <w:bCs/>
                <w:color w:val="auto"/>
                <w:sz w:val="24"/>
                <w:highlight w:val="none"/>
                <w:lang w:val="en-US" w:eastAsia="zh-CN"/>
              </w:rPr>
              <w:t>泥浆配置</w:t>
            </w:r>
            <w:r>
              <w:rPr>
                <w:rFonts w:hint="eastAsia" w:ascii="Times New Roman" w:hAnsi="宋体"/>
                <w:bCs/>
                <w:color w:val="auto"/>
                <w:sz w:val="24"/>
                <w:highlight w:val="none"/>
                <w:lang w:val="en-US" w:eastAsia="zh-CN"/>
              </w:rPr>
              <w:t>”</w:t>
            </w:r>
            <w:r>
              <w:rPr>
                <w:rFonts w:hint="default" w:ascii="Times New Roman" w:hAnsi="宋体" w:eastAsia="宋体"/>
                <w:bCs/>
                <w:color w:val="auto"/>
                <w:sz w:val="24"/>
                <w:highlight w:val="none"/>
                <w:lang w:val="en-US" w:eastAsia="zh-CN"/>
              </w:rPr>
              <w:t>工序重新调配，或直接供</w:t>
            </w:r>
            <w:r>
              <w:rPr>
                <w:rFonts w:hint="eastAsia" w:ascii="Times New Roman" w:hAnsi="宋体"/>
                <w:bCs/>
                <w:color w:val="auto"/>
                <w:sz w:val="24"/>
                <w:highlight w:val="none"/>
                <w:lang w:val="en-US" w:eastAsia="zh-CN"/>
              </w:rPr>
              <w:t>“</w:t>
            </w:r>
            <w:r>
              <w:rPr>
                <w:rFonts w:hint="default" w:ascii="Times New Roman" w:hAnsi="宋体" w:eastAsia="宋体"/>
                <w:bCs/>
                <w:color w:val="auto"/>
                <w:sz w:val="24"/>
                <w:highlight w:val="none"/>
                <w:lang w:val="en-US" w:eastAsia="zh-CN"/>
              </w:rPr>
              <w:t>泥浆泵</w:t>
            </w:r>
            <w:r>
              <w:rPr>
                <w:rFonts w:hint="eastAsia" w:ascii="Times New Roman" w:hAnsi="宋体"/>
                <w:bCs/>
                <w:color w:val="auto"/>
                <w:sz w:val="24"/>
                <w:highlight w:val="none"/>
                <w:lang w:val="en-US" w:eastAsia="zh-CN"/>
              </w:rPr>
              <w:t>”</w:t>
            </w:r>
            <w:r>
              <w:rPr>
                <w:rFonts w:hint="default" w:ascii="Times New Roman" w:hAnsi="宋体" w:eastAsia="宋体"/>
                <w:bCs/>
                <w:color w:val="auto"/>
                <w:sz w:val="24"/>
                <w:highlight w:val="none"/>
                <w:lang w:val="en-US" w:eastAsia="zh-CN"/>
              </w:rPr>
              <w:t>再次注入钻孔）；而沉淀池底部沉降的固体物质，待钻井结束后投加泥浆固化剂</w:t>
            </w:r>
            <w:r>
              <w:rPr>
                <w:rFonts w:hint="eastAsia" w:ascii="Times New Roman" w:hAnsi="宋体"/>
                <w:bCs/>
                <w:color w:val="auto"/>
                <w:sz w:val="24"/>
                <w:highlight w:val="none"/>
                <w:lang w:val="en-US" w:eastAsia="zh-CN"/>
              </w:rPr>
              <w:t>固化后作为建筑材料外售</w:t>
            </w:r>
            <w:r>
              <w:rPr>
                <w:rFonts w:hint="default" w:ascii="Times New Roman" w:hAnsi="宋体" w:eastAsia="宋体"/>
                <w:bCs/>
                <w:color w:val="auto"/>
                <w:sz w:val="24"/>
                <w:highlight w:val="none"/>
                <w:lang w:val="en-US" w:eastAsia="zh-CN"/>
              </w:rPr>
              <w:t>。</w:t>
            </w:r>
          </w:p>
          <w:p w14:paraId="3364E5B9">
            <w:pPr>
              <w:spacing w:line="360" w:lineRule="auto"/>
              <w:ind w:firstLine="480" w:firstLineChars="200"/>
              <w:outlineLvl w:val="1"/>
              <w:rPr>
                <w:rFonts w:hint="default" w:ascii="Times New Roman" w:hAnsi="宋体" w:eastAsia="宋体"/>
                <w:bCs/>
                <w:color w:val="auto"/>
                <w:sz w:val="24"/>
                <w:highlight w:val="none"/>
                <w:lang w:val="en-US" w:eastAsia="zh-CN"/>
              </w:rPr>
            </w:pPr>
            <w:r>
              <w:rPr>
                <w:rFonts w:hint="eastAsia" w:ascii="Times New Roman" w:hAnsi="宋体"/>
                <w:bCs/>
                <w:color w:val="auto"/>
                <w:sz w:val="24"/>
                <w:highlight w:val="none"/>
                <w:lang w:eastAsia="zh-CN"/>
              </w:rPr>
              <w:t>（</w:t>
            </w:r>
            <w:r>
              <w:rPr>
                <w:rFonts w:hint="eastAsia" w:ascii="Times New Roman" w:hAnsi="宋体"/>
                <w:bCs/>
                <w:color w:val="auto"/>
                <w:sz w:val="24"/>
                <w:highlight w:val="none"/>
                <w:lang w:val="en-US" w:eastAsia="zh-CN"/>
              </w:rPr>
              <w:t>3</w:t>
            </w:r>
            <w:r>
              <w:rPr>
                <w:rFonts w:hint="eastAsia" w:ascii="Times New Roman" w:hAnsi="宋体"/>
                <w:bCs/>
                <w:color w:val="auto"/>
                <w:sz w:val="24"/>
                <w:highlight w:val="none"/>
                <w:lang w:eastAsia="zh-CN"/>
              </w:rPr>
              <w:t>）</w:t>
            </w:r>
            <w:r>
              <w:rPr>
                <w:rFonts w:hint="eastAsia" w:ascii="Times New Roman" w:hAnsi="宋体"/>
                <w:bCs/>
                <w:color w:val="auto"/>
                <w:sz w:val="24"/>
                <w:highlight w:val="none"/>
                <w:lang w:val="en-US" w:eastAsia="zh-CN"/>
              </w:rPr>
              <w:t>终孔测井</w:t>
            </w:r>
          </w:p>
          <w:p w14:paraId="128B79E4">
            <w:pPr>
              <w:spacing w:line="360" w:lineRule="auto"/>
              <w:ind w:firstLine="480" w:firstLineChars="200"/>
              <w:outlineLvl w:val="1"/>
              <w:rPr>
                <w:rFonts w:hint="eastAsia" w:ascii="Times New Roman" w:hAnsi="宋体"/>
                <w:bCs/>
                <w:color w:val="auto"/>
                <w:sz w:val="24"/>
                <w:highlight w:val="none"/>
              </w:rPr>
            </w:pPr>
            <w:r>
              <w:rPr>
                <w:rFonts w:hint="eastAsia" w:ascii="Times New Roman" w:hAnsi="宋体"/>
                <w:bCs/>
                <w:color w:val="auto"/>
                <w:sz w:val="24"/>
                <w:highlight w:val="none"/>
                <w:lang w:eastAsia="zh-CN"/>
              </w:rPr>
              <w:t>“</w:t>
            </w:r>
            <w:r>
              <w:rPr>
                <w:rFonts w:hint="eastAsia" w:ascii="Times New Roman" w:hAnsi="宋体"/>
                <w:bCs/>
                <w:color w:val="auto"/>
                <w:sz w:val="24"/>
                <w:highlight w:val="none"/>
              </w:rPr>
              <w:t>一开钻进</w:t>
            </w:r>
            <w:r>
              <w:rPr>
                <w:rFonts w:hint="eastAsia" w:ascii="Times New Roman" w:hAnsi="宋体"/>
                <w:bCs/>
                <w:color w:val="auto"/>
                <w:sz w:val="24"/>
                <w:highlight w:val="none"/>
                <w:lang w:eastAsia="zh-CN"/>
              </w:rPr>
              <w:t>”</w:t>
            </w:r>
            <w:r>
              <w:rPr>
                <w:rFonts w:hint="eastAsia" w:ascii="Times New Roman" w:hAnsi="宋体"/>
                <w:bCs/>
                <w:color w:val="auto"/>
                <w:sz w:val="24"/>
                <w:highlight w:val="none"/>
              </w:rPr>
              <w:t>达到设计孔深后，开展终孔测井作业。通过测井仪器沿钻孔轨迹下放、探测，对钻孔内地层岩性、煤层赋存状态、地质构造等信息进行精准采集。</w:t>
            </w:r>
          </w:p>
          <w:p w14:paraId="44B48F90">
            <w:pPr>
              <w:spacing w:line="360" w:lineRule="auto"/>
              <w:ind w:firstLine="480" w:firstLineChars="200"/>
              <w:outlineLvl w:val="1"/>
              <w:rPr>
                <w:rFonts w:hint="default" w:ascii="Times New Roman" w:hAnsi="宋体"/>
                <w:bCs/>
                <w:color w:val="auto"/>
                <w:sz w:val="24"/>
                <w:highlight w:val="none"/>
                <w:lang w:val="en-US" w:eastAsia="zh-CN"/>
              </w:rPr>
            </w:pPr>
            <w:r>
              <w:rPr>
                <w:rFonts w:hint="eastAsia" w:ascii="Times New Roman" w:hAnsi="宋体"/>
                <w:bCs/>
                <w:color w:val="auto"/>
                <w:sz w:val="24"/>
                <w:highlight w:val="none"/>
                <w:lang w:eastAsia="zh-CN"/>
              </w:rPr>
              <w:t>（</w:t>
            </w:r>
            <w:r>
              <w:rPr>
                <w:rFonts w:hint="eastAsia" w:ascii="Times New Roman" w:hAnsi="宋体"/>
                <w:bCs/>
                <w:color w:val="auto"/>
                <w:sz w:val="24"/>
                <w:highlight w:val="none"/>
                <w:lang w:val="en-US" w:eastAsia="zh-CN"/>
              </w:rPr>
              <w:t>4</w:t>
            </w:r>
            <w:r>
              <w:rPr>
                <w:rFonts w:hint="eastAsia" w:ascii="Times New Roman" w:hAnsi="宋体"/>
                <w:bCs/>
                <w:color w:val="auto"/>
                <w:sz w:val="24"/>
                <w:highlight w:val="none"/>
                <w:lang w:eastAsia="zh-CN"/>
              </w:rPr>
              <w:t>）</w:t>
            </w:r>
            <w:r>
              <w:rPr>
                <w:rFonts w:hint="eastAsia" w:ascii="Times New Roman" w:hAnsi="宋体"/>
                <w:bCs/>
                <w:color w:val="auto"/>
                <w:sz w:val="24"/>
                <w:highlight w:val="none"/>
                <w:lang w:val="en-US" w:eastAsia="zh-CN"/>
              </w:rPr>
              <w:t>封孔、生态修复</w:t>
            </w:r>
          </w:p>
          <w:p w14:paraId="156BBD90">
            <w:pPr>
              <w:spacing w:line="360" w:lineRule="auto"/>
              <w:ind w:firstLine="480" w:firstLineChars="200"/>
              <w:outlineLvl w:val="1"/>
              <w:rPr>
                <w:rFonts w:hint="eastAsia" w:ascii="Times New Roman" w:hAnsi="宋体"/>
                <w:bCs/>
                <w:color w:val="auto"/>
                <w:sz w:val="24"/>
                <w:highlight w:val="none"/>
                <w:lang w:eastAsia="zh-CN"/>
              </w:rPr>
            </w:pPr>
            <w:r>
              <w:rPr>
                <w:rFonts w:hint="eastAsia" w:ascii="Times New Roman" w:hAnsi="宋体"/>
                <w:bCs/>
                <w:color w:val="auto"/>
                <w:sz w:val="24"/>
                <w:highlight w:val="none"/>
                <w:lang w:eastAsia="zh-CN"/>
              </w:rPr>
              <w:t>钻孔施工完成后拆除钻机并清理现场，采用</w:t>
            </w:r>
            <w:r>
              <w:rPr>
                <w:rFonts w:hint="eastAsia" w:ascii="Times New Roman" w:hAnsi="宋体"/>
                <w:bCs/>
                <w:color w:val="auto"/>
                <w:sz w:val="24"/>
                <w:highlight w:val="none"/>
                <w:lang w:val="en-US" w:eastAsia="zh-CN"/>
              </w:rPr>
              <w:t>商品混凝土</w:t>
            </w:r>
            <w:r>
              <w:rPr>
                <w:rFonts w:hint="eastAsia" w:ascii="Times New Roman" w:hAnsi="宋体"/>
                <w:bCs/>
                <w:color w:val="auto"/>
                <w:sz w:val="24"/>
                <w:highlight w:val="none"/>
                <w:lang w:eastAsia="zh-CN"/>
              </w:rPr>
              <w:t>进行全孔封闭，并在井口埋设永久性水泥暗标，作详细记录封孔情况。施工结束后按照复垦方案对临时占地进行复垦，剥离的表土回填，恢复原有生态环境功能。</w:t>
            </w:r>
          </w:p>
          <w:p w14:paraId="2A5E69D2">
            <w:pPr>
              <w:spacing w:line="360" w:lineRule="auto"/>
              <w:ind w:firstLine="480" w:firstLineChars="200"/>
              <w:outlineLvl w:val="1"/>
              <w:rPr>
                <w:rFonts w:hint="eastAsia" w:ascii="Times New Roman" w:hAnsi="宋体"/>
                <w:bCs/>
                <w:color w:val="auto"/>
                <w:sz w:val="24"/>
                <w:highlight w:val="none"/>
                <w:lang w:eastAsia="zh-CN"/>
              </w:rPr>
            </w:pPr>
            <w:r>
              <w:rPr>
                <w:rFonts w:hint="eastAsia" w:ascii="Times New Roman" w:hAnsi="宋体"/>
                <w:bCs/>
                <w:color w:val="auto"/>
                <w:sz w:val="24"/>
                <w:highlight w:val="none"/>
                <w:lang w:eastAsia="zh-CN"/>
              </w:rPr>
              <w:t>封井过程中会有少量施工扬尘和建筑垃圾，施工扬尘采取洒水抑尘、建筑垃圾通过专用车辆运输至政府制定地点处置。</w:t>
            </w:r>
          </w:p>
          <w:p w14:paraId="653B692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Times New Roman" w:hAnsi="Times New Roman"/>
                <w:b/>
                <w:color w:val="auto"/>
              </w:rPr>
            </w:pPr>
            <w:r>
              <w:rPr>
                <w:rFonts w:hint="eastAsia"/>
                <w:sz w:val="24"/>
                <w:szCs w:val="24"/>
                <w:highlight w:val="none"/>
                <w:lang w:val="en-US" w:eastAsia="zh-CN"/>
              </w:rPr>
              <w:drawing>
                <wp:inline distT="0" distB="0" distL="114300" distR="114300">
                  <wp:extent cx="3583940" cy="3611245"/>
                  <wp:effectExtent l="0" t="0" r="8255" b="10160"/>
                  <wp:docPr id="17" name="图片 17" descr="朱集西煤矿地面补勘钻孔平面位置图1980坐标系-模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朱集西煤矿地面补勘钻孔平面位置图1980坐标系-模型2"/>
                          <pic:cNvPicPr>
                            <a:picLocks noChangeAspect="1"/>
                          </pic:cNvPicPr>
                        </pic:nvPicPr>
                        <pic:blipFill>
                          <a:blip r:embed="rId12"/>
                          <a:srcRect l="3902" r="11650"/>
                          <a:stretch>
                            <a:fillRect/>
                          </a:stretch>
                        </pic:blipFill>
                        <pic:spPr>
                          <a:xfrm rot="16200000">
                            <a:off x="0" y="0"/>
                            <a:ext cx="3583940" cy="3611245"/>
                          </a:xfrm>
                          <a:prstGeom prst="rect">
                            <a:avLst/>
                          </a:prstGeom>
                        </pic:spPr>
                      </pic:pic>
                    </a:graphicData>
                  </a:graphic>
                </wp:inline>
              </w:drawing>
            </w:r>
          </w:p>
          <w:p w14:paraId="69B350B5">
            <w:pPr>
              <w:spacing w:line="360" w:lineRule="auto"/>
              <w:jc w:val="center"/>
              <w:rPr>
                <w:rFonts w:ascii="Times New Roman" w:hAnsi="Times New Roman"/>
                <w:b/>
                <w:color w:val="auto"/>
                <w:szCs w:val="21"/>
                <w:lang w:val="en-US" w:eastAsia="zh-CN"/>
              </w:rPr>
            </w:pPr>
            <w:r>
              <w:rPr>
                <w:rFonts w:ascii="Times New Roman" w:hAnsi="Times New Roman"/>
                <w:b/>
                <w:color w:val="auto"/>
                <w:szCs w:val="21"/>
                <w:lang w:val="en-US" w:eastAsia="zh-CN"/>
              </w:rPr>
              <w:t>图2-</w:t>
            </w:r>
            <w:r>
              <w:rPr>
                <w:rFonts w:hint="eastAsia" w:ascii="Times New Roman" w:hAnsi="Times New Roman"/>
                <w:b/>
                <w:color w:val="auto"/>
                <w:szCs w:val="21"/>
                <w:lang w:val="en-US" w:eastAsia="zh-CN"/>
              </w:rPr>
              <w:t xml:space="preserve">2 </w:t>
            </w:r>
            <w:r>
              <w:rPr>
                <w:rFonts w:ascii="Times New Roman" w:hAnsi="Times New Roman"/>
                <w:b/>
                <w:color w:val="auto"/>
                <w:szCs w:val="21"/>
                <w:lang w:val="en-US" w:eastAsia="zh-CN"/>
              </w:rPr>
              <w:t xml:space="preserve"> 项目钻井结构示意图</w:t>
            </w:r>
          </w:p>
          <w:p w14:paraId="348F39E6">
            <w:pPr>
              <w:autoSpaceDE w:val="0"/>
              <w:autoSpaceDN w:val="0"/>
              <w:spacing w:line="360" w:lineRule="auto"/>
              <w:ind w:firstLine="482" w:firstLineChars="200"/>
              <w:rPr>
                <w:rFonts w:ascii="Times New Roman" w:hAnsi="Times New Roman"/>
                <w:b/>
                <w:color w:val="auto"/>
                <w:szCs w:val="21"/>
              </w:rPr>
            </w:pPr>
            <w:r>
              <w:rPr>
                <w:rFonts w:ascii="Times New Roman" w:hAnsi="Times New Roman"/>
                <w:b/>
                <w:bCs/>
                <w:color w:val="auto"/>
                <w:sz w:val="24"/>
                <w:shd w:val="clear" w:color="auto" w:fill="FFFFFF"/>
              </w:rPr>
              <w:t>2、施工设备</w:t>
            </w:r>
          </w:p>
          <w:p w14:paraId="1EAF8B85">
            <w:pPr>
              <w:spacing w:line="360" w:lineRule="auto"/>
              <w:jc w:val="center"/>
              <w:rPr>
                <w:rFonts w:ascii="Times New Roman" w:hAnsi="Times New Roman"/>
                <w:b/>
                <w:color w:val="auto"/>
                <w:szCs w:val="21"/>
                <w:lang w:val="en-US" w:eastAsia="zh-CN"/>
              </w:rPr>
            </w:pPr>
            <w:r>
              <w:rPr>
                <w:rFonts w:ascii="Times New Roman" w:hAnsi="Times New Roman"/>
                <w:b/>
                <w:color w:val="auto"/>
                <w:szCs w:val="21"/>
                <w:lang w:val="en-US" w:eastAsia="zh-CN"/>
              </w:rPr>
              <w:t>表2-</w:t>
            </w:r>
            <w:r>
              <w:rPr>
                <w:rFonts w:hint="eastAsia" w:ascii="Times New Roman" w:hAnsi="Times New Roman"/>
                <w:b/>
                <w:color w:val="auto"/>
                <w:szCs w:val="21"/>
                <w:lang w:val="en-US" w:eastAsia="zh-CN"/>
              </w:rPr>
              <w:t xml:space="preserve">4 </w:t>
            </w:r>
            <w:r>
              <w:rPr>
                <w:rFonts w:ascii="Times New Roman" w:hAnsi="Times New Roman"/>
                <w:b/>
                <w:color w:val="auto"/>
                <w:szCs w:val="21"/>
                <w:lang w:val="en-US" w:eastAsia="zh-CN"/>
              </w:rPr>
              <w:t xml:space="preserve"> 项目施工设备一览表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522"/>
              <w:gridCol w:w="2896"/>
              <w:gridCol w:w="1329"/>
              <w:gridCol w:w="1329"/>
            </w:tblGrid>
            <w:tr w14:paraId="3112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66" w:type="dxa"/>
                  <w:noWrap w:val="0"/>
                  <w:vAlign w:val="center"/>
                </w:tcPr>
                <w:p w14:paraId="219CB4E2">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序号</w:t>
                  </w:r>
                </w:p>
              </w:tc>
              <w:tc>
                <w:tcPr>
                  <w:tcW w:w="1522" w:type="dxa"/>
                  <w:noWrap w:val="0"/>
                  <w:vAlign w:val="center"/>
                </w:tcPr>
                <w:p w14:paraId="46FEE63A">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名称</w:t>
                  </w:r>
                </w:p>
              </w:tc>
              <w:tc>
                <w:tcPr>
                  <w:tcW w:w="2896" w:type="dxa"/>
                  <w:noWrap w:val="0"/>
                  <w:vAlign w:val="center"/>
                </w:tcPr>
                <w:p w14:paraId="1A40C4D5">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型号</w:t>
                  </w:r>
                </w:p>
              </w:tc>
              <w:tc>
                <w:tcPr>
                  <w:tcW w:w="1329" w:type="dxa"/>
                  <w:noWrap w:val="0"/>
                  <w:vAlign w:val="center"/>
                </w:tcPr>
                <w:p w14:paraId="0FB3C6DE">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单位</w:t>
                  </w:r>
                </w:p>
              </w:tc>
              <w:tc>
                <w:tcPr>
                  <w:tcW w:w="1329" w:type="dxa"/>
                  <w:noWrap w:val="0"/>
                  <w:vAlign w:val="center"/>
                </w:tcPr>
                <w:p w14:paraId="571219D5">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数量</w:t>
                  </w:r>
                </w:p>
              </w:tc>
            </w:tr>
            <w:tr w14:paraId="43567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66" w:type="dxa"/>
                  <w:noWrap w:val="0"/>
                  <w:vAlign w:val="center"/>
                </w:tcPr>
                <w:p w14:paraId="6A1E5BF2">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w:t>
                  </w:r>
                </w:p>
              </w:tc>
              <w:tc>
                <w:tcPr>
                  <w:tcW w:w="1522" w:type="dxa"/>
                  <w:shd w:val="clear" w:color="auto" w:fill="auto"/>
                  <w:noWrap w:val="0"/>
                  <w:vAlign w:val="center"/>
                </w:tcPr>
                <w:p w14:paraId="3DE5D76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highlight w:val="none"/>
                      <w14:textFill>
                        <w14:solidFill>
                          <w14:schemeClr w14:val="tx1"/>
                        </w14:solidFill>
                      </w14:textFill>
                    </w:rPr>
                    <w:t>钻机</w:t>
                  </w:r>
                </w:p>
              </w:tc>
              <w:tc>
                <w:tcPr>
                  <w:tcW w:w="2896" w:type="dxa"/>
                  <w:shd w:val="clear" w:color="auto" w:fill="auto"/>
                  <w:noWrap w:val="0"/>
                  <w:vAlign w:val="center"/>
                </w:tcPr>
                <w:p w14:paraId="4C8894C5">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TXB</w:t>
                  </w:r>
                  <w:r>
                    <w:rPr>
                      <w:rFonts w:ascii="Times New Roman" w:hAnsi="Times New Roman" w:eastAsia="宋体" w:cs="Times New Roman"/>
                      <w:color w:val="000000" w:themeColor="text1"/>
                      <w:kern w:val="0"/>
                      <w:sz w:val="21"/>
                      <w:szCs w:val="21"/>
                      <w:highlight w:val="none"/>
                      <w14:textFill>
                        <w14:solidFill>
                          <w14:schemeClr w14:val="tx1"/>
                        </w14:solidFill>
                      </w14:textFill>
                    </w:rPr>
                    <w:t>-2000钻机</w:t>
                  </w:r>
                </w:p>
              </w:tc>
              <w:tc>
                <w:tcPr>
                  <w:tcW w:w="1329" w:type="dxa"/>
                  <w:shd w:val="clear" w:color="auto" w:fill="auto"/>
                  <w:noWrap w:val="0"/>
                  <w:vAlign w:val="center"/>
                </w:tcPr>
                <w:p w14:paraId="4EAE3E44">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台</w:t>
                  </w:r>
                </w:p>
              </w:tc>
              <w:tc>
                <w:tcPr>
                  <w:tcW w:w="1329" w:type="dxa"/>
                  <w:shd w:val="clear" w:color="auto" w:fill="auto"/>
                  <w:noWrap w:val="0"/>
                  <w:vAlign w:val="center"/>
                </w:tcPr>
                <w:p w14:paraId="7AD48BD0">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p>
              </w:tc>
            </w:tr>
            <w:tr w14:paraId="5168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66" w:type="dxa"/>
                  <w:noWrap w:val="0"/>
                  <w:vAlign w:val="center"/>
                </w:tcPr>
                <w:p w14:paraId="5E0FC16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w:t>
                  </w:r>
                </w:p>
              </w:tc>
              <w:tc>
                <w:tcPr>
                  <w:tcW w:w="1522" w:type="dxa"/>
                  <w:shd w:val="clear" w:color="auto" w:fill="auto"/>
                  <w:noWrap w:val="0"/>
                  <w:vAlign w:val="center"/>
                </w:tcPr>
                <w:p w14:paraId="29F6985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ascii="Times New Roman" w:hAnsi="Times New Roman" w:eastAsia="宋体" w:cs="Times New Roman"/>
                      <w:color w:val="000000" w:themeColor="text1"/>
                      <w:kern w:val="0"/>
                      <w:sz w:val="21"/>
                      <w:szCs w:val="21"/>
                      <w:highlight w:val="none"/>
                      <w14:textFill>
                        <w14:solidFill>
                          <w14:schemeClr w14:val="tx1"/>
                        </w14:solidFill>
                      </w14:textFill>
                    </w:rPr>
                    <w:t>泥浆泵</w:t>
                  </w:r>
                </w:p>
              </w:tc>
              <w:tc>
                <w:tcPr>
                  <w:tcW w:w="2896" w:type="dxa"/>
                  <w:shd w:val="clear" w:color="auto" w:fill="auto"/>
                  <w:noWrap w:val="0"/>
                  <w:vAlign w:val="center"/>
                </w:tcPr>
                <w:p w14:paraId="10C85BF7">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NBB250/60</w:t>
                  </w:r>
                </w:p>
              </w:tc>
              <w:tc>
                <w:tcPr>
                  <w:tcW w:w="1329" w:type="dxa"/>
                  <w:shd w:val="clear" w:color="auto" w:fill="auto"/>
                  <w:noWrap w:val="0"/>
                  <w:vAlign w:val="center"/>
                </w:tcPr>
                <w:p w14:paraId="192E2AD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台</w:t>
                  </w:r>
                </w:p>
              </w:tc>
              <w:tc>
                <w:tcPr>
                  <w:tcW w:w="1329" w:type="dxa"/>
                  <w:shd w:val="clear" w:color="auto" w:fill="auto"/>
                  <w:noWrap w:val="0"/>
                  <w:vAlign w:val="center"/>
                </w:tcPr>
                <w:p w14:paraId="22C4BD4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p>
              </w:tc>
            </w:tr>
            <w:tr w14:paraId="03F9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66" w:type="dxa"/>
                  <w:noWrap w:val="0"/>
                  <w:vAlign w:val="center"/>
                </w:tcPr>
                <w:p w14:paraId="31260299">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w:t>
                  </w:r>
                </w:p>
              </w:tc>
              <w:tc>
                <w:tcPr>
                  <w:tcW w:w="1522" w:type="dxa"/>
                  <w:shd w:val="clear" w:color="auto" w:fill="auto"/>
                  <w:noWrap w:val="0"/>
                  <w:vAlign w:val="center"/>
                </w:tcPr>
                <w:p w14:paraId="3B28B070">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电动机</w:t>
                  </w:r>
                </w:p>
              </w:tc>
              <w:tc>
                <w:tcPr>
                  <w:tcW w:w="2896" w:type="dxa"/>
                  <w:shd w:val="clear" w:color="auto" w:fill="auto"/>
                  <w:noWrap w:val="0"/>
                  <w:vAlign w:val="center"/>
                </w:tcPr>
                <w:p w14:paraId="5CE85988">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37KW</w:t>
                  </w:r>
                </w:p>
              </w:tc>
              <w:tc>
                <w:tcPr>
                  <w:tcW w:w="1329" w:type="dxa"/>
                  <w:shd w:val="clear" w:color="auto" w:fill="auto"/>
                  <w:noWrap w:val="0"/>
                  <w:vAlign w:val="center"/>
                </w:tcPr>
                <w:p w14:paraId="722BC8BA">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台</w:t>
                  </w:r>
                </w:p>
              </w:tc>
              <w:tc>
                <w:tcPr>
                  <w:tcW w:w="1329" w:type="dxa"/>
                  <w:shd w:val="clear" w:color="auto" w:fill="auto"/>
                  <w:noWrap w:val="0"/>
                  <w:vAlign w:val="center"/>
                </w:tcPr>
                <w:p w14:paraId="63ACFB06">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p>
              </w:tc>
            </w:tr>
            <w:tr w14:paraId="360B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66" w:type="dxa"/>
                  <w:noWrap w:val="0"/>
                  <w:vAlign w:val="center"/>
                </w:tcPr>
                <w:p w14:paraId="0DFCF1A2">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w:t>
                  </w:r>
                </w:p>
              </w:tc>
              <w:tc>
                <w:tcPr>
                  <w:tcW w:w="1522" w:type="dxa"/>
                  <w:shd w:val="clear" w:color="auto" w:fill="auto"/>
                  <w:noWrap w:val="0"/>
                  <w:vAlign w:val="center"/>
                </w:tcPr>
                <w:p w14:paraId="7BE041BD">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绞车</w:t>
                  </w:r>
                </w:p>
              </w:tc>
              <w:tc>
                <w:tcPr>
                  <w:tcW w:w="2896" w:type="dxa"/>
                  <w:shd w:val="clear" w:color="auto" w:fill="auto"/>
                  <w:noWrap w:val="0"/>
                  <w:vAlign w:val="center"/>
                </w:tcPr>
                <w:p w14:paraId="0973252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JC100</w:t>
                  </w:r>
                </w:p>
              </w:tc>
              <w:tc>
                <w:tcPr>
                  <w:tcW w:w="1329" w:type="dxa"/>
                  <w:shd w:val="clear" w:color="auto" w:fill="auto"/>
                  <w:noWrap w:val="0"/>
                  <w:vAlign w:val="center"/>
                </w:tcPr>
                <w:p w14:paraId="1D7435C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台</w:t>
                  </w:r>
                </w:p>
              </w:tc>
              <w:tc>
                <w:tcPr>
                  <w:tcW w:w="1329" w:type="dxa"/>
                  <w:shd w:val="clear" w:color="auto" w:fill="auto"/>
                  <w:noWrap w:val="0"/>
                  <w:vAlign w:val="center"/>
                </w:tcPr>
                <w:p w14:paraId="7601220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p>
              </w:tc>
            </w:tr>
            <w:tr w14:paraId="555A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66" w:type="dxa"/>
                  <w:noWrap w:val="0"/>
                  <w:vAlign w:val="center"/>
                </w:tcPr>
                <w:p w14:paraId="5969648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w:t>
                  </w:r>
                </w:p>
              </w:tc>
              <w:tc>
                <w:tcPr>
                  <w:tcW w:w="1522" w:type="dxa"/>
                  <w:shd w:val="clear" w:color="auto" w:fill="auto"/>
                  <w:noWrap w:val="0"/>
                  <w:vAlign w:val="center"/>
                </w:tcPr>
                <w:p w14:paraId="1120142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钻头</w:t>
                  </w:r>
                </w:p>
              </w:tc>
              <w:tc>
                <w:tcPr>
                  <w:tcW w:w="2896" w:type="dxa"/>
                  <w:shd w:val="clear" w:color="auto" w:fill="auto"/>
                  <w:noWrap w:val="0"/>
                  <w:vAlign w:val="center"/>
                </w:tcPr>
                <w:p w14:paraId="430EC16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ascii="Times New Roman" w:hAnsi="Times New Roman" w:eastAsia="宋体" w:cs="Times New Roman"/>
                      <w:bCs/>
                      <w:color w:val="000000" w:themeColor="text1"/>
                      <w:sz w:val="21"/>
                      <w:szCs w:val="21"/>
                      <w:highlight w:val="none"/>
                      <w14:textFill>
                        <w14:solidFill>
                          <w14:schemeClr w14:val="tx1"/>
                        </w14:solidFill>
                      </w14:textFill>
                    </w:rPr>
                    <w:t>Φ</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94</w:t>
                  </w: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mm</w:t>
                  </w:r>
                </w:p>
              </w:tc>
              <w:tc>
                <w:tcPr>
                  <w:tcW w:w="1329" w:type="dxa"/>
                  <w:shd w:val="clear" w:color="auto" w:fill="auto"/>
                  <w:noWrap w:val="0"/>
                  <w:vAlign w:val="center"/>
                </w:tcPr>
                <w:p w14:paraId="2987275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个</w:t>
                  </w:r>
                </w:p>
              </w:tc>
              <w:tc>
                <w:tcPr>
                  <w:tcW w:w="1329" w:type="dxa"/>
                  <w:shd w:val="clear" w:color="auto" w:fill="auto"/>
                  <w:noWrap w:val="0"/>
                  <w:vAlign w:val="center"/>
                </w:tcPr>
                <w:p w14:paraId="305D049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15</w:t>
                  </w:r>
                </w:p>
              </w:tc>
            </w:tr>
            <w:tr w14:paraId="051D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6" w:type="dxa"/>
                  <w:noWrap w:val="0"/>
                  <w:vAlign w:val="center"/>
                </w:tcPr>
                <w:p w14:paraId="23CAC82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w:t>
                  </w:r>
                </w:p>
              </w:tc>
              <w:tc>
                <w:tcPr>
                  <w:tcW w:w="1522" w:type="dxa"/>
                  <w:shd w:val="clear" w:color="auto" w:fill="auto"/>
                  <w:noWrap w:val="0"/>
                  <w:vAlign w:val="center"/>
                </w:tcPr>
                <w:p w14:paraId="64D3B47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钻杆</w:t>
                  </w:r>
                </w:p>
              </w:tc>
              <w:tc>
                <w:tcPr>
                  <w:tcW w:w="2896" w:type="dxa"/>
                  <w:shd w:val="clear" w:color="auto" w:fill="auto"/>
                  <w:noWrap w:val="0"/>
                  <w:vAlign w:val="center"/>
                </w:tcPr>
                <w:p w14:paraId="0E6B1BBA">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ascii="Times New Roman" w:hAnsi="Times New Roman" w:eastAsia="宋体" w:cs="Times New Roman"/>
                      <w:bCs/>
                      <w:color w:val="000000" w:themeColor="text1"/>
                      <w:sz w:val="21"/>
                      <w:szCs w:val="21"/>
                      <w:highlight w:val="none"/>
                      <w14:textFill>
                        <w14:solidFill>
                          <w14:schemeClr w14:val="tx1"/>
                        </w14:solidFill>
                      </w14:textFill>
                    </w:rPr>
                    <w:t>Φ</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50</w:t>
                  </w: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mm</w:t>
                  </w:r>
                </w:p>
              </w:tc>
              <w:tc>
                <w:tcPr>
                  <w:tcW w:w="1329" w:type="dxa"/>
                  <w:shd w:val="clear" w:color="auto" w:fill="auto"/>
                  <w:noWrap w:val="0"/>
                  <w:vAlign w:val="center"/>
                </w:tcPr>
                <w:p w14:paraId="20EA198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m</w:t>
                  </w:r>
                </w:p>
              </w:tc>
              <w:tc>
                <w:tcPr>
                  <w:tcW w:w="1329" w:type="dxa"/>
                  <w:shd w:val="clear" w:color="auto" w:fill="auto"/>
                  <w:noWrap w:val="0"/>
                  <w:vAlign w:val="center"/>
                </w:tcPr>
                <w:p w14:paraId="4420382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3300</w:t>
                  </w:r>
                </w:p>
              </w:tc>
            </w:tr>
            <w:tr w14:paraId="61B4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66" w:type="dxa"/>
                  <w:noWrap w:val="0"/>
                  <w:vAlign w:val="center"/>
                </w:tcPr>
                <w:p w14:paraId="6461996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7</w:t>
                  </w:r>
                </w:p>
              </w:tc>
              <w:tc>
                <w:tcPr>
                  <w:tcW w:w="1522" w:type="dxa"/>
                  <w:shd w:val="clear" w:color="auto" w:fill="auto"/>
                  <w:noWrap w:val="0"/>
                  <w:vAlign w:val="center"/>
                </w:tcPr>
                <w:p w14:paraId="0800548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钻铤</w:t>
                  </w:r>
                </w:p>
              </w:tc>
              <w:tc>
                <w:tcPr>
                  <w:tcW w:w="2896" w:type="dxa"/>
                  <w:shd w:val="clear" w:color="auto" w:fill="auto"/>
                  <w:noWrap w:val="0"/>
                  <w:vAlign w:val="center"/>
                </w:tcPr>
                <w:p w14:paraId="519BDD03">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ascii="Times New Roman" w:hAnsi="Times New Roman" w:eastAsia="宋体" w:cs="Times New Roman"/>
                      <w:bCs/>
                      <w:color w:val="000000" w:themeColor="text1"/>
                      <w:sz w:val="21"/>
                      <w:szCs w:val="21"/>
                      <w:highlight w:val="none"/>
                      <w14:textFill>
                        <w14:solidFill>
                          <w14:schemeClr w14:val="tx1"/>
                        </w14:solidFill>
                      </w14:textFill>
                    </w:rPr>
                    <w:t>Φ</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75</w:t>
                  </w: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mm</w:t>
                  </w:r>
                </w:p>
              </w:tc>
              <w:tc>
                <w:tcPr>
                  <w:tcW w:w="1329" w:type="dxa"/>
                  <w:shd w:val="clear" w:color="auto" w:fill="auto"/>
                  <w:noWrap w:val="0"/>
                  <w:vAlign w:val="center"/>
                </w:tcPr>
                <w:p w14:paraId="6E4115F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m</w:t>
                  </w:r>
                </w:p>
              </w:tc>
              <w:tc>
                <w:tcPr>
                  <w:tcW w:w="1329" w:type="dxa"/>
                  <w:shd w:val="clear" w:color="auto" w:fill="auto"/>
                  <w:noWrap w:val="0"/>
                  <w:vAlign w:val="center"/>
                </w:tcPr>
                <w:p w14:paraId="475DA6D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270</w:t>
                  </w:r>
                </w:p>
              </w:tc>
            </w:tr>
          </w:tbl>
          <w:p w14:paraId="5FEFA1CA">
            <w:pPr>
              <w:pStyle w:val="28"/>
              <w:adjustRightInd/>
              <w:spacing w:line="360" w:lineRule="auto"/>
              <w:ind w:firstLine="482" w:firstLineChars="200"/>
              <w:jc w:val="both"/>
              <w:rPr>
                <w:rFonts w:ascii="Times New Roman" w:hAnsi="Times New Roman"/>
                <w:b/>
                <w:color w:val="auto"/>
              </w:rPr>
            </w:pPr>
            <w:r>
              <w:rPr>
                <w:rFonts w:hint="eastAsia" w:ascii="Times New Roman" w:hAnsi="Times New Roman"/>
                <w:b/>
                <w:color w:val="auto"/>
              </w:rPr>
              <w:t>3</w:t>
            </w:r>
            <w:r>
              <w:rPr>
                <w:rFonts w:ascii="Times New Roman" w:hAnsi="Times New Roman"/>
                <w:b/>
                <w:color w:val="auto"/>
              </w:rPr>
              <w:t>、项目主要原辅材料、能源及设备</w:t>
            </w:r>
          </w:p>
          <w:p w14:paraId="753DA3DB">
            <w:pPr>
              <w:spacing w:line="360" w:lineRule="auto"/>
              <w:jc w:val="center"/>
              <w:rPr>
                <w:rFonts w:ascii="Times New Roman" w:hAnsi="Times New Roman"/>
                <w:b/>
                <w:color w:val="auto"/>
                <w:szCs w:val="21"/>
                <w:lang w:val="en-US" w:eastAsia="zh-CN"/>
              </w:rPr>
            </w:pPr>
            <w:r>
              <w:rPr>
                <w:rFonts w:ascii="Times New Roman" w:hAnsi="Times New Roman"/>
                <w:b/>
                <w:color w:val="auto"/>
                <w:szCs w:val="21"/>
                <w:lang w:val="en-US" w:eastAsia="zh-CN"/>
              </w:rPr>
              <w:t>表2-</w:t>
            </w:r>
            <w:r>
              <w:rPr>
                <w:rFonts w:hint="eastAsia" w:ascii="Times New Roman" w:hAnsi="Times New Roman"/>
                <w:b/>
                <w:color w:val="auto"/>
                <w:szCs w:val="21"/>
                <w:lang w:val="en-US" w:eastAsia="zh-CN"/>
              </w:rPr>
              <w:t>5</w:t>
            </w:r>
            <w:r>
              <w:rPr>
                <w:rFonts w:ascii="Times New Roman" w:hAnsi="Times New Roman"/>
                <w:b/>
                <w:color w:val="auto"/>
                <w:szCs w:val="21"/>
                <w:lang w:val="en-US" w:eastAsia="zh-CN"/>
              </w:rPr>
              <w:t xml:space="preserve">  原辅材料和动力供应用量一览表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25"/>
              <w:gridCol w:w="1521"/>
              <w:gridCol w:w="963"/>
              <w:gridCol w:w="1102"/>
              <w:gridCol w:w="1102"/>
              <w:gridCol w:w="1180"/>
              <w:gridCol w:w="1449"/>
            </w:tblGrid>
            <w:tr w14:paraId="27D6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525" w:type="dxa"/>
                  <w:noWrap w:val="0"/>
                  <w:vAlign w:val="center"/>
                </w:tcPr>
                <w:p w14:paraId="30C9A42D">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auto"/>
                      <w:kern w:val="0"/>
                      <w:sz w:val="21"/>
                      <w:szCs w:val="21"/>
                    </w:rPr>
                  </w:pPr>
                  <w:r>
                    <w:rPr>
                      <w:rFonts w:ascii="Times New Roman" w:hAnsi="Times New Roman"/>
                      <w:color w:val="auto"/>
                      <w:kern w:val="0"/>
                      <w:sz w:val="21"/>
                      <w:szCs w:val="21"/>
                    </w:rPr>
                    <w:t>序号</w:t>
                  </w:r>
                </w:p>
              </w:tc>
              <w:tc>
                <w:tcPr>
                  <w:tcW w:w="1521" w:type="dxa"/>
                  <w:noWrap w:val="0"/>
                  <w:vAlign w:val="center"/>
                </w:tcPr>
                <w:p w14:paraId="7DACDE02">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auto"/>
                      <w:sz w:val="21"/>
                      <w:szCs w:val="21"/>
                    </w:rPr>
                  </w:pPr>
                  <w:r>
                    <w:rPr>
                      <w:rFonts w:ascii="Times New Roman" w:hAnsi="Times New Roman"/>
                      <w:color w:val="auto"/>
                      <w:kern w:val="0"/>
                      <w:sz w:val="21"/>
                      <w:szCs w:val="21"/>
                    </w:rPr>
                    <w:t>原材料和能源</w:t>
                  </w:r>
                </w:p>
              </w:tc>
              <w:tc>
                <w:tcPr>
                  <w:tcW w:w="963" w:type="dxa"/>
                  <w:noWrap w:val="0"/>
                  <w:vAlign w:val="center"/>
                </w:tcPr>
                <w:p w14:paraId="03B4C4A7">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auto"/>
                      <w:sz w:val="21"/>
                      <w:szCs w:val="21"/>
                    </w:rPr>
                  </w:pPr>
                  <w:r>
                    <w:rPr>
                      <w:rFonts w:ascii="Times New Roman" w:hAnsi="Times New Roman"/>
                      <w:color w:val="auto"/>
                      <w:kern w:val="0"/>
                      <w:sz w:val="21"/>
                      <w:szCs w:val="21"/>
                    </w:rPr>
                    <w:t>用量</w:t>
                  </w:r>
                </w:p>
              </w:tc>
              <w:tc>
                <w:tcPr>
                  <w:tcW w:w="1102" w:type="dxa"/>
                  <w:noWrap w:val="0"/>
                  <w:vAlign w:val="center"/>
                </w:tcPr>
                <w:p w14:paraId="690DB05C">
                  <w:pPr>
                    <w:jc w:val="center"/>
                    <w:textAlignment w:val="center"/>
                    <w:rPr>
                      <w:rFonts w:ascii="Times New Roman" w:hAnsi="Times New Roman"/>
                      <w:color w:val="auto"/>
                      <w:sz w:val="21"/>
                      <w:szCs w:val="21"/>
                    </w:rPr>
                  </w:pPr>
                  <w:r>
                    <w:rPr>
                      <w:rFonts w:hint="eastAsia" w:ascii="Times New Roman" w:hAnsi="Times New Roman"/>
                      <w:color w:val="auto"/>
                      <w:sz w:val="21"/>
                      <w:szCs w:val="21"/>
                      <w:highlight w:val="none"/>
                      <w:lang w:val="en-US" w:eastAsia="zh-CN"/>
                    </w:rPr>
                    <w:t>主要成分</w:t>
                  </w:r>
                </w:p>
              </w:tc>
              <w:tc>
                <w:tcPr>
                  <w:tcW w:w="1102" w:type="dxa"/>
                  <w:noWrap w:val="0"/>
                  <w:vAlign w:val="center"/>
                </w:tcPr>
                <w:p w14:paraId="73E9209D">
                  <w:pPr>
                    <w:keepNext w:val="0"/>
                    <w:keepLines w:val="0"/>
                    <w:pageBreakBefore w:val="0"/>
                    <w:kinsoku/>
                    <w:wordWrap/>
                    <w:overflowPunct/>
                    <w:topLinePunct w:val="0"/>
                    <w:autoSpaceDE/>
                    <w:autoSpaceDN/>
                    <w:bidi w:val="0"/>
                    <w:adjustRightInd/>
                    <w:snapToGrid/>
                    <w:jc w:val="center"/>
                    <w:textAlignment w:val="center"/>
                    <w:rPr>
                      <w:rFonts w:ascii="Times New Roman" w:hAnsi="Times New Roman"/>
                      <w:color w:val="auto"/>
                      <w:sz w:val="21"/>
                      <w:szCs w:val="21"/>
                    </w:rPr>
                  </w:pPr>
                  <w:r>
                    <w:rPr>
                      <w:rFonts w:ascii="Times New Roman" w:hAnsi="Times New Roman"/>
                      <w:color w:val="auto"/>
                      <w:sz w:val="21"/>
                      <w:szCs w:val="21"/>
                    </w:rPr>
                    <w:t>最大存储量</w:t>
                  </w:r>
                </w:p>
              </w:tc>
              <w:tc>
                <w:tcPr>
                  <w:tcW w:w="1180" w:type="dxa"/>
                  <w:noWrap w:val="0"/>
                  <w:vAlign w:val="center"/>
                </w:tcPr>
                <w:p w14:paraId="4F91E116">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auto"/>
                      <w:sz w:val="21"/>
                      <w:szCs w:val="21"/>
                    </w:rPr>
                  </w:pPr>
                  <w:r>
                    <w:rPr>
                      <w:rFonts w:ascii="Times New Roman" w:hAnsi="Times New Roman"/>
                      <w:color w:val="auto"/>
                      <w:kern w:val="0"/>
                      <w:sz w:val="21"/>
                      <w:szCs w:val="21"/>
                    </w:rPr>
                    <w:t>储存位置</w:t>
                  </w:r>
                </w:p>
              </w:tc>
              <w:tc>
                <w:tcPr>
                  <w:tcW w:w="1449" w:type="dxa"/>
                  <w:noWrap w:val="0"/>
                  <w:vAlign w:val="center"/>
                </w:tcPr>
                <w:p w14:paraId="31B25A20">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auto"/>
                      <w:sz w:val="21"/>
                      <w:szCs w:val="21"/>
                    </w:rPr>
                  </w:pPr>
                  <w:r>
                    <w:rPr>
                      <w:rFonts w:ascii="Times New Roman" w:hAnsi="Times New Roman"/>
                      <w:color w:val="auto"/>
                      <w:sz w:val="21"/>
                      <w:szCs w:val="21"/>
                    </w:rPr>
                    <w:t>储存方式</w:t>
                  </w:r>
                </w:p>
              </w:tc>
            </w:tr>
            <w:tr w14:paraId="64F28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525" w:type="dxa"/>
                  <w:noWrap w:val="0"/>
                  <w:vAlign w:val="center"/>
                </w:tcPr>
                <w:p w14:paraId="5D61E5FF">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olor w:val="auto"/>
                      <w:kern w:val="0"/>
                      <w:sz w:val="21"/>
                      <w:szCs w:val="21"/>
                      <w:lang w:val="en-US" w:eastAsia="zh-CN"/>
                    </w:rPr>
                  </w:pPr>
                  <w:r>
                    <w:rPr>
                      <w:rFonts w:hint="eastAsia" w:ascii="Times New Roman" w:hAnsi="Times New Roman"/>
                      <w:color w:val="auto"/>
                      <w:kern w:val="0"/>
                      <w:sz w:val="21"/>
                      <w:szCs w:val="21"/>
                      <w:lang w:val="en-US" w:eastAsia="zh-CN"/>
                    </w:rPr>
                    <w:t>1</w:t>
                  </w:r>
                </w:p>
              </w:tc>
              <w:tc>
                <w:tcPr>
                  <w:tcW w:w="1521" w:type="dxa"/>
                  <w:noWrap w:val="0"/>
                  <w:vAlign w:val="center"/>
                </w:tcPr>
                <w:p w14:paraId="6414D6EE">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olor w:val="auto"/>
                      <w:kern w:val="0"/>
                      <w:sz w:val="21"/>
                      <w:szCs w:val="21"/>
                      <w:lang w:val="en-US" w:eastAsia="zh-CN"/>
                    </w:rPr>
                  </w:pPr>
                  <w:r>
                    <w:rPr>
                      <w:rFonts w:hint="eastAsia" w:ascii="Times New Roman" w:hAnsi="Times New Roman"/>
                      <w:color w:val="auto"/>
                      <w:kern w:val="0"/>
                      <w:sz w:val="21"/>
                      <w:szCs w:val="21"/>
                      <w:highlight w:val="none"/>
                    </w:rPr>
                    <w:t>用电</w:t>
                  </w:r>
                </w:p>
              </w:tc>
              <w:tc>
                <w:tcPr>
                  <w:tcW w:w="963" w:type="dxa"/>
                  <w:noWrap w:val="0"/>
                  <w:vAlign w:val="center"/>
                </w:tcPr>
                <w:p w14:paraId="6093C8A1">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rPr>
                    <w:t>3万度</w:t>
                  </w:r>
                </w:p>
              </w:tc>
              <w:tc>
                <w:tcPr>
                  <w:tcW w:w="1102" w:type="dxa"/>
                  <w:shd w:val="clear" w:color="auto" w:fill="auto"/>
                  <w:noWrap w:val="0"/>
                  <w:vAlign w:val="center"/>
                </w:tcPr>
                <w:p w14:paraId="474C4542">
                  <w:pPr>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lang w:val="en-US" w:eastAsia="zh-CN"/>
                    </w:rPr>
                    <w:t>/</w:t>
                  </w:r>
                </w:p>
              </w:tc>
              <w:tc>
                <w:tcPr>
                  <w:tcW w:w="1102" w:type="dxa"/>
                  <w:shd w:val="clear" w:color="auto" w:fill="auto"/>
                  <w:noWrap w:val="0"/>
                  <w:vAlign w:val="center"/>
                </w:tcPr>
                <w:p w14:paraId="43783E69">
                  <w:pPr>
                    <w:keepNext w:val="0"/>
                    <w:keepLines w:val="0"/>
                    <w:pageBreakBefore w:val="0"/>
                    <w:kinsoku/>
                    <w:wordWrap/>
                    <w:overflowPunct/>
                    <w:topLinePunct w:val="0"/>
                    <w:autoSpaceDE/>
                    <w:autoSpaceDN/>
                    <w:bidi w:val="0"/>
                    <w:adjustRightInd/>
                    <w:snapToGrid/>
                    <w:jc w:val="center"/>
                    <w:textAlignment w:val="center"/>
                    <w:rPr>
                      <w:rFonts w:ascii="Times New Roman" w:hAnsi="Times New Roman" w:eastAsia="宋体" w:cs="Times New Roman"/>
                      <w:color w:val="auto"/>
                      <w:kern w:val="0"/>
                      <w:sz w:val="21"/>
                      <w:szCs w:val="21"/>
                      <w:lang w:val="en-US" w:eastAsia="zh-CN" w:bidi="ar-SA"/>
                    </w:rPr>
                  </w:pPr>
                  <w:r>
                    <w:rPr>
                      <w:rFonts w:ascii="Times New Roman" w:hAnsi="Times New Roman"/>
                      <w:color w:val="auto"/>
                      <w:kern w:val="0"/>
                      <w:sz w:val="21"/>
                      <w:szCs w:val="21"/>
                      <w:highlight w:val="none"/>
                    </w:rPr>
                    <w:t>/</w:t>
                  </w:r>
                </w:p>
              </w:tc>
              <w:tc>
                <w:tcPr>
                  <w:tcW w:w="1180" w:type="dxa"/>
                  <w:shd w:val="clear" w:color="auto" w:fill="auto"/>
                  <w:noWrap w:val="0"/>
                  <w:vAlign w:val="center"/>
                </w:tcPr>
                <w:p w14:paraId="2D2775C9">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eastAsia="宋体" w:cs="Times New Roman"/>
                      <w:color w:val="auto"/>
                      <w:kern w:val="0"/>
                      <w:sz w:val="21"/>
                      <w:szCs w:val="21"/>
                      <w:lang w:val="en-US" w:eastAsia="zh-CN" w:bidi="ar-SA"/>
                    </w:rPr>
                  </w:pPr>
                  <w:r>
                    <w:rPr>
                      <w:rFonts w:ascii="Times New Roman" w:hAnsi="Times New Roman"/>
                      <w:color w:val="auto"/>
                      <w:kern w:val="0"/>
                      <w:sz w:val="21"/>
                      <w:szCs w:val="21"/>
                      <w:highlight w:val="none"/>
                    </w:rPr>
                    <w:t>/</w:t>
                  </w:r>
                </w:p>
              </w:tc>
              <w:tc>
                <w:tcPr>
                  <w:tcW w:w="1449" w:type="dxa"/>
                  <w:shd w:val="clear" w:color="auto" w:fill="auto"/>
                  <w:noWrap w:val="0"/>
                  <w:vAlign w:val="center"/>
                </w:tcPr>
                <w:p w14:paraId="7EAE42F5">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eastAsia="宋体" w:cs="Times New Roman"/>
                      <w:color w:val="auto"/>
                      <w:kern w:val="0"/>
                      <w:sz w:val="21"/>
                      <w:szCs w:val="21"/>
                      <w:lang w:val="en-US" w:eastAsia="zh-CN" w:bidi="ar-SA"/>
                    </w:rPr>
                  </w:pPr>
                  <w:r>
                    <w:rPr>
                      <w:rFonts w:ascii="Times New Roman" w:hAnsi="Times New Roman"/>
                      <w:color w:val="auto"/>
                      <w:kern w:val="0"/>
                      <w:sz w:val="21"/>
                      <w:szCs w:val="21"/>
                      <w:highlight w:val="none"/>
                    </w:rPr>
                    <w:t>/</w:t>
                  </w:r>
                </w:p>
              </w:tc>
            </w:tr>
            <w:tr w14:paraId="5BE2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525" w:type="dxa"/>
                  <w:noWrap w:val="0"/>
                  <w:vAlign w:val="center"/>
                </w:tcPr>
                <w:p w14:paraId="34325F27">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val="en-US" w:eastAsia="zh-CN"/>
                    </w:rPr>
                    <w:t>2</w:t>
                  </w:r>
                </w:p>
              </w:tc>
              <w:tc>
                <w:tcPr>
                  <w:tcW w:w="1521" w:type="dxa"/>
                  <w:noWrap w:val="0"/>
                  <w:vAlign w:val="center"/>
                </w:tcPr>
                <w:p w14:paraId="32571DE0">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auto"/>
                      <w:kern w:val="0"/>
                      <w:sz w:val="21"/>
                      <w:szCs w:val="21"/>
                    </w:rPr>
                  </w:pPr>
                  <w:r>
                    <w:rPr>
                      <w:rFonts w:ascii="Times New Roman" w:hAnsi="Times New Roman"/>
                      <w:color w:val="auto"/>
                      <w:kern w:val="0"/>
                      <w:sz w:val="21"/>
                      <w:szCs w:val="21"/>
                      <w:highlight w:val="none"/>
                    </w:rPr>
                    <w:t>用水</w:t>
                  </w:r>
                </w:p>
              </w:tc>
              <w:tc>
                <w:tcPr>
                  <w:tcW w:w="963" w:type="dxa"/>
                  <w:noWrap w:val="0"/>
                  <w:vAlign w:val="center"/>
                </w:tcPr>
                <w:p w14:paraId="038F8828">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lang w:val="en-US" w:eastAsia="zh-CN"/>
                    </w:rPr>
                    <w:t>270</w:t>
                  </w:r>
                  <w:r>
                    <w:rPr>
                      <w:rFonts w:ascii="Times New Roman" w:hAnsi="Times New Roman"/>
                      <w:color w:val="auto"/>
                      <w:kern w:val="0"/>
                      <w:sz w:val="21"/>
                      <w:szCs w:val="21"/>
                      <w:highlight w:val="none"/>
                    </w:rPr>
                    <w:t>t</w:t>
                  </w:r>
                </w:p>
              </w:tc>
              <w:tc>
                <w:tcPr>
                  <w:tcW w:w="1102" w:type="dxa"/>
                  <w:noWrap w:val="0"/>
                  <w:vAlign w:val="center"/>
                </w:tcPr>
                <w:p w14:paraId="0ADF1779">
                  <w:pPr>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lang w:val="en-US" w:eastAsia="zh-CN"/>
                    </w:rPr>
                    <w:t>/</w:t>
                  </w:r>
                </w:p>
              </w:tc>
              <w:tc>
                <w:tcPr>
                  <w:tcW w:w="1102" w:type="dxa"/>
                  <w:noWrap w:val="0"/>
                  <w:vAlign w:val="center"/>
                </w:tcPr>
                <w:p w14:paraId="18ACB1AC">
                  <w:pPr>
                    <w:keepNext w:val="0"/>
                    <w:keepLines w:val="0"/>
                    <w:pageBreakBefore w:val="0"/>
                    <w:kinsoku/>
                    <w:wordWrap/>
                    <w:overflowPunct/>
                    <w:topLinePunct w:val="0"/>
                    <w:autoSpaceDE/>
                    <w:autoSpaceDN/>
                    <w:bidi w:val="0"/>
                    <w:adjustRightInd/>
                    <w:snapToGrid/>
                    <w:jc w:val="center"/>
                    <w:textAlignment w:val="center"/>
                    <w:rPr>
                      <w:rFonts w:ascii="Times New Roman" w:hAnsi="Times New Roman"/>
                      <w:color w:val="auto"/>
                      <w:kern w:val="0"/>
                      <w:sz w:val="21"/>
                      <w:szCs w:val="21"/>
                    </w:rPr>
                  </w:pPr>
                  <w:r>
                    <w:rPr>
                      <w:rFonts w:ascii="Times New Roman" w:hAnsi="Times New Roman"/>
                      <w:color w:val="auto"/>
                      <w:kern w:val="0"/>
                      <w:sz w:val="21"/>
                      <w:szCs w:val="21"/>
                      <w:highlight w:val="none"/>
                    </w:rPr>
                    <w:t>/</w:t>
                  </w:r>
                </w:p>
              </w:tc>
              <w:tc>
                <w:tcPr>
                  <w:tcW w:w="1180" w:type="dxa"/>
                  <w:noWrap w:val="0"/>
                  <w:vAlign w:val="center"/>
                </w:tcPr>
                <w:p w14:paraId="140A361C">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auto"/>
                      <w:kern w:val="0"/>
                      <w:sz w:val="21"/>
                      <w:szCs w:val="21"/>
                    </w:rPr>
                  </w:pPr>
                  <w:r>
                    <w:rPr>
                      <w:rFonts w:ascii="Times New Roman" w:hAnsi="Times New Roman"/>
                      <w:color w:val="auto"/>
                      <w:kern w:val="0"/>
                      <w:sz w:val="21"/>
                      <w:szCs w:val="21"/>
                      <w:highlight w:val="none"/>
                    </w:rPr>
                    <w:t>/</w:t>
                  </w:r>
                </w:p>
              </w:tc>
              <w:tc>
                <w:tcPr>
                  <w:tcW w:w="1449" w:type="dxa"/>
                  <w:noWrap w:val="0"/>
                  <w:vAlign w:val="center"/>
                </w:tcPr>
                <w:p w14:paraId="1A967234">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auto"/>
                      <w:kern w:val="0"/>
                      <w:sz w:val="21"/>
                      <w:szCs w:val="21"/>
                    </w:rPr>
                  </w:pPr>
                  <w:r>
                    <w:rPr>
                      <w:rFonts w:ascii="Times New Roman" w:hAnsi="Times New Roman"/>
                      <w:color w:val="auto"/>
                      <w:kern w:val="0"/>
                      <w:sz w:val="21"/>
                      <w:szCs w:val="21"/>
                      <w:highlight w:val="none"/>
                    </w:rPr>
                    <w:t>/</w:t>
                  </w:r>
                </w:p>
              </w:tc>
            </w:tr>
            <w:tr w14:paraId="470C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525" w:type="dxa"/>
                  <w:noWrap w:val="0"/>
                  <w:vAlign w:val="center"/>
                </w:tcPr>
                <w:p w14:paraId="7C053147">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val="en-US" w:eastAsia="zh-CN"/>
                    </w:rPr>
                    <w:t>3</w:t>
                  </w:r>
                </w:p>
              </w:tc>
              <w:tc>
                <w:tcPr>
                  <w:tcW w:w="1521" w:type="dxa"/>
                  <w:noWrap w:val="0"/>
                  <w:vAlign w:val="center"/>
                </w:tcPr>
                <w:p w14:paraId="12EF7DCE">
                  <w:pPr>
                    <w:widowControl/>
                    <w:jc w:val="center"/>
                    <w:textAlignment w:val="center"/>
                    <w:rPr>
                      <w:rFonts w:ascii="Times New Roman" w:hAnsi="Times New Roman"/>
                      <w:color w:val="auto"/>
                      <w:kern w:val="0"/>
                      <w:sz w:val="21"/>
                      <w:szCs w:val="21"/>
                    </w:rPr>
                  </w:pPr>
                  <w:r>
                    <w:rPr>
                      <w:rFonts w:ascii="Times New Roman" w:hAnsi="Times New Roman"/>
                      <w:color w:val="auto"/>
                      <w:kern w:val="0"/>
                      <w:sz w:val="21"/>
                      <w:szCs w:val="21"/>
                      <w:highlight w:val="none"/>
                    </w:rPr>
                    <w:t>外购</w:t>
                  </w:r>
                  <w:r>
                    <w:rPr>
                      <w:rFonts w:hint="eastAsia" w:ascii="Times New Roman" w:hAnsi="Times New Roman"/>
                      <w:color w:val="auto"/>
                      <w:kern w:val="0"/>
                      <w:sz w:val="21"/>
                      <w:szCs w:val="21"/>
                      <w:highlight w:val="none"/>
                      <w:lang w:val="en-US" w:eastAsia="zh-CN"/>
                    </w:rPr>
                    <w:t>商品混凝土</w:t>
                  </w:r>
                </w:p>
              </w:tc>
              <w:tc>
                <w:tcPr>
                  <w:tcW w:w="963" w:type="dxa"/>
                  <w:noWrap w:val="0"/>
                  <w:vAlign w:val="center"/>
                </w:tcPr>
                <w:p w14:paraId="1AB943E2">
                  <w:pPr>
                    <w:widowControl/>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lang w:val="en-US" w:eastAsia="zh-CN"/>
                    </w:rPr>
                    <w:t>5.4</w:t>
                  </w:r>
                  <w:r>
                    <w:rPr>
                      <w:rFonts w:ascii="Times New Roman" w:hAnsi="Times New Roman"/>
                      <w:color w:val="auto"/>
                      <w:kern w:val="0"/>
                      <w:sz w:val="21"/>
                      <w:szCs w:val="21"/>
                      <w:highlight w:val="none"/>
                    </w:rPr>
                    <w:t>t</w:t>
                  </w:r>
                </w:p>
              </w:tc>
              <w:tc>
                <w:tcPr>
                  <w:tcW w:w="1102" w:type="dxa"/>
                  <w:noWrap w:val="0"/>
                  <w:vAlign w:val="center"/>
                </w:tcPr>
                <w:p w14:paraId="67DF518C">
                  <w:pPr>
                    <w:jc w:val="center"/>
                    <w:textAlignment w:val="center"/>
                    <w:rPr>
                      <w:rFonts w:hint="eastAsia"/>
                      <w:color w:val="auto"/>
                      <w:sz w:val="21"/>
                      <w:szCs w:val="21"/>
                      <w:highlight w:val="none"/>
                    </w:rPr>
                  </w:pPr>
                  <w:r>
                    <w:rPr>
                      <w:rFonts w:hint="eastAsia"/>
                      <w:color w:val="auto"/>
                      <w:sz w:val="21"/>
                      <w:szCs w:val="21"/>
                      <w:highlight w:val="none"/>
                    </w:rPr>
                    <w:t>混凝土</w:t>
                  </w:r>
                </w:p>
              </w:tc>
              <w:tc>
                <w:tcPr>
                  <w:tcW w:w="1102" w:type="dxa"/>
                  <w:noWrap w:val="0"/>
                  <w:vAlign w:val="center"/>
                </w:tcPr>
                <w:p w14:paraId="62948BAC">
                  <w:pPr>
                    <w:jc w:val="center"/>
                    <w:textAlignment w:val="center"/>
                    <w:rPr>
                      <w:rFonts w:hint="eastAsia" w:ascii="Times New Roman" w:hAnsi="Times New Roman" w:eastAsia="宋体"/>
                      <w:color w:val="auto"/>
                      <w:kern w:val="0"/>
                      <w:sz w:val="21"/>
                      <w:szCs w:val="21"/>
                      <w:lang w:eastAsia="zh-CN"/>
                    </w:rPr>
                  </w:pPr>
                  <w:r>
                    <w:rPr>
                      <w:rFonts w:hint="eastAsia"/>
                      <w:color w:val="auto"/>
                      <w:sz w:val="21"/>
                      <w:szCs w:val="21"/>
                      <w:highlight w:val="none"/>
                      <w:lang w:val="en-US" w:eastAsia="zh-CN"/>
                    </w:rPr>
                    <w:t>/</w:t>
                  </w:r>
                </w:p>
              </w:tc>
              <w:tc>
                <w:tcPr>
                  <w:tcW w:w="1180" w:type="dxa"/>
                  <w:noWrap w:val="0"/>
                  <w:vAlign w:val="center"/>
                </w:tcPr>
                <w:p w14:paraId="5ADF0147">
                  <w:pPr>
                    <w:jc w:val="center"/>
                    <w:textAlignment w:val="center"/>
                    <w:rPr>
                      <w:rFonts w:ascii="Times New Roman" w:hAnsi="Times New Roman"/>
                      <w:color w:val="auto"/>
                      <w:kern w:val="0"/>
                      <w:sz w:val="21"/>
                      <w:szCs w:val="21"/>
                    </w:rPr>
                  </w:pPr>
                  <w:r>
                    <w:rPr>
                      <w:rFonts w:ascii="Times New Roman" w:hAnsi="Times New Roman"/>
                      <w:color w:val="auto"/>
                      <w:kern w:val="0"/>
                      <w:sz w:val="21"/>
                      <w:szCs w:val="21"/>
                      <w:highlight w:val="none"/>
                    </w:rPr>
                    <w:t>/</w:t>
                  </w:r>
                </w:p>
              </w:tc>
              <w:tc>
                <w:tcPr>
                  <w:tcW w:w="1449" w:type="dxa"/>
                  <w:shd w:val="clear" w:color="auto" w:fill="auto"/>
                  <w:noWrap w:val="0"/>
                  <w:vAlign w:val="center"/>
                </w:tcPr>
                <w:p w14:paraId="4542E885">
                  <w:pPr>
                    <w:widowControl/>
                    <w:jc w:val="center"/>
                    <w:textAlignment w:val="center"/>
                    <w:rPr>
                      <w:rFonts w:ascii="Times New Roman" w:hAnsi="Times New Roman" w:eastAsia="宋体" w:cs="Times New Roman"/>
                      <w:color w:val="auto"/>
                      <w:kern w:val="0"/>
                      <w:sz w:val="21"/>
                      <w:szCs w:val="21"/>
                      <w:highlight w:val="none"/>
                      <w:lang w:val="en-US" w:eastAsia="zh-CN" w:bidi="ar-SA"/>
                    </w:rPr>
                  </w:pPr>
                  <w:r>
                    <w:rPr>
                      <w:rFonts w:ascii="Times New Roman" w:hAnsi="Times New Roman"/>
                      <w:color w:val="auto"/>
                      <w:kern w:val="0"/>
                      <w:sz w:val="21"/>
                      <w:szCs w:val="21"/>
                      <w:highlight w:val="none"/>
                    </w:rPr>
                    <w:t>固井即时使用</w:t>
                  </w:r>
                </w:p>
              </w:tc>
            </w:tr>
            <w:tr w14:paraId="741A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525" w:type="dxa"/>
                  <w:noWrap w:val="0"/>
                  <w:vAlign w:val="center"/>
                </w:tcPr>
                <w:p w14:paraId="6787B9C8">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val="en-US" w:eastAsia="zh-CN"/>
                    </w:rPr>
                    <w:t>4</w:t>
                  </w:r>
                </w:p>
              </w:tc>
              <w:tc>
                <w:tcPr>
                  <w:tcW w:w="1521" w:type="dxa"/>
                  <w:noWrap w:val="0"/>
                  <w:vAlign w:val="center"/>
                </w:tcPr>
                <w:p w14:paraId="4A2DC7F9">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auto"/>
                      <w:kern w:val="0"/>
                      <w:sz w:val="21"/>
                      <w:szCs w:val="21"/>
                    </w:rPr>
                  </w:pPr>
                  <w:r>
                    <w:rPr>
                      <w:rFonts w:ascii="Times New Roman" w:hAnsi="Times New Roman"/>
                      <w:color w:val="auto"/>
                      <w:kern w:val="0"/>
                      <w:sz w:val="21"/>
                      <w:szCs w:val="21"/>
                      <w:highlight w:val="none"/>
                    </w:rPr>
                    <w:t>纤维素</w:t>
                  </w:r>
                </w:p>
              </w:tc>
              <w:tc>
                <w:tcPr>
                  <w:tcW w:w="963" w:type="dxa"/>
                  <w:noWrap w:val="0"/>
                  <w:vAlign w:val="center"/>
                </w:tcPr>
                <w:p w14:paraId="67BC524C">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lang w:val="en-US" w:eastAsia="zh-CN"/>
                    </w:rPr>
                    <w:t>1.5</w:t>
                  </w:r>
                  <w:r>
                    <w:rPr>
                      <w:rFonts w:ascii="Times New Roman" w:hAnsi="Times New Roman"/>
                      <w:color w:val="auto"/>
                      <w:kern w:val="0"/>
                      <w:sz w:val="21"/>
                      <w:szCs w:val="21"/>
                      <w:highlight w:val="none"/>
                    </w:rPr>
                    <w:t>t</w:t>
                  </w:r>
                </w:p>
              </w:tc>
              <w:tc>
                <w:tcPr>
                  <w:tcW w:w="1102" w:type="dxa"/>
                  <w:noWrap w:val="0"/>
                  <w:vAlign w:val="center"/>
                </w:tcPr>
                <w:p w14:paraId="3D0FA03D">
                  <w:pPr>
                    <w:jc w:val="center"/>
                    <w:textAlignment w:val="center"/>
                    <w:rPr>
                      <w:rFonts w:ascii="Times New Roman" w:hAnsi="Times New Roman"/>
                      <w:color w:val="auto"/>
                      <w:kern w:val="0"/>
                      <w:sz w:val="21"/>
                      <w:szCs w:val="21"/>
                      <w:highlight w:val="none"/>
                    </w:rPr>
                  </w:pPr>
                  <w:r>
                    <w:rPr>
                      <w:rFonts w:ascii="Times New Roman" w:hAnsi="Times New Roman"/>
                      <w:color w:val="auto"/>
                      <w:highlight w:val="none"/>
                    </w:rPr>
                    <w:t>木质素纤维</w:t>
                  </w:r>
                </w:p>
              </w:tc>
              <w:tc>
                <w:tcPr>
                  <w:tcW w:w="1102" w:type="dxa"/>
                  <w:noWrap w:val="0"/>
                  <w:vAlign w:val="center"/>
                </w:tcPr>
                <w:p w14:paraId="7E6507A2">
                  <w:pPr>
                    <w:keepNext w:val="0"/>
                    <w:keepLines w:val="0"/>
                    <w:pageBreakBefore w:val="0"/>
                    <w:kinsoku/>
                    <w:wordWrap/>
                    <w:overflowPunct/>
                    <w:topLinePunct w:val="0"/>
                    <w:autoSpaceDE/>
                    <w:autoSpaceDN/>
                    <w:bidi w:val="0"/>
                    <w:adjustRightInd/>
                    <w:snapToGrid/>
                    <w:jc w:val="center"/>
                    <w:textAlignment w:val="center"/>
                    <w:rPr>
                      <w:rFonts w:ascii="Times New Roman" w:hAnsi="Times New Roman"/>
                      <w:color w:val="auto"/>
                      <w:kern w:val="0"/>
                      <w:sz w:val="21"/>
                      <w:szCs w:val="21"/>
                    </w:rPr>
                  </w:pPr>
                  <w:r>
                    <w:rPr>
                      <w:rFonts w:ascii="Times New Roman" w:hAnsi="Times New Roman"/>
                      <w:color w:val="auto"/>
                      <w:kern w:val="0"/>
                      <w:sz w:val="21"/>
                      <w:szCs w:val="21"/>
                      <w:highlight w:val="none"/>
                    </w:rPr>
                    <w:t>0.5t</w:t>
                  </w:r>
                </w:p>
              </w:tc>
              <w:tc>
                <w:tcPr>
                  <w:tcW w:w="1180" w:type="dxa"/>
                  <w:noWrap w:val="0"/>
                  <w:vAlign w:val="center"/>
                </w:tcPr>
                <w:p w14:paraId="02D04EF1">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olor w:val="auto"/>
                      <w:kern w:val="0"/>
                      <w:sz w:val="21"/>
                      <w:szCs w:val="21"/>
                      <w:lang w:val="en-US" w:eastAsia="zh-CN"/>
                    </w:rPr>
                  </w:pPr>
                  <w:r>
                    <w:rPr>
                      <w:rFonts w:hint="eastAsia" w:ascii="Times New Roman" w:hAnsi="Times New Roman"/>
                      <w:color w:val="auto"/>
                      <w:kern w:val="0"/>
                      <w:sz w:val="21"/>
                      <w:szCs w:val="21"/>
                      <w:highlight w:val="none"/>
                    </w:rPr>
                    <w:t>材料库</w:t>
                  </w:r>
                </w:p>
              </w:tc>
              <w:tc>
                <w:tcPr>
                  <w:tcW w:w="1449" w:type="dxa"/>
                  <w:noWrap w:val="0"/>
                  <w:vAlign w:val="center"/>
                </w:tcPr>
                <w:p w14:paraId="6E39E932">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auto"/>
                      <w:kern w:val="0"/>
                      <w:sz w:val="21"/>
                      <w:szCs w:val="21"/>
                    </w:rPr>
                  </w:pPr>
                  <w:r>
                    <w:rPr>
                      <w:rFonts w:ascii="Times New Roman" w:hAnsi="Times New Roman"/>
                      <w:color w:val="auto"/>
                      <w:kern w:val="0"/>
                      <w:sz w:val="21"/>
                      <w:szCs w:val="21"/>
                      <w:highlight w:val="none"/>
                    </w:rPr>
                    <w:t>袋装</w:t>
                  </w:r>
                </w:p>
              </w:tc>
            </w:tr>
            <w:tr w14:paraId="6825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525" w:type="dxa"/>
                  <w:noWrap w:val="0"/>
                  <w:vAlign w:val="center"/>
                </w:tcPr>
                <w:p w14:paraId="297E6387">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val="en-US" w:eastAsia="zh-CN"/>
                    </w:rPr>
                    <w:t>5</w:t>
                  </w:r>
                </w:p>
              </w:tc>
              <w:tc>
                <w:tcPr>
                  <w:tcW w:w="1521" w:type="dxa"/>
                  <w:noWrap w:val="0"/>
                  <w:vAlign w:val="center"/>
                </w:tcPr>
                <w:p w14:paraId="7FA057D6">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auto"/>
                      <w:kern w:val="0"/>
                      <w:sz w:val="21"/>
                      <w:szCs w:val="21"/>
                    </w:rPr>
                  </w:pPr>
                  <w:r>
                    <w:rPr>
                      <w:rFonts w:ascii="Times New Roman" w:hAnsi="Times New Roman"/>
                      <w:color w:val="auto"/>
                      <w:sz w:val="21"/>
                      <w:szCs w:val="21"/>
                      <w:highlight w:val="none"/>
                    </w:rPr>
                    <w:t>腐植酸</w:t>
                  </w:r>
                </w:p>
              </w:tc>
              <w:tc>
                <w:tcPr>
                  <w:tcW w:w="963" w:type="dxa"/>
                  <w:noWrap w:val="0"/>
                  <w:vAlign w:val="center"/>
                </w:tcPr>
                <w:p w14:paraId="1637A8D4">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lang w:val="en-US" w:eastAsia="zh-CN"/>
                    </w:rPr>
                    <w:t>1.5</w:t>
                  </w:r>
                  <w:r>
                    <w:rPr>
                      <w:rFonts w:ascii="Times New Roman" w:hAnsi="Times New Roman"/>
                      <w:color w:val="auto"/>
                      <w:kern w:val="0"/>
                      <w:sz w:val="21"/>
                      <w:szCs w:val="21"/>
                      <w:highlight w:val="none"/>
                    </w:rPr>
                    <w:t>t</w:t>
                  </w:r>
                </w:p>
              </w:tc>
              <w:tc>
                <w:tcPr>
                  <w:tcW w:w="1102" w:type="dxa"/>
                  <w:noWrap w:val="0"/>
                  <w:vAlign w:val="center"/>
                </w:tcPr>
                <w:p w14:paraId="09690B01">
                  <w:pPr>
                    <w:jc w:val="center"/>
                    <w:textAlignment w:val="center"/>
                    <w:rPr>
                      <w:rFonts w:ascii="Times New Roman" w:hAnsi="Times New Roman"/>
                      <w:color w:val="auto"/>
                      <w:kern w:val="0"/>
                      <w:sz w:val="21"/>
                      <w:szCs w:val="21"/>
                      <w:highlight w:val="none"/>
                    </w:rPr>
                  </w:pPr>
                  <w:r>
                    <w:rPr>
                      <w:rFonts w:ascii="Times New Roman" w:hAnsi="Times New Roman"/>
                      <w:color w:val="auto"/>
                      <w:highlight w:val="none"/>
                    </w:rPr>
                    <w:t>高效有机钾肥</w:t>
                  </w:r>
                </w:p>
              </w:tc>
              <w:tc>
                <w:tcPr>
                  <w:tcW w:w="1102" w:type="dxa"/>
                  <w:noWrap w:val="0"/>
                  <w:vAlign w:val="center"/>
                </w:tcPr>
                <w:p w14:paraId="297F74E7">
                  <w:pPr>
                    <w:keepNext w:val="0"/>
                    <w:keepLines w:val="0"/>
                    <w:pageBreakBefore w:val="0"/>
                    <w:kinsoku/>
                    <w:wordWrap/>
                    <w:overflowPunct/>
                    <w:topLinePunct w:val="0"/>
                    <w:autoSpaceDE/>
                    <w:autoSpaceDN/>
                    <w:bidi w:val="0"/>
                    <w:adjustRightInd/>
                    <w:snapToGrid/>
                    <w:jc w:val="center"/>
                    <w:textAlignment w:val="center"/>
                    <w:rPr>
                      <w:rFonts w:ascii="Times New Roman" w:hAnsi="Times New Roman"/>
                      <w:color w:val="auto"/>
                      <w:kern w:val="0"/>
                      <w:sz w:val="21"/>
                      <w:szCs w:val="21"/>
                    </w:rPr>
                  </w:pPr>
                  <w:r>
                    <w:rPr>
                      <w:rFonts w:ascii="Times New Roman" w:hAnsi="Times New Roman"/>
                      <w:color w:val="auto"/>
                      <w:kern w:val="0"/>
                      <w:sz w:val="21"/>
                      <w:szCs w:val="21"/>
                      <w:highlight w:val="none"/>
                    </w:rPr>
                    <w:t>0.5t</w:t>
                  </w:r>
                </w:p>
              </w:tc>
              <w:tc>
                <w:tcPr>
                  <w:tcW w:w="1180" w:type="dxa"/>
                  <w:noWrap w:val="0"/>
                  <w:vAlign w:val="center"/>
                </w:tcPr>
                <w:p w14:paraId="26E36DDF">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auto"/>
                      <w:kern w:val="0"/>
                      <w:sz w:val="21"/>
                      <w:szCs w:val="21"/>
                    </w:rPr>
                  </w:pPr>
                  <w:r>
                    <w:rPr>
                      <w:rFonts w:ascii="Times New Roman" w:hAnsi="Times New Roman"/>
                      <w:color w:val="auto"/>
                      <w:kern w:val="0"/>
                      <w:sz w:val="21"/>
                      <w:szCs w:val="21"/>
                      <w:highlight w:val="none"/>
                    </w:rPr>
                    <w:t>材料库</w:t>
                  </w:r>
                </w:p>
              </w:tc>
              <w:tc>
                <w:tcPr>
                  <w:tcW w:w="1449" w:type="dxa"/>
                  <w:noWrap w:val="0"/>
                  <w:vAlign w:val="center"/>
                </w:tcPr>
                <w:p w14:paraId="6F2695EC">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auto"/>
                      <w:kern w:val="0"/>
                      <w:sz w:val="21"/>
                      <w:szCs w:val="21"/>
                    </w:rPr>
                  </w:pPr>
                  <w:r>
                    <w:rPr>
                      <w:rFonts w:ascii="Times New Roman" w:hAnsi="Times New Roman"/>
                      <w:color w:val="auto"/>
                      <w:kern w:val="0"/>
                      <w:sz w:val="21"/>
                      <w:szCs w:val="21"/>
                      <w:highlight w:val="none"/>
                    </w:rPr>
                    <w:t>袋装</w:t>
                  </w:r>
                </w:p>
              </w:tc>
            </w:tr>
            <w:tr w14:paraId="579A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525" w:type="dxa"/>
                  <w:noWrap w:val="0"/>
                  <w:vAlign w:val="center"/>
                </w:tcPr>
                <w:p w14:paraId="14BDA1A5">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val="en-US" w:eastAsia="zh-CN"/>
                    </w:rPr>
                    <w:t>6</w:t>
                  </w:r>
                </w:p>
              </w:tc>
              <w:tc>
                <w:tcPr>
                  <w:tcW w:w="1521" w:type="dxa"/>
                  <w:noWrap w:val="0"/>
                  <w:vAlign w:val="center"/>
                </w:tcPr>
                <w:p w14:paraId="05EEE60A">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auto"/>
                      <w:kern w:val="0"/>
                      <w:sz w:val="21"/>
                      <w:szCs w:val="21"/>
                    </w:rPr>
                  </w:pPr>
                  <w:r>
                    <w:rPr>
                      <w:rFonts w:ascii="Times New Roman" w:hAnsi="Times New Roman"/>
                      <w:color w:val="auto"/>
                      <w:kern w:val="0"/>
                      <w:sz w:val="21"/>
                      <w:szCs w:val="21"/>
                      <w:highlight w:val="none"/>
                    </w:rPr>
                    <w:t>泥浆固化剂</w:t>
                  </w:r>
                </w:p>
              </w:tc>
              <w:tc>
                <w:tcPr>
                  <w:tcW w:w="963" w:type="dxa"/>
                  <w:noWrap w:val="0"/>
                  <w:vAlign w:val="center"/>
                </w:tcPr>
                <w:p w14:paraId="16882BCF">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lang w:val="en-US" w:eastAsia="zh-CN"/>
                    </w:rPr>
                    <w:t>1.5</w:t>
                  </w:r>
                  <w:r>
                    <w:rPr>
                      <w:rFonts w:ascii="Times New Roman" w:hAnsi="Times New Roman"/>
                      <w:color w:val="auto"/>
                      <w:kern w:val="0"/>
                      <w:sz w:val="21"/>
                      <w:szCs w:val="21"/>
                      <w:highlight w:val="none"/>
                    </w:rPr>
                    <w:t>t</w:t>
                  </w:r>
                </w:p>
              </w:tc>
              <w:tc>
                <w:tcPr>
                  <w:tcW w:w="1102" w:type="dxa"/>
                  <w:noWrap w:val="0"/>
                  <w:vAlign w:val="center"/>
                </w:tcPr>
                <w:p w14:paraId="03B6B12C">
                  <w:pPr>
                    <w:jc w:val="center"/>
                    <w:textAlignment w:val="center"/>
                    <w:rPr>
                      <w:rFonts w:ascii="Times New Roman" w:hAnsi="Times New Roman"/>
                      <w:color w:val="auto"/>
                      <w:kern w:val="0"/>
                      <w:sz w:val="21"/>
                      <w:szCs w:val="21"/>
                      <w:highlight w:val="none"/>
                    </w:rPr>
                  </w:pPr>
                  <w:r>
                    <w:rPr>
                      <w:rFonts w:ascii="Times New Roman" w:hAnsi="Times New Roman"/>
                      <w:color w:val="auto"/>
                      <w:highlight w:val="none"/>
                    </w:rPr>
                    <w:t>水和聚硅化合物</w:t>
                  </w:r>
                </w:p>
              </w:tc>
              <w:tc>
                <w:tcPr>
                  <w:tcW w:w="1102" w:type="dxa"/>
                  <w:noWrap w:val="0"/>
                  <w:vAlign w:val="center"/>
                </w:tcPr>
                <w:p w14:paraId="2E93738A">
                  <w:pPr>
                    <w:keepNext w:val="0"/>
                    <w:keepLines w:val="0"/>
                    <w:pageBreakBefore w:val="0"/>
                    <w:kinsoku/>
                    <w:wordWrap/>
                    <w:overflowPunct/>
                    <w:topLinePunct w:val="0"/>
                    <w:autoSpaceDE/>
                    <w:autoSpaceDN/>
                    <w:bidi w:val="0"/>
                    <w:adjustRightInd/>
                    <w:snapToGrid/>
                    <w:jc w:val="center"/>
                    <w:textAlignment w:val="center"/>
                    <w:rPr>
                      <w:rFonts w:ascii="Times New Roman" w:hAnsi="Times New Roman"/>
                      <w:color w:val="auto"/>
                      <w:kern w:val="0"/>
                      <w:sz w:val="21"/>
                      <w:szCs w:val="21"/>
                    </w:rPr>
                  </w:pPr>
                  <w:r>
                    <w:rPr>
                      <w:rFonts w:ascii="Times New Roman" w:hAnsi="Times New Roman"/>
                      <w:color w:val="auto"/>
                      <w:kern w:val="0"/>
                      <w:sz w:val="21"/>
                      <w:szCs w:val="21"/>
                      <w:highlight w:val="none"/>
                    </w:rPr>
                    <w:t>0.5t</w:t>
                  </w:r>
                </w:p>
              </w:tc>
              <w:tc>
                <w:tcPr>
                  <w:tcW w:w="1180" w:type="dxa"/>
                  <w:noWrap w:val="0"/>
                  <w:vAlign w:val="center"/>
                </w:tcPr>
                <w:p w14:paraId="0C5F979A">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auto"/>
                      <w:kern w:val="0"/>
                      <w:sz w:val="21"/>
                      <w:szCs w:val="21"/>
                    </w:rPr>
                  </w:pPr>
                  <w:r>
                    <w:rPr>
                      <w:rFonts w:ascii="Times New Roman" w:hAnsi="Times New Roman"/>
                      <w:color w:val="auto"/>
                      <w:kern w:val="0"/>
                      <w:sz w:val="21"/>
                      <w:szCs w:val="21"/>
                      <w:highlight w:val="none"/>
                    </w:rPr>
                    <w:t>材料库</w:t>
                  </w:r>
                </w:p>
              </w:tc>
              <w:tc>
                <w:tcPr>
                  <w:tcW w:w="1449" w:type="dxa"/>
                  <w:noWrap w:val="0"/>
                  <w:vAlign w:val="center"/>
                </w:tcPr>
                <w:p w14:paraId="0950DEA0">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auto"/>
                      <w:kern w:val="0"/>
                      <w:sz w:val="21"/>
                      <w:szCs w:val="21"/>
                    </w:rPr>
                  </w:pPr>
                  <w:r>
                    <w:rPr>
                      <w:rFonts w:ascii="Times New Roman" w:hAnsi="Times New Roman"/>
                      <w:color w:val="auto"/>
                      <w:kern w:val="0"/>
                      <w:sz w:val="21"/>
                      <w:szCs w:val="21"/>
                      <w:highlight w:val="none"/>
                    </w:rPr>
                    <w:t>桶装</w:t>
                  </w:r>
                </w:p>
              </w:tc>
            </w:tr>
            <w:tr w14:paraId="41DD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525" w:type="dxa"/>
                  <w:noWrap w:val="0"/>
                  <w:vAlign w:val="center"/>
                </w:tcPr>
                <w:p w14:paraId="34144EFE">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7</w:t>
                  </w:r>
                </w:p>
              </w:tc>
              <w:tc>
                <w:tcPr>
                  <w:tcW w:w="1521" w:type="dxa"/>
                  <w:noWrap w:val="0"/>
                  <w:vAlign w:val="center"/>
                </w:tcPr>
                <w:p w14:paraId="028D6424">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olor w:val="auto"/>
                      <w:kern w:val="0"/>
                      <w:sz w:val="21"/>
                      <w:szCs w:val="21"/>
                      <w:lang w:val="en-US" w:eastAsia="zh-CN"/>
                    </w:rPr>
                  </w:pPr>
                  <w:r>
                    <w:rPr>
                      <w:rFonts w:hint="eastAsia" w:ascii="Times New Roman" w:hAnsi="Times New Roman"/>
                      <w:color w:val="auto"/>
                      <w:kern w:val="0"/>
                      <w:sz w:val="21"/>
                      <w:szCs w:val="21"/>
                      <w:highlight w:val="none"/>
                    </w:rPr>
                    <w:t>润滑油</w:t>
                  </w:r>
                </w:p>
              </w:tc>
              <w:tc>
                <w:tcPr>
                  <w:tcW w:w="963" w:type="dxa"/>
                  <w:noWrap w:val="0"/>
                  <w:vAlign w:val="center"/>
                </w:tcPr>
                <w:p w14:paraId="5D5D89B3">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rPr>
                    <w:t>30L</w:t>
                  </w:r>
                </w:p>
              </w:tc>
              <w:tc>
                <w:tcPr>
                  <w:tcW w:w="1102" w:type="dxa"/>
                  <w:noWrap w:val="0"/>
                  <w:vAlign w:val="center"/>
                </w:tcPr>
                <w:p w14:paraId="49707988">
                  <w:pPr>
                    <w:jc w:val="center"/>
                    <w:textAlignment w:val="center"/>
                    <w:rPr>
                      <w:rFonts w:hint="eastAsia" w:ascii="Times New Roman" w:hAnsi="Times New Roman"/>
                      <w:color w:val="auto"/>
                      <w:kern w:val="0"/>
                      <w:sz w:val="21"/>
                      <w:szCs w:val="21"/>
                      <w:highlight w:val="none"/>
                    </w:rPr>
                  </w:pPr>
                  <w:r>
                    <w:rPr>
                      <w:rFonts w:hint="eastAsia" w:ascii="Times New Roman" w:hAnsi="Times New Roman"/>
                      <w:color w:val="auto"/>
                      <w:kern w:val="0"/>
                      <w:sz w:val="21"/>
                      <w:szCs w:val="21"/>
                      <w:highlight w:val="none"/>
                      <w:lang w:val="en-US" w:eastAsia="zh-CN"/>
                    </w:rPr>
                    <w:t>矿物油</w:t>
                  </w:r>
                </w:p>
              </w:tc>
              <w:tc>
                <w:tcPr>
                  <w:tcW w:w="1102" w:type="dxa"/>
                  <w:noWrap w:val="0"/>
                  <w:vAlign w:val="center"/>
                </w:tcPr>
                <w:p w14:paraId="000404D8">
                  <w:pPr>
                    <w:keepNext w:val="0"/>
                    <w:keepLines w:val="0"/>
                    <w:pageBreakBefore w:val="0"/>
                    <w:kinsoku/>
                    <w:wordWrap/>
                    <w:overflowPunct/>
                    <w:topLinePunct w:val="0"/>
                    <w:autoSpaceDE/>
                    <w:autoSpaceDN/>
                    <w:bidi w:val="0"/>
                    <w:adjustRightInd/>
                    <w:snapToGrid/>
                    <w:jc w:val="center"/>
                    <w:textAlignment w:val="center"/>
                    <w:rPr>
                      <w:rFonts w:hint="default" w:ascii="Times New Roman" w:hAnsi="Times New Roman" w:eastAsia="宋体"/>
                      <w:color w:val="auto"/>
                      <w:kern w:val="0"/>
                      <w:sz w:val="21"/>
                      <w:szCs w:val="21"/>
                      <w:lang w:val="en-US" w:eastAsia="zh-CN"/>
                    </w:rPr>
                  </w:pPr>
                  <w:r>
                    <w:rPr>
                      <w:rFonts w:hint="eastAsia" w:ascii="Times New Roman" w:hAnsi="Times New Roman"/>
                      <w:color w:val="auto"/>
                      <w:kern w:val="0"/>
                      <w:sz w:val="21"/>
                      <w:szCs w:val="21"/>
                      <w:highlight w:val="none"/>
                    </w:rPr>
                    <w:t>/</w:t>
                  </w:r>
                </w:p>
              </w:tc>
              <w:tc>
                <w:tcPr>
                  <w:tcW w:w="1180" w:type="dxa"/>
                  <w:noWrap w:val="0"/>
                  <w:vAlign w:val="center"/>
                </w:tcPr>
                <w:p w14:paraId="46D0C67C">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olor w:val="auto"/>
                      <w:kern w:val="0"/>
                      <w:sz w:val="21"/>
                      <w:szCs w:val="21"/>
                      <w:lang w:val="en-US" w:eastAsia="zh-CN"/>
                    </w:rPr>
                  </w:pPr>
                  <w:r>
                    <w:rPr>
                      <w:rFonts w:hint="eastAsia" w:ascii="Times New Roman" w:hAnsi="Times New Roman"/>
                      <w:color w:val="auto"/>
                      <w:kern w:val="0"/>
                      <w:sz w:val="21"/>
                      <w:szCs w:val="21"/>
                      <w:highlight w:val="none"/>
                    </w:rPr>
                    <w:t>/</w:t>
                  </w:r>
                </w:p>
              </w:tc>
              <w:tc>
                <w:tcPr>
                  <w:tcW w:w="1449" w:type="dxa"/>
                  <w:noWrap w:val="0"/>
                  <w:vAlign w:val="center"/>
                </w:tcPr>
                <w:p w14:paraId="70527D0C">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auto"/>
                      <w:kern w:val="0"/>
                      <w:sz w:val="21"/>
                      <w:szCs w:val="21"/>
                    </w:rPr>
                  </w:pPr>
                  <w:r>
                    <w:rPr>
                      <w:rFonts w:hint="eastAsia" w:ascii="Times New Roman" w:hAnsi="Times New Roman"/>
                      <w:color w:val="auto"/>
                      <w:kern w:val="0"/>
                      <w:sz w:val="21"/>
                      <w:szCs w:val="21"/>
                      <w:highlight w:val="none"/>
                    </w:rPr>
                    <w:t>施工场地不存储，随买随用。</w:t>
                  </w:r>
                </w:p>
              </w:tc>
            </w:tr>
          </w:tbl>
          <w:p w14:paraId="03EC37F4">
            <w:pPr>
              <w:pStyle w:val="28"/>
              <w:adjustRightInd/>
              <w:spacing w:line="360" w:lineRule="auto"/>
              <w:ind w:firstLine="482" w:firstLineChars="200"/>
              <w:jc w:val="both"/>
              <w:rPr>
                <w:rFonts w:ascii="Times New Roman" w:hAnsi="Times New Roman"/>
                <w:color w:val="auto"/>
                <w:highlight w:val="none"/>
              </w:rPr>
            </w:pPr>
            <w:r>
              <w:rPr>
                <w:rFonts w:ascii="Times New Roman" w:hAnsi="Times New Roman"/>
                <w:b/>
                <w:bCs/>
                <w:color w:val="auto"/>
                <w:highlight w:val="none"/>
              </w:rPr>
              <w:t>腐植酸：</w:t>
            </w:r>
            <w:r>
              <w:rPr>
                <w:rFonts w:ascii="Times New Roman" w:hAnsi="Times New Roman"/>
                <w:color w:val="auto"/>
                <w:highlight w:val="none"/>
              </w:rPr>
              <w:t>腐植酸钾是一种高效有机钾肥，化学式为C</w:t>
            </w:r>
            <w:r>
              <w:rPr>
                <w:rFonts w:ascii="Times New Roman" w:hAnsi="Times New Roman"/>
                <w:color w:val="auto"/>
                <w:highlight w:val="none"/>
                <w:vertAlign w:val="subscript"/>
              </w:rPr>
              <w:t>9</w:t>
            </w:r>
            <w:r>
              <w:rPr>
                <w:rFonts w:ascii="Times New Roman" w:hAnsi="Times New Roman"/>
                <w:color w:val="auto"/>
                <w:highlight w:val="none"/>
              </w:rPr>
              <w:t>H</w:t>
            </w:r>
            <w:r>
              <w:rPr>
                <w:rFonts w:ascii="Times New Roman" w:hAnsi="Times New Roman"/>
                <w:color w:val="auto"/>
                <w:highlight w:val="none"/>
                <w:vertAlign w:val="subscript"/>
              </w:rPr>
              <w:t>8</w:t>
            </w:r>
            <w:r>
              <w:rPr>
                <w:rFonts w:ascii="Times New Roman" w:hAnsi="Times New Roman"/>
                <w:color w:val="auto"/>
                <w:highlight w:val="none"/>
              </w:rPr>
              <w:t>K</w:t>
            </w:r>
            <w:r>
              <w:rPr>
                <w:rFonts w:ascii="Times New Roman" w:hAnsi="Times New Roman"/>
                <w:color w:val="auto"/>
                <w:highlight w:val="none"/>
                <w:vertAlign w:val="subscript"/>
              </w:rPr>
              <w:t>2</w:t>
            </w:r>
            <w:r>
              <w:rPr>
                <w:rFonts w:ascii="Times New Roman" w:hAnsi="Times New Roman"/>
                <w:color w:val="auto"/>
                <w:highlight w:val="none"/>
              </w:rPr>
              <w:t>O</w:t>
            </w:r>
            <w:r>
              <w:rPr>
                <w:rFonts w:ascii="Times New Roman" w:hAnsi="Times New Roman"/>
                <w:color w:val="auto"/>
                <w:highlight w:val="none"/>
                <w:vertAlign w:val="subscript"/>
              </w:rPr>
              <w:t>4</w:t>
            </w:r>
            <w:r>
              <w:rPr>
                <w:rFonts w:ascii="Times New Roman" w:hAnsi="Times New Roman"/>
                <w:color w:val="auto"/>
                <w:highlight w:val="none"/>
              </w:rPr>
              <w:t>，外观为黑色粉末，易溶于水，水溶液呈酱色。其含有的腐植酸是一种生物活性制剂，可提高土壤速效钾含量，减少钾的损失和固定，增加作物对钾的吸收和利用率，也具有改良土壤、促进作物生长、提高作物抗逆能力、改善作物品质、保护农业生态环境等功能；它与尿素、磷肥、钾肥、微量元素等混合后，可制成高效多功能复混肥料；此外，腐植酸钾还可用作石油钻井</w:t>
            </w:r>
            <w:r>
              <w:rPr>
                <w:rFonts w:hint="eastAsia" w:ascii="Times New Roman" w:hAnsi="Times New Roman"/>
                <w:color w:val="auto"/>
                <w:highlight w:val="none"/>
                <w:lang w:val="en-US" w:eastAsia="zh-CN"/>
              </w:rPr>
              <w:t>泥浆</w:t>
            </w:r>
            <w:r>
              <w:rPr>
                <w:rFonts w:ascii="Times New Roman" w:hAnsi="Times New Roman"/>
                <w:color w:val="auto"/>
                <w:highlight w:val="none"/>
              </w:rPr>
              <w:t>的处理剂，主要起防止井壁坍塌的作用。</w:t>
            </w:r>
          </w:p>
          <w:p w14:paraId="04E517CD">
            <w:pPr>
              <w:pStyle w:val="28"/>
              <w:adjustRightInd/>
              <w:spacing w:line="360" w:lineRule="auto"/>
              <w:ind w:firstLine="482" w:firstLineChars="200"/>
              <w:jc w:val="both"/>
              <w:rPr>
                <w:rFonts w:ascii="Times New Roman" w:hAnsi="Times New Roman"/>
                <w:color w:val="auto"/>
                <w:highlight w:val="none"/>
              </w:rPr>
            </w:pPr>
            <w:r>
              <w:rPr>
                <w:rFonts w:ascii="Times New Roman" w:hAnsi="Times New Roman"/>
                <w:b/>
                <w:bCs/>
                <w:color w:val="auto"/>
                <w:highlight w:val="none"/>
              </w:rPr>
              <w:t>纤维素：</w:t>
            </w:r>
            <w:r>
              <w:rPr>
                <w:rFonts w:ascii="Times New Roman" w:hAnsi="Times New Roman"/>
                <w:color w:val="auto"/>
                <w:highlight w:val="none"/>
              </w:rPr>
              <w:t>项目使用的纤维素为木质素纤维，它是天然木材经过化学处理得到的有机纤维，外观为棉絮状，呈白色或灰白色。通过筛选、分裂、高温处理、漂白、化学处理、中和、筛分成不同长度和粗细度的纤维以适应不同应用材料的需要。由于处理温度高达250℃以上，在通常条件下是化学上非常稳定的物质，不为一般的溶剂、酸、碱腐蚀，具有无毒、无味、无污染、无放射性的优良品质，不影响环境，对人体无害，属绿色环保产品，这是其它矿物质素纤维所不具备的。纤维微观结构是带状弯曲的，凹凸不平的，多孔的，交叉处是扁平的，有良好的韧性、分散性和化学稳定性，吸水能力强，有非常优秀的增稠抗裂性能。</w:t>
            </w:r>
          </w:p>
          <w:p w14:paraId="4EC40F92">
            <w:pPr>
              <w:pStyle w:val="28"/>
              <w:adjustRightInd/>
              <w:spacing w:line="360" w:lineRule="auto"/>
              <w:ind w:firstLine="482" w:firstLineChars="200"/>
              <w:jc w:val="both"/>
              <w:rPr>
                <w:rFonts w:ascii="Times New Roman" w:hAnsi="Times New Roman"/>
                <w:color w:val="auto"/>
                <w:highlight w:val="none"/>
              </w:rPr>
            </w:pPr>
            <w:r>
              <w:rPr>
                <w:rFonts w:ascii="Times New Roman" w:hAnsi="Times New Roman"/>
                <w:b/>
                <w:bCs/>
                <w:color w:val="auto"/>
              </w:rPr>
              <w:t>泥浆固化剂：</w:t>
            </w:r>
            <w:r>
              <w:rPr>
                <w:rFonts w:ascii="Times New Roman" w:hAnsi="Times New Roman"/>
                <w:color w:val="auto"/>
                <w:highlight w:val="none"/>
              </w:rPr>
              <w:t>泥浆固化剂是一种环保、无毒、不燃的高科技水性化学致密剂，其主要成分为水和聚硅化合物，泥浆固化剂能完全渗透到泥浆中，通过与泥浆中的钙、镁等离子发生化学反应，生成坚硬的结晶物质，在三维空间形成了一个网络结构，使得水泥中凝胶结构增大增强，使得泥浆中的各成份固化为一个密实的整体。</w:t>
            </w:r>
          </w:p>
          <w:p w14:paraId="727CEAB3">
            <w:pPr>
              <w:pStyle w:val="28"/>
              <w:adjustRightInd/>
              <w:spacing w:line="360" w:lineRule="auto"/>
              <w:ind w:firstLine="482" w:firstLineChars="200"/>
              <w:jc w:val="both"/>
              <w:rPr>
                <w:rFonts w:ascii="Times New Roman" w:hAnsi="Times New Roman"/>
                <w:color w:val="auto"/>
                <w:highlight w:val="none"/>
              </w:rPr>
            </w:pPr>
            <w:r>
              <w:rPr>
                <w:rFonts w:hint="eastAsia" w:ascii="Times New Roman" w:hAnsi="Times New Roman"/>
                <w:b/>
                <w:bCs/>
                <w:color w:val="auto"/>
                <w:highlight w:val="none"/>
              </w:rPr>
              <w:t>润滑油：</w:t>
            </w:r>
            <w:r>
              <w:rPr>
                <w:rFonts w:hint="eastAsia" w:ascii="Times New Roman" w:hAnsi="Times New Roman"/>
                <w:color w:val="auto"/>
                <w:highlight w:val="none"/>
              </w:rPr>
              <w:t>淡黄色粘稠液体，闪点120~340℃，自燃点300~350℃，相对密度（水=1）934.8，溶于苯、乙醇、乙醚、氯仿、丙酮等多数有机溶剂。属可燃液体，火灾危险性为丙B类；遇明火、高热可燃。润滑油是用在各种类型汽车、机械设备上以减少摩擦，保护机械及加工件的液体或半固体润滑剂，主要起润滑、辅助冷却、防锈、清洁、密封和缓冲等作用。</w:t>
            </w:r>
          </w:p>
          <w:p w14:paraId="7CD12430">
            <w:pPr>
              <w:tabs>
                <w:tab w:val="left" w:pos="1755"/>
              </w:tabs>
              <w:spacing w:line="360" w:lineRule="auto"/>
              <w:ind w:firstLine="482" w:firstLineChars="200"/>
              <w:rPr>
                <w:rFonts w:hint="eastAsia" w:ascii="Times New Roman" w:hAnsi="Times New Roman"/>
                <w:b/>
                <w:color w:val="auto"/>
                <w:sz w:val="24"/>
                <w:highlight w:val="none"/>
              </w:rPr>
            </w:pPr>
            <w:r>
              <w:rPr>
                <w:rFonts w:hint="eastAsia" w:ascii="Times New Roman" w:hAnsi="Times New Roman"/>
                <w:b/>
                <w:color w:val="auto"/>
                <w:sz w:val="24"/>
                <w:highlight w:val="none"/>
              </w:rPr>
              <w:t>4、水平衡</w:t>
            </w:r>
          </w:p>
          <w:p w14:paraId="5B7E2A78">
            <w:pPr>
              <w:tabs>
                <w:tab w:val="left" w:pos="1755"/>
              </w:tabs>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（1）</w:t>
            </w:r>
            <w:r>
              <w:rPr>
                <w:rFonts w:hint="eastAsia" w:ascii="Times New Roman" w:hAnsi="Times New Roman"/>
                <w:color w:val="auto"/>
                <w:sz w:val="24"/>
                <w:highlight w:val="none"/>
              </w:rPr>
              <w:t>钻井</w:t>
            </w:r>
            <w:r>
              <w:rPr>
                <w:rFonts w:ascii="Times New Roman" w:hAnsi="Times New Roman"/>
                <w:color w:val="auto"/>
                <w:sz w:val="24"/>
                <w:highlight w:val="none"/>
              </w:rPr>
              <w:t>用</w:t>
            </w:r>
            <w:r>
              <w:rPr>
                <w:rFonts w:hint="eastAsia" w:ascii="Times New Roman" w:hAnsi="Times New Roman"/>
                <w:color w:val="auto"/>
                <w:sz w:val="24"/>
                <w:highlight w:val="none"/>
              </w:rPr>
              <w:t>排</w:t>
            </w:r>
            <w:r>
              <w:rPr>
                <w:rFonts w:ascii="Times New Roman" w:hAnsi="Times New Roman"/>
                <w:color w:val="auto"/>
                <w:sz w:val="24"/>
                <w:highlight w:val="none"/>
              </w:rPr>
              <w:t>水：</w:t>
            </w:r>
            <w:r>
              <w:rPr>
                <w:rFonts w:hint="eastAsia" w:ascii="Times New Roman" w:hAnsi="Times New Roman"/>
                <w:color w:val="auto"/>
                <w:sz w:val="24"/>
                <w:highlight w:val="none"/>
              </w:rPr>
              <w:t>项目钻井终孔层位严格控制在煤层及煤层顶底板稳定岩层（砂质泥岩），该类岩层为隔水或弱透水层，无天然含水层；施工过程中一开仅穿透浅层隔水层，不触及含水层，二开避开导水构造与含水层，掏穴段仅在煤层及顶底板弱透水层扩大孔径，无水源接入，通过下套管，将水泥泵入套管并使之充满套管外环形空间，彻底阻断水力联系，同时无任何透水通道与压力差条件，因此无地下涌水产生的风险，本次不计入涌水量核算。项目钻井过程中使用水，产生的钻井废水经沉淀池沉淀后循环使用。项目钻井期为每个井场逐步开工实施，废水主要指钻井泥浆。钻井需配置泥浆供钻井使用，根据建设单位施工经验，</w:t>
            </w:r>
            <w:r>
              <w:rPr>
                <w:rFonts w:hint="default" w:ascii="Times New Roman" w:hAnsi="Times New Roman" w:eastAsia="宋体" w:cs="Times New Roman"/>
                <w:color w:val="auto"/>
                <w:sz w:val="24"/>
                <w:highlight w:val="none"/>
                <w:lang w:val="en-US" w:eastAsia="zh-CN"/>
              </w:rPr>
              <w:t>本次项目</w:t>
            </w:r>
            <w:r>
              <w:rPr>
                <w:rFonts w:hint="default" w:ascii="Times New Roman" w:hAnsi="Times New Roman" w:eastAsia="宋体" w:cs="Times New Roman"/>
                <w:color w:val="auto"/>
                <w:sz w:val="24"/>
                <w:highlight w:val="none"/>
              </w:rPr>
              <w:t>每个钻孔总用</w:t>
            </w:r>
            <w:r>
              <w:rPr>
                <w:rFonts w:hint="default" w:ascii="Times New Roman" w:hAnsi="Times New Roman" w:eastAsia="宋体" w:cs="Times New Roman"/>
                <w:color w:val="auto"/>
                <w:sz w:val="24"/>
                <w:highlight w:val="none"/>
                <w:lang w:val="en-US" w:eastAsia="zh-CN"/>
              </w:rPr>
              <w:t>新鲜</w:t>
            </w:r>
            <w:r>
              <w:rPr>
                <w:rFonts w:hint="default" w:ascii="Times New Roman" w:hAnsi="Times New Roman" w:eastAsia="宋体" w:cs="Times New Roman"/>
                <w:color w:val="auto"/>
                <w:sz w:val="24"/>
                <w:highlight w:val="none"/>
              </w:rPr>
              <w:t>水约为</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0m³，共</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个</w:t>
            </w:r>
            <w:r>
              <w:rPr>
                <w:rFonts w:hint="default" w:ascii="Times New Roman" w:hAnsi="Times New Roman" w:eastAsia="宋体" w:cs="Times New Roman"/>
                <w:color w:val="auto"/>
                <w:sz w:val="24"/>
                <w:highlight w:val="none"/>
              </w:rPr>
              <w:t>钻孔，钻井总用水量</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0m³</w:t>
            </w:r>
            <w:r>
              <w:rPr>
                <w:rFonts w:hint="eastAsia"/>
                <w:color w:val="auto"/>
                <w:sz w:val="24"/>
                <w:highlight w:val="none"/>
              </w:rPr>
              <w:t>，</w:t>
            </w:r>
            <w:r>
              <w:rPr>
                <w:rFonts w:hint="eastAsia"/>
                <w:color w:val="auto"/>
                <w:sz w:val="24"/>
                <w:highlight w:val="none"/>
                <w:lang w:val="en-US" w:eastAsia="zh-CN"/>
              </w:rPr>
              <w:t>本项目各</w:t>
            </w:r>
            <w:r>
              <w:rPr>
                <w:rFonts w:hint="eastAsia"/>
                <w:color w:val="auto"/>
                <w:sz w:val="24"/>
                <w:highlight w:val="none"/>
              </w:rPr>
              <w:t>井场</w:t>
            </w:r>
            <w:r>
              <w:rPr>
                <w:rFonts w:hint="eastAsia"/>
                <w:color w:val="auto"/>
                <w:sz w:val="24"/>
                <w:highlight w:val="none"/>
                <w:lang w:val="en-US" w:eastAsia="zh-CN"/>
              </w:rPr>
              <w:t>钻井工程</w:t>
            </w:r>
            <w:r>
              <w:rPr>
                <w:rFonts w:hint="eastAsia"/>
                <w:color w:val="auto"/>
                <w:sz w:val="24"/>
                <w:highlight w:val="none"/>
              </w:rPr>
              <w:t>预计约</w:t>
            </w:r>
            <w:r>
              <w:rPr>
                <w:rFonts w:hint="eastAsia"/>
                <w:color w:val="auto"/>
                <w:sz w:val="24"/>
                <w:highlight w:val="none"/>
                <w:lang w:val="en-US" w:eastAsia="zh-CN"/>
              </w:rPr>
              <w:t>5</w:t>
            </w:r>
            <w:r>
              <w:rPr>
                <w:rFonts w:hint="eastAsia"/>
                <w:color w:val="auto"/>
                <w:sz w:val="24"/>
                <w:highlight w:val="none"/>
              </w:rPr>
              <w:t>个月，循环水量约</w:t>
            </w:r>
            <w:r>
              <w:rPr>
                <w:rFonts w:hint="eastAsia" w:ascii="Times New Roman" w:hAnsi="Times New Roman" w:cs="Times New Roman"/>
                <w:color w:val="auto"/>
                <w:sz w:val="24"/>
                <w:highlight w:val="none"/>
                <w:lang w:val="en-US" w:eastAsia="zh-CN"/>
              </w:rPr>
              <w:t>72</w:t>
            </w:r>
            <w:r>
              <w:rPr>
                <w:rFonts w:hint="default" w:ascii="Times New Roman" w:hAnsi="Times New Roman" w:cs="Times New Roman"/>
                <w:color w:val="auto"/>
                <w:sz w:val="24"/>
                <w:highlight w:val="none"/>
              </w:rPr>
              <w:t>m³/d</w:t>
            </w:r>
            <w:r>
              <w:rPr>
                <w:rFonts w:hint="eastAsia"/>
                <w:color w:val="auto"/>
                <w:sz w:val="24"/>
                <w:highlight w:val="none"/>
              </w:rPr>
              <w:t>。</w:t>
            </w:r>
            <w:r>
              <w:rPr>
                <w:rFonts w:hint="eastAsia" w:ascii="Times New Roman" w:hAnsi="Times New Roman"/>
                <w:color w:val="auto"/>
                <w:sz w:val="24"/>
                <w:highlight w:val="none"/>
              </w:rPr>
              <w:t>钻井泥浆通过泥浆泵以</w:t>
            </w:r>
            <w:r>
              <w:rPr>
                <w:rFonts w:hint="eastAsia" w:ascii="Times New Roman" w:hAnsi="Times New Roman"/>
                <w:color w:val="auto"/>
                <w:sz w:val="24"/>
                <w:highlight w:val="none"/>
                <w:lang w:eastAsia="zh-CN"/>
              </w:rPr>
              <w:t>泥浆池</w:t>
            </w:r>
            <w:r>
              <w:rPr>
                <w:rFonts w:hint="eastAsia" w:ascii="Times New Roman" w:hAnsi="Times New Roman"/>
                <w:color w:val="auto"/>
                <w:sz w:val="24"/>
                <w:highlight w:val="none"/>
              </w:rPr>
              <w:t>沉淀后循环使用，不外排，泥浆在</w:t>
            </w:r>
            <w:r>
              <w:rPr>
                <w:rFonts w:hint="eastAsia" w:ascii="Times New Roman" w:hAnsi="Times New Roman"/>
                <w:color w:val="auto"/>
                <w:sz w:val="24"/>
                <w:highlight w:val="none"/>
                <w:lang w:eastAsia="zh-CN"/>
              </w:rPr>
              <w:t>泥浆池</w:t>
            </w:r>
            <w:r>
              <w:rPr>
                <w:rFonts w:hint="eastAsia" w:ascii="Times New Roman" w:hAnsi="Times New Roman"/>
                <w:color w:val="auto"/>
                <w:sz w:val="24"/>
                <w:highlight w:val="none"/>
              </w:rPr>
              <w:t>中通过加入泥浆固化剂固化，固化后属于一般固废，作为周边路基维护的建材使用。</w:t>
            </w:r>
          </w:p>
          <w:p w14:paraId="765777CD">
            <w:pPr>
              <w:spacing w:line="360" w:lineRule="auto"/>
              <w:ind w:firstLine="480" w:firstLineChars="200"/>
              <w:rPr>
                <w:rFonts w:hint="eastAsia" w:ascii="Times New Roman" w:hAnsi="Times New Roman" w:eastAsia="宋体"/>
                <w:color w:val="auto"/>
                <w:sz w:val="24"/>
                <w:highlight w:val="none"/>
                <w:lang w:val="en-US" w:eastAsia="zh-CN"/>
              </w:rPr>
            </w:pPr>
            <w:r>
              <w:rPr>
                <w:rFonts w:ascii="Times New Roman" w:hAnsi="Times New Roman"/>
                <w:color w:val="auto"/>
                <w:sz w:val="24"/>
                <w:highlight w:val="none"/>
              </w:rPr>
              <w:t>（2）办公生活用水：项目租赁周边农村民房，用于员工食宿，施工现场不设施工营地，项目员工</w:t>
            </w:r>
            <w:r>
              <w:rPr>
                <w:rFonts w:hint="eastAsia" w:ascii="Times New Roman" w:hAnsi="Times New Roman"/>
                <w:color w:val="auto"/>
                <w:sz w:val="24"/>
                <w:highlight w:val="none"/>
              </w:rPr>
              <w:t>总</w:t>
            </w:r>
            <w:r>
              <w:rPr>
                <w:rFonts w:ascii="Times New Roman" w:hAnsi="Times New Roman"/>
                <w:color w:val="auto"/>
                <w:sz w:val="24"/>
                <w:highlight w:val="none"/>
              </w:rPr>
              <w:t>人数为</w:t>
            </w:r>
            <w:r>
              <w:rPr>
                <w:rFonts w:hint="eastAsia" w:ascii="Times New Roman" w:hAnsi="Times New Roman"/>
                <w:color w:val="auto"/>
                <w:sz w:val="24"/>
                <w:highlight w:val="none"/>
                <w:lang w:val="en-US" w:eastAsia="zh-CN"/>
              </w:rPr>
              <w:t>36</w:t>
            </w:r>
            <w:r>
              <w:rPr>
                <w:rFonts w:ascii="Times New Roman" w:hAnsi="Times New Roman"/>
                <w:color w:val="auto"/>
                <w:sz w:val="24"/>
                <w:highlight w:val="none"/>
              </w:rPr>
              <w:t>人</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平均每个井场施工人数约12人</w:t>
            </w:r>
            <w:r>
              <w:rPr>
                <w:rFonts w:hint="eastAsia" w:ascii="Times New Roman" w:hAnsi="Times New Roman"/>
                <w:color w:val="auto"/>
                <w:sz w:val="24"/>
                <w:highlight w:val="none"/>
                <w:lang w:eastAsia="zh-CN"/>
              </w:rPr>
              <w:t>）</w:t>
            </w:r>
            <w:r>
              <w:rPr>
                <w:rFonts w:ascii="Times New Roman" w:hAnsi="Times New Roman"/>
                <w:color w:val="auto"/>
                <w:sz w:val="24"/>
                <w:highlight w:val="none"/>
              </w:rPr>
              <w:t>，根据</w:t>
            </w:r>
            <w:r>
              <w:rPr>
                <w:rFonts w:hint="eastAsia" w:ascii="Times New Roman" w:hAnsi="Times New Roman"/>
                <w:color w:val="auto"/>
                <w:sz w:val="24"/>
                <w:highlight w:val="none"/>
              </w:rPr>
              <w:t>《安徽省行业用水定额》（DB34/T 679-2025）</w:t>
            </w:r>
            <w:r>
              <w:rPr>
                <w:rFonts w:ascii="Times New Roman" w:hAnsi="Times New Roman"/>
                <w:color w:val="auto"/>
                <w:sz w:val="24"/>
                <w:highlight w:val="none"/>
              </w:rPr>
              <w:t>，员工生活用水按</w:t>
            </w:r>
            <w:r>
              <w:rPr>
                <w:rFonts w:hint="eastAsia" w:ascii="Times New Roman" w:hAnsi="Times New Roman"/>
                <w:color w:val="auto"/>
                <w:sz w:val="24"/>
                <w:highlight w:val="none"/>
                <w:lang w:val="en-US" w:eastAsia="zh-CN"/>
              </w:rPr>
              <w:t>38m</w:t>
            </w:r>
            <w:r>
              <w:rPr>
                <w:rFonts w:hint="eastAsia" w:ascii="Times New Roman" w:hAnsi="Times New Roman"/>
                <w:color w:val="auto"/>
                <w:sz w:val="24"/>
                <w:highlight w:val="none"/>
                <w:vertAlign w:val="superscript"/>
                <w:lang w:val="en-US" w:eastAsia="zh-CN"/>
              </w:rPr>
              <w:t>3</w:t>
            </w:r>
            <w:r>
              <w:rPr>
                <w:rFonts w:ascii="Times New Roman" w:hAnsi="Times New Roman"/>
                <w:color w:val="auto"/>
                <w:sz w:val="24"/>
                <w:highlight w:val="none"/>
              </w:rPr>
              <w:t>/人·</w:t>
            </w:r>
            <w:r>
              <w:rPr>
                <w:rFonts w:hint="eastAsia" w:ascii="Times New Roman" w:hAnsi="Times New Roman"/>
                <w:color w:val="auto"/>
                <w:sz w:val="24"/>
                <w:highlight w:val="none"/>
                <w:lang w:val="en-US" w:eastAsia="zh-CN"/>
              </w:rPr>
              <w:t>a</w:t>
            </w:r>
            <w:r>
              <w:rPr>
                <w:rFonts w:ascii="Times New Roman" w:hAnsi="Times New Roman"/>
                <w:color w:val="auto"/>
                <w:sz w:val="24"/>
                <w:highlight w:val="none"/>
              </w:rPr>
              <w:t>计</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全年按250d计，折算每日用水量约152L/</w:t>
            </w:r>
            <w:r>
              <w:rPr>
                <w:rFonts w:ascii="Times New Roman" w:hAnsi="Times New Roman"/>
                <w:color w:val="auto"/>
                <w:sz w:val="24"/>
                <w:highlight w:val="none"/>
              </w:rPr>
              <w:t>人·</w:t>
            </w:r>
            <w:r>
              <w:rPr>
                <w:rFonts w:hint="eastAsia" w:ascii="Times New Roman" w:hAnsi="Times New Roman"/>
                <w:color w:val="auto"/>
                <w:sz w:val="24"/>
                <w:highlight w:val="none"/>
                <w:lang w:val="en-US" w:eastAsia="zh-CN"/>
              </w:rPr>
              <w:t>d</w:t>
            </w:r>
            <w:r>
              <w:rPr>
                <w:rFonts w:hint="eastAsia" w:ascii="Times New Roman" w:hAnsi="Times New Roman"/>
                <w:color w:val="auto"/>
                <w:sz w:val="24"/>
                <w:highlight w:val="none"/>
                <w:lang w:eastAsia="zh-CN"/>
              </w:rPr>
              <w:t>）</w:t>
            </w:r>
            <w:r>
              <w:rPr>
                <w:rFonts w:ascii="Times New Roman" w:hAnsi="Times New Roman"/>
                <w:color w:val="auto"/>
                <w:sz w:val="24"/>
                <w:highlight w:val="none"/>
              </w:rPr>
              <w:t>，用水量约为</w:t>
            </w:r>
            <w:r>
              <w:rPr>
                <w:rFonts w:hint="eastAsia" w:ascii="Times New Roman" w:hAnsi="Times New Roman"/>
                <w:color w:val="auto"/>
                <w:sz w:val="24"/>
                <w:highlight w:val="none"/>
                <w:lang w:val="en-US" w:eastAsia="zh-CN"/>
              </w:rPr>
              <w:t>5.5</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/d，</w:t>
            </w:r>
            <w:r>
              <w:rPr>
                <w:rFonts w:hint="eastAsia" w:ascii="Times New Roman" w:hAnsi="Times New Roman"/>
                <w:color w:val="auto"/>
                <w:sz w:val="24"/>
                <w:highlight w:val="none"/>
                <w:lang w:val="en-US" w:eastAsia="zh-CN"/>
              </w:rPr>
              <w:t>施工期</w:t>
            </w:r>
            <w:r>
              <w:rPr>
                <w:rFonts w:ascii="Times New Roman" w:hAnsi="Times New Roman"/>
                <w:color w:val="auto"/>
                <w:sz w:val="24"/>
                <w:highlight w:val="none"/>
              </w:rPr>
              <w:t>用水量为</w:t>
            </w:r>
            <w:r>
              <w:rPr>
                <w:rFonts w:hint="eastAsia" w:ascii="Times New Roman" w:hAnsi="Times New Roman"/>
                <w:color w:val="auto"/>
                <w:sz w:val="24"/>
                <w:highlight w:val="none"/>
                <w:lang w:val="en-US" w:eastAsia="zh-CN"/>
              </w:rPr>
              <w:t>984.96</w:t>
            </w:r>
            <w:r>
              <w:rPr>
                <w:rFonts w:hint="eastAsia" w:ascii="Times New Roman" w:hAnsi="Times New Roman"/>
                <w:color w:val="auto"/>
                <w:sz w:val="24"/>
                <w:highlight w:val="none"/>
              </w:rPr>
              <w:t>m</w:t>
            </w:r>
            <w:r>
              <w:rPr>
                <w:rFonts w:hint="eastAsia" w:ascii="Times New Roman" w:hAnsi="Times New Roman"/>
                <w:color w:val="auto"/>
                <w:sz w:val="24"/>
                <w:highlight w:val="none"/>
                <w:vertAlign w:val="superscript"/>
                <w:lang w:val="en-US" w:eastAsia="zh-CN"/>
              </w:rPr>
              <w:t>3</w:t>
            </w:r>
            <w:r>
              <w:rPr>
                <w:rFonts w:ascii="Times New Roman" w:hAnsi="Times New Roman"/>
                <w:color w:val="auto"/>
                <w:sz w:val="24"/>
                <w:highlight w:val="none"/>
              </w:rPr>
              <w:t>。</w:t>
            </w:r>
            <w:r>
              <w:rPr>
                <w:rFonts w:hint="eastAsia" w:ascii="Times New Roman" w:hAnsi="Times New Roman"/>
                <w:color w:val="auto"/>
                <w:sz w:val="24"/>
                <w:highlight w:val="none"/>
                <w:lang w:val="en-US" w:eastAsia="zh-CN"/>
              </w:rPr>
              <w:t>生活污水排入</w:t>
            </w:r>
            <w:r>
              <w:rPr>
                <w:rFonts w:ascii="Times New Roman" w:hAnsi="Times New Roman"/>
                <w:color w:val="auto"/>
                <w:sz w:val="24"/>
                <w:highlight w:val="none"/>
              </w:rPr>
              <w:t>周边农村</w:t>
            </w:r>
            <w:r>
              <w:rPr>
                <w:rFonts w:hint="eastAsia" w:ascii="Times New Roman" w:hAnsi="Times New Roman"/>
                <w:color w:val="auto"/>
                <w:sz w:val="24"/>
                <w:highlight w:val="none"/>
                <w:lang w:val="en-US" w:eastAsia="zh-CN"/>
              </w:rPr>
              <w:t>化粪池内，定期清掏肥田，排放系数按0.9计，则清掏量约为4.92</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/d</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886</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w:t>
            </w:r>
            <w:r>
              <w:rPr>
                <w:rFonts w:hint="eastAsia" w:ascii="Times New Roman" w:hAnsi="Times New Roman"/>
                <w:color w:val="auto"/>
                <w:sz w:val="24"/>
                <w:highlight w:val="none"/>
                <w:lang w:val="en-US" w:eastAsia="zh-CN"/>
              </w:rPr>
              <w:t>a</w:t>
            </w:r>
            <w:r>
              <w:rPr>
                <w:rFonts w:hint="eastAsia" w:ascii="Times New Roman" w:hAnsi="Times New Roman"/>
                <w:color w:val="auto"/>
                <w:sz w:val="24"/>
                <w:highlight w:val="none"/>
                <w:lang w:eastAsia="zh-CN"/>
              </w:rPr>
              <w:t>）。</w:t>
            </w:r>
          </w:p>
          <w:p w14:paraId="313FA89B">
            <w:pPr>
              <w:spacing w:line="360" w:lineRule="auto"/>
              <w:ind w:firstLine="480" w:firstLineChars="200"/>
              <w:rPr>
                <w:rFonts w:hint="eastAsia" w:ascii="Times New Roman" w:hAnsi="Times New Roman" w:eastAsia="宋体"/>
                <w:color w:val="auto"/>
                <w:sz w:val="24"/>
                <w:szCs w:val="24"/>
                <w:highlight w:val="none"/>
                <w:lang w:val="en-US" w:eastAsia="zh-CN"/>
              </w:rPr>
            </w:pPr>
            <w:r>
              <w:rPr>
                <w:rFonts w:ascii="Times New Roman" w:hAnsi="Times New Roman" w:eastAsia="宋体"/>
                <w:color w:val="auto"/>
                <w:sz w:val="24"/>
                <w:szCs w:val="24"/>
                <w:highlight w:val="none"/>
              </w:rPr>
              <w:t>（3）车辆冲洗水</w:t>
            </w:r>
            <w:r>
              <w:rPr>
                <w:rFonts w:hint="eastAsia" w:ascii="Times New Roman" w:hAnsi="Times New Roman" w:eastAsia="宋体"/>
                <w:color w:val="auto"/>
                <w:sz w:val="24"/>
                <w:szCs w:val="24"/>
                <w:highlight w:val="none"/>
                <w:lang w:eastAsia="zh-CN"/>
              </w:rPr>
              <w:t>：</w:t>
            </w:r>
            <w:r>
              <w:rPr>
                <w:rFonts w:ascii="Times New Roman" w:hAnsi="Times New Roman" w:eastAsia="宋体"/>
                <w:color w:val="auto"/>
                <w:sz w:val="24"/>
                <w:szCs w:val="24"/>
                <w:highlight w:val="none"/>
              </w:rPr>
              <w:t>对于项目所有运输车辆进出厂区时均需冲洗。</w:t>
            </w:r>
            <w:r>
              <w:rPr>
                <w:rFonts w:hint="eastAsia" w:ascii="Times New Roman" w:hAnsi="Times New Roman" w:eastAsia="宋体"/>
                <w:color w:val="auto"/>
                <w:sz w:val="24"/>
                <w:szCs w:val="24"/>
                <w:highlight w:val="none"/>
              </w:rPr>
              <w:t>参考《建筑给水排水设计标准》（GB50015-2019），每次清洗用水量按80L/辆·次计</w:t>
            </w:r>
            <w:r>
              <w:rPr>
                <w:rFonts w:ascii="Times New Roman" w:hAnsi="Times New Roman" w:eastAsia="宋体"/>
                <w:color w:val="auto"/>
                <w:sz w:val="24"/>
                <w:szCs w:val="24"/>
                <w:highlight w:val="none"/>
              </w:rPr>
              <w:t>。根据</w:t>
            </w:r>
            <w:r>
              <w:rPr>
                <w:rFonts w:hint="eastAsia" w:ascii="Times New Roman" w:hAnsi="Times New Roman" w:eastAsia="宋体"/>
                <w:color w:val="auto"/>
                <w:sz w:val="24"/>
                <w:szCs w:val="24"/>
                <w:highlight w:val="none"/>
                <w:lang w:val="en-US" w:eastAsia="zh-CN"/>
              </w:rPr>
              <w:t>施工单位提供的</w:t>
            </w:r>
            <w:r>
              <w:rPr>
                <w:rFonts w:ascii="Times New Roman" w:hAnsi="Times New Roman" w:eastAsia="宋体"/>
                <w:color w:val="auto"/>
                <w:sz w:val="24"/>
                <w:szCs w:val="24"/>
                <w:highlight w:val="none"/>
              </w:rPr>
              <w:t>资料，项目施工期</w:t>
            </w:r>
            <w:r>
              <w:rPr>
                <w:rFonts w:hint="eastAsia" w:ascii="Times New Roman" w:hAnsi="Times New Roman" w:eastAsia="宋体"/>
                <w:color w:val="auto"/>
                <w:sz w:val="24"/>
                <w:szCs w:val="24"/>
                <w:highlight w:val="none"/>
                <w:lang w:val="en-US" w:eastAsia="zh-CN"/>
              </w:rPr>
              <w:t>每个井场</w:t>
            </w:r>
            <w:r>
              <w:rPr>
                <w:rFonts w:ascii="Times New Roman" w:hAnsi="Times New Roman" w:eastAsia="宋体"/>
                <w:color w:val="auto"/>
                <w:sz w:val="24"/>
                <w:szCs w:val="24"/>
                <w:highlight w:val="none"/>
              </w:rPr>
              <w:t>每天进出车辆共约</w:t>
            </w:r>
            <w:r>
              <w:rPr>
                <w:rFonts w:hint="eastAsia" w:ascii="Times New Roman" w:hAnsi="Times New Roman" w:eastAsia="宋体"/>
                <w:color w:val="auto"/>
                <w:sz w:val="24"/>
                <w:szCs w:val="24"/>
                <w:highlight w:val="none"/>
                <w:lang w:val="en-US" w:eastAsia="zh-CN"/>
              </w:rPr>
              <w:t>4</w:t>
            </w:r>
            <w:r>
              <w:rPr>
                <w:rFonts w:ascii="Times New Roman" w:hAnsi="Times New Roman" w:eastAsia="宋体"/>
                <w:color w:val="auto"/>
                <w:sz w:val="24"/>
                <w:szCs w:val="24"/>
                <w:highlight w:val="none"/>
              </w:rPr>
              <w:t>辆次，则</w:t>
            </w:r>
            <w:r>
              <w:rPr>
                <w:rFonts w:hint="eastAsia" w:ascii="Times New Roman" w:hAnsi="Times New Roman" w:eastAsia="宋体"/>
                <w:color w:val="auto"/>
                <w:sz w:val="24"/>
                <w:szCs w:val="24"/>
                <w:highlight w:val="none"/>
                <w:lang w:val="en-US" w:eastAsia="zh-CN"/>
              </w:rPr>
              <w:t>施工期</w:t>
            </w:r>
            <w:r>
              <w:rPr>
                <w:rFonts w:ascii="Times New Roman" w:hAnsi="Times New Roman" w:eastAsia="宋体"/>
                <w:color w:val="auto"/>
                <w:sz w:val="24"/>
                <w:szCs w:val="24"/>
                <w:highlight w:val="none"/>
              </w:rPr>
              <w:t>冲洗用水量约为</w:t>
            </w:r>
            <w:r>
              <w:rPr>
                <w:rFonts w:hint="eastAsia" w:ascii="Times New Roman" w:hAnsi="Times New Roman"/>
                <w:color w:val="auto"/>
                <w:sz w:val="24"/>
                <w:szCs w:val="24"/>
                <w:highlight w:val="none"/>
                <w:lang w:val="en-US" w:eastAsia="zh-CN"/>
              </w:rPr>
              <w:t>172.8</w:t>
            </w:r>
            <w:r>
              <w:rPr>
                <w:rFonts w:hint="eastAsia" w:ascii="Times New Roman" w:hAnsi="Times New Roman" w:eastAsia="宋体"/>
                <w:color w:val="auto"/>
                <w:sz w:val="24"/>
                <w:szCs w:val="24"/>
                <w:highlight w:val="none"/>
                <w:lang w:val="en-US" w:eastAsia="zh-CN"/>
              </w:rPr>
              <w:t>m</w:t>
            </w:r>
            <w:r>
              <w:rPr>
                <w:rFonts w:hint="eastAsia" w:ascii="Times New Roman" w:hAnsi="Times New Roman" w:eastAsia="宋体"/>
                <w:color w:val="auto"/>
                <w:sz w:val="24"/>
                <w:szCs w:val="24"/>
                <w:highlight w:val="none"/>
                <w:vertAlign w:val="superscript"/>
                <w:lang w:val="en-US" w:eastAsia="zh-CN"/>
              </w:rPr>
              <w:t>3</w:t>
            </w:r>
            <w:r>
              <w:rPr>
                <w:rFonts w:hint="eastAsia" w:ascii="Times New Roman" w:hAnsi="Times New Roman" w:eastAsia="宋体"/>
                <w:color w:val="auto"/>
                <w:sz w:val="24"/>
                <w:szCs w:val="24"/>
                <w:highlight w:val="none"/>
                <w:lang w:val="en-US" w:eastAsia="zh-CN"/>
              </w:rPr>
              <w:t>（</w:t>
            </w:r>
            <w:r>
              <w:rPr>
                <w:rFonts w:hint="eastAsia" w:ascii="Times New Roman" w:hAnsi="Times New Roman"/>
                <w:color w:val="auto"/>
                <w:sz w:val="24"/>
                <w:szCs w:val="24"/>
                <w:highlight w:val="none"/>
                <w:lang w:val="en-US" w:eastAsia="zh-CN"/>
              </w:rPr>
              <w:t>0.96</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/d</w:t>
            </w:r>
            <w:r>
              <w:rPr>
                <w:rFonts w:hint="eastAsia" w:ascii="Times New Roman" w:hAnsi="Times New Roman" w:eastAsia="宋体"/>
                <w:color w:val="auto"/>
                <w:sz w:val="24"/>
                <w:szCs w:val="24"/>
                <w:highlight w:val="none"/>
                <w:lang w:val="en-US" w:eastAsia="zh-CN"/>
              </w:rPr>
              <w:t>）</w:t>
            </w:r>
            <w:r>
              <w:rPr>
                <w:rFonts w:ascii="Times New Roman" w:hAnsi="Times New Roman" w:eastAsia="宋体"/>
                <w:color w:val="auto"/>
                <w:sz w:val="24"/>
                <w:szCs w:val="24"/>
                <w:highlight w:val="none"/>
              </w:rPr>
              <w:t>。冲洗水约有</w:t>
            </w:r>
            <w:r>
              <w:rPr>
                <w:rFonts w:hint="eastAsia" w:ascii="Times New Roman" w:hAnsi="Times New Roman" w:eastAsia="宋体"/>
                <w:color w:val="auto"/>
                <w:sz w:val="24"/>
                <w:szCs w:val="24"/>
                <w:highlight w:val="none"/>
              </w:rPr>
              <w:t>2</w:t>
            </w:r>
            <w:r>
              <w:rPr>
                <w:rFonts w:ascii="Times New Roman" w:hAnsi="Times New Roman" w:eastAsia="宋体"/>
                <w:color w:val="auto"/>
                <w:sz w:val="24"/>
                <w:szCs w:val="24"/>
                <w:highlight w:val="none"/>
              </w:rPr>
              <w:t>0%蒸发，其余</w:t>
            </w:r>
            <w:r>
              <w:rPr>
                <w:rFonts w:hint="eastAsia" w:ascii="Times New Roman" w:hAnsi="Times New Roman" w:eastAsia="宋体"/>
                <w:color w:val="auto"/>
                <w:sz w:val="24"/>
                <w:szCs w:val="24"/>
                <w:highlight w:val="none"/>
              </w:rPr>
              <w:t>约</w:t>
            </w:r>
            <w:r>
              <w:rPr>
                <w:rFonts w:hint="eastAsia" w:ascii="Times New Roman" w:hAnsi="Times New Roman"/>
                <w:color w:val="auto"/>
                <w:sz w:val="24"/>
                <w:szCs w:val="24"/>
                <w:highlight w:val="none"/>
                <w:lang w:val="en-US" w:eastAsia="zh-CN"/>
              </w:rPr>
              <w:t>138.2</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hint="eastAsia" w:ascii="Times New Roman" w:hAnsi="Times New Roman" w:eastAsia="宋体"/>
                <w:color w:val="auto"/>
                <w:sz w:val="24"/>
                <w:szCs w:val="24"/>
                <w:highlight w:val="none"/>
                <w:lang w:val="en-US" w:eastAsia="zh-CN"/>
              </w:rPr>
              <w:t>（</w:t>
            </w:r>
            <w:r>
              <w:rPr>
                <w:rFonts w:hint="eastAsia" w:ascii="Times New Roman" w:hAnsi="Times New Roman"/>
                <w:color w:val="auto"/>
                <w:sz w:val="24"/>
                <w:szCs w:val="24"/>
                <w:highlight w:val="none"/>
                <w:lang w:val="en-US" w:eastAsia="zh-CN"/>
              </w:rPr>
              <w:t>0.77</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/d</w:t>
            </w:r>
            <w:r>
              <w:rPr>
                <w:rFonts w:hint="eastAsia" w:ascii="Times New Roman" w:hAnsi="Times New Roman" w:eastAsia="宋体"/>
                <w:color w:val="auto"/>
                <w:sz w:val="24"/>
                <w:szCs w:val="24"/>
                <w:highlight w:val="none"/>
                <w:lang w:val="en-US" w:eastAsia="zh-CN"/>
              </w:rPr>
              <w:t>）</w:t>
            </w:r>
            <w:r>
              <w:rPr>
                <w:rFonts w:ascii="Times New Roman" w:hAnsi="Times New Roman" w:eastAsia="宋体"/>
                <w:color w:val="auto"/>
                <w:sz w:val="24"/>
                <w:szCs w:val="24"/>
                <w:highlight w:val="none"/>
              </w:rPr>
              <w:t>水进入沉淀池沉淀后循环使用。井场</w:t>
            </w:r>
            <w:r>
              <w:rPr>
                <w:rFonts w:hint="eastAsia" w:ascii="Times New Roman" w:hAnsi="Times New Roman" w:eastAsia="宋体"/>
                <w:color w:val="auto"/>
                <w:sz w:val="24"/>
                <w:szCs w:val="24"/>
                <w:highlight w:val="none"/>
                <w:lang w:val="en-US" w:eastAsia="zh-CN"/>
              </w:rPr>
              <w:t>内设有</w:t>
            </w:r>
            <w:r>
              <w:rPr>
                <w:rFonts w:ascii="Times New Roman" w:hAnsi="Times New Roman" w:eastAsia="宋体"/>
                <w:color w:val="auto"/>
                <w:sz w:val="24"/>
                <w:szCs w:val="24"/>
                <w:highlight w:val="none"/>
              </w:rPr>
              <w:t>沉淀池，冲洗废水沉淀后循环使用。冲洗用水因自然蒸发、车辆带走等损耗，日补充量约为</w:t>
            </w:r>
            <w:r>
              <w:rPr>
                <w:rFonts w:hint="eastAsia" w:ascii="Times New Roman" w:hAnsi="Times New Roman"/>
                <w:color w:val="auto"/>
                <w:sz w:val="24"/>
                <w:szCs w:val="24"/>
                <w:highlight w:val="none"/>
                <w:lang w:val="en-US" w:eastAsia="zh-CN"/>
              </w:rPr>
              <w:t>0.192</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/d</w:t>
            </w:r>
            <w:r>
              <w:rPr>
                <w:rFonts w:hint="eastAsia" w:ascii="Times New Roman" w:hAnsi="Times New Roman" w:eastAsia="宋体"/>
                <w:color w:val="auto"/>
                <w:sz w:val="24"/>
                <w:szCs w:val="24"/>
                <w:highlight w:val="none"/>
              </w:rPr>
              <w:t>，年用水量为</w:t>
            </w:r>
            <w:r>
              <w:rPr>
                <w:rFonts w:hint="eastAsia" w:ascii="Times New Roman" w:hAnsi="Times New Roman"/>
                <w:color w:val="auto"/>
                <w:sz w:val="24"/>
                <w:szCs w:val="24"/>
                <w:highlight w:val="none"/>
                <w:lang w:val="en-US" w:eastAsia="zh-CN"/>
              </w:rPr>
              <w:t>34.6</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hint="eastAsia" w:ascii="Times New Roman" w:hAnsi="Times New Roman" w:eastAsia="宋体"/>
                <w:color w:val="auto"/>
                <w:sz w:val="24"/>
                <w:szCs w:val="24"/>
                <w:highlight w:val="none"/>
              </w:rPr>
              <w:t>。</w:t>
            </w:r>
          </w:p>
          <w:p w14:paraId="0E66CE53">
            <w:pPr>
              <w:pStyle w:val="36"/>
              <w:spacing w:line="360" w:lineRule="auto"/>
              <w:ind w:firstLine="482" w:firstLineChars="201"/>
              <w:rPr>
                <w:rFonts w:eastAsia="宋体"/>
                <w:color w:val="auto"/>
                <w:sz w:val="24"/>
              </w:rPr>
            </w:pPr>
            <w:r>
              <w:rPr>
                <w:rFonts w:hint="eastAsia" w:eastAsia="宋体"/>
                <w:color w:val="auto"/>
                <w:sz w:val="24"/>
                <w:lang w:val="en-US" w:eastAsia="zh-CN"/>
              </w:rPr>
              <w:t>综上，</w:t>
            </w:r>
            <w:r>
              <w:rPr>
                <w:rFonts w:eastAsia="宋体"/>
                <w:color w:val="auto"/>
                <w:sz w:val="24"/>
              </w:rPr>
              <w:t>项目水平衡图见下图所示。</w:t>
            </w:r>
          </w:p>
          <w:p w14:paraId="43972EA0">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0"/>
              <w:jc w:val="center"/>
              <w:textAlignment w:val="auto"/>
              <w:rPr>
                <w:rFonts w:ascii="Times New Roman" w:hAnsi="Times New Roman" w:eastAsia="宋体"/>
                <w:b/>
                <w:color w:val="auto"/>
                <w:sz w:val="21"/>
                <w:szCs w:val="21"/>
              </w:rPr>
            </w:pPr>
            <w:r>
              <w:rPr>
                <w:rFonts w:hint="eastAsia" w:ascii="Times New Roman" w:hAnsi="Times New Roman" w:eastAsia="楷体_GB2312"/>
                <w:color w:val="auto"/>
                <w:highlight w:val="none"/>
                <w:lang w:eastAsia="zh-CN"/>
              </w:rPr>
              <w:drawing>
                <wp:inline distT="0" distB="0" distL="114300" distR="114300">
                  <wp:extent cx="5048250" cy="2738120"/>
                  <wp:effectExtent l="0" t="0" r="0" b="5080"/>
                  <wp:docPr id="3" name="F360BE8B-6686-4F3D-AEAF-501FE73E4058-2" descr="C:/Users/Administrator/AppData/Local/Temp/绘图1(6).png绘图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60BE8B-6686-4F3D-AEAF-501FE73E4058-2" descr="C:/Users/Administrator/AppData/Local/Temp/绘图1(6).png绘图1(6)"/>
                          <pic:cNvPicPr>
                            <a:picLocks noChangeAspect="1"/>
                          </pic:cNvPicPr>
                        </pic:nvPicPr>
                        <pic:blipFill>
                          <a:blip r:embed="rId13"/>
                          <a:stretch>
                            <a:fillRect/>
                          </a:stretch>
                        </pic:blipFill>
                        <pic:spPr>
                          <a:xfrm>
                            <a:off x="0" y="0"/>
                            <a:ext cx="5048250" cy="2738120"/>
                          </a:xfrm>
                          <a:prstGeom prst="rect">
                            <a:avLst/>
                          </a:prstGeom>
                        </pic:spPr>
                      </pic:pic>
                    </a:graphicData>
                  </a:graphic>
                </wp:inline>
              </w:drawing>
            </w:r>
          </w:p>
          <w:p w14:paraId="66748384">
            <w:pPr>
              <w:spacing w:line="360" w:lineRule="auto"/>
              <w:jc w:val="center"/>
              <w:rPr>
                <w:rFonts w:ascii="Times New Roman" w:hAnsi="Times New Roman"/>
                <w:b/>
                <w:color w:val="auto"/>
                <w:szCs w:val="21"/>
                <w:lang w:val="en-US" w:eastAsia="zh-CN"/>
              </w:rPr>
            </w:pPr>
            <w:r>
              <w:rPr>
                <w:rFonts w:ascii="Times New Roman" w:hAnsi="Times New Roman"/>
                <w:b/>
                <w:color w:val="auto"/>
                <w:szCs w:val="21"/>
                <w:lang w:val="en-US" w:eastAsia="zh-CN"/>
              </w:rPr>
              <w:t>图</w:t>
            </w:r>
            <w:r>
              <w:rPr>
                <w:rFonts w:hint="eastAsia" w:ascii="Times New Roman" w:hAnsi="Times New Roman"/>
                <w:b/>
                <w:color w:val="auto"/>
                <w:szCs w:val="21"/>
                <w:lang w:val="en-US" w:eastAsia="zh-CN"/>
              </w:rPr>
              <w:t xml:space="preserve">2-3 </w:t>
            </w:r>
            <w:r>
              <w:rPr>
                <w:rFonts w:ascii="Times New Roman" w:hAnsi="Times New Roman"/>
                <w:b/>
                <w:color w:val="auto"/>
                <w:szCs w:val="21"/>
                <w:lang w:val="en-US" w:eastAsia="zh-CN"/>
              </w:rPr>
              <w:t xml:space="preserve"> 项目水平衡图（</w:t>
            </w:r>
            <w:r>
              <w:rPr>
                <w:rFonts w:hint="eastAsia" w:ascii="Times New Roman" w:hAnsi="Times New Roman"/>
                <w:b/>
                <w:color w:val="auto"/>
                <w:szCs w:val="21"/>
                <w:lang w:val="en-US" w:eastAsia="zh-CN"/>
              </w:rPr>
              <w:t>m</w:t>
            </w:r>
            <w:r>
              <w:rPr>
                <w:rFonts w:hint="eastAsia" w:ascii="Times New Roman" w:hAnsi="Times New Roman"/>
                <w:b/>
                <w:color w:val="auto"/>
                <w:szCs w:val="21"/>
                <w:vertAlign w:val="superscript"/>
                <w:lang w:val="en-US" w:eastAsia="zh-CN"/>
              </w:rPr>
              <w:t>3</w:t>
            </w:r>
            <w:r>
              <w:rPr>
                <w:rFonts w:hint="eastAsia" w:ascii="Times New Roman" w:hAnsi="Times New Roman"/>
                <w:b/>
                <w:color w:val="auto"/>
                <w:szCs w:val="21"/>
                <w:lang w:val="en-US" w:eastAsia="zh-CN"/>
              </w:rPr>
              <w:t>/d</w:t>
            </w:r>
            <w:r>
              <w:rPr>
                <w:rFonts w:ascii="Times New Roman" w:hAnsi="Times New Roman"/>
                <w:b/>
                <w:color w:val="auto"/>
                <w:szCs w:val="21"/>
                <w:lang w:val="en-US" w:eastAsia="zh-CN"/>
              </w:rPr>
              <w:t>）</w:t>
            </w:r>
          </w:p>
          <w:p w14:paraId="4D6DBB80">
            <w:pPr>
              <w:pStyle w:val="28"/>
              <w:adjustRightInd/>
              <w:spacing w:line="360" w:lineRule="auto"/>
              <w:ind w:firstLine="482" w:firstLineChars="200"/>
              <w:jc w:val="both"/>
              <w:rPr>
                <w:rFonts w:ascii="Times New Roman" w:hAnsi="Times New Roman"/>
                <w:b/>
                <w:color w:val="auto"/>
              </w:rPr>
            </w:pPr>
            <w:r>
              <w:rPr>
                <w:rFonts w:ascii="Times New Roman" w:hAnsi="Times New Roman"/>
                <w:b/>
                <w:color w:val="auto"/>
              </w:rPr>
              <w:t>5</w:t>
            </w:r>
            <w:r>
              <w:rPr>
                <w:rFonts w:ascii="Times New Roman" w:hAnsi="宋体"/>
                <w:b/>
                <w:color w:val="auto"/>
              </w:rPr>
              <w:t>、建设周期和项目劳动定员及工作制度</w:t>
            </w:r>
          </w:p>
          <w:p w14:paraId="667DA32F">
            <w:pPr>
              <w:pStyle w:val="28"/>
              <w:adjustRightInd/>
              <w:spacing w:line="360" w:lineRule="auto"/>
              <w:ind w:firstLine="480" w:firstLineChars="200"/>
              <w:jc w:val="both"/>
              <w:rPr>
                <w:rFonts w:ascii="Times New Roman" w:hAnsi="Times New Roman"/>
                <w:color w:val="auto"/>
                <w:highlight w:val="none"/>
              </w:rPr>
            </w:pPr>
            <w:r>
              <w:rPr>
                <w:rFonts w:ascii="Times New Roman" w:hAnsi="宋体"/>
                <w:bCs/>
                <w:color w:val="auto"/>
                <w:highlight w:val="none"/>
              </w:rPr>
              <w:t>本项目实施是为了</w:t>
            </w:r>
            <w:r>
              <w:rPr>
                <w:rFonts w:ascii="Times New Roman" w:hAnsi="宋体"/>
                <w:color w:val="auto"/>
                <w:highlight w:val="none"/>
              </w:rPr>
              <w:t>采掘面瓦斯抽采预先进行的钻前工程、钻井工程、复垦工程。由于本项目的实施是为了消除煤炭开采的安全隐患，为后期采掘面预抽采做前期准备工作。项目的实施仅为钻井工程，不涉及后期瓦斯抽采及瓦斯输送线路工程。因此本项目只涉及施工期。项目施工周期为</w:t>
            </w:r>
            <w:r>
              <w:rPr>
                <w:rFonts w:hint="eastAsia" w:ascii="Times New Roman" w:hAnsi="Times New Roman"/>
                <w:color w:val="auto"/>
                <w:highlight w:val="none"/>
                <w:lang w:val="en-US" w:eastAsia="zh-CN"/>
              </w:rPr>
              <w:t>6</w:t>
            </w:r>
            <w:r>
              <w:rPr>
                <w:rFonts w:ascii="Times New Roman" w:hAnsi="宋体"/>
                <w:color w:val="auto"/>
                <w:highlight w:val="none"/>
              </w:rPr>
              <w:t>个月，</w:t>
            </w:r>
            <w:r>
              <w:rPr>
                <w:rFonts w:hint="eastAsia" w:ascii="Times New Roman" w:hAnsi="宋体"/>
                <w:color w:val="auto"/>
                <w:highlight w:val="none"/>
                <w:lang w:val="en-US" w:eastAsia="zh-CN"/>
              </w:rPr>
              <w:t>其中钻井施工工期约为5个月，各</w:t>
            </w:r>
            <w:r>
              <w:rPr>
                <w:rFonts w:hint="eastAsia" w:ascii="Times New Roman" w:hAnsi="宋体"/>
                <w:color w:val="auto"/>
                <w:highlight w:val="none"/>
                <w:lang w:eastAsia="zh-CN"/>
              </w:rPr>
              <w:t>井场</w:t>
            </w:r>
            <w:r>
              <w:rPr>
                <w:rFonts w:hint="eastAsia" w:ascii="Times New Roman" w:hAnsi="宋体"/>
                <w:color w:val="auto"/>
                <w:highlight w:val="none"/>
              </w:rPr>
              <w:t>每天施工总人数为</w:t>
            </w:r>
            <w:r>
              <w:rPr>
                <w:rFonts w:hint="eastAsia" w:ascii="Times New Roman" w:hAnsi="宋体"/>
                <w:color w:val="auto"/>
                <w:highlight w:val="none"/>
                <w:lang w:val="en-US" w:eastAsia="zh-CN"/>
              </w:rPr>
              <w:t>12</w:t>
            </w:r>
            <w:r>
              <w:rPr>
                <w:rFonts w:hint="eastAsia" w:ascii="Times New Roman" w:hAnsi="宋体"/>
                <w:color w:val="auto"/>
                <w:highlight w:val="none"/>
              </w:rPr>
              <w:t>人</w:t>
            </w:r>
            <w:r>
              <w:rPr>
                <w:rFonts w:hint="eastAsia" w:ascii="Times New Roman" w:hAnsi="宋体"/>
                <w:color w:val="auto"/>
                <w:highlight w:val="none"/>
                <w:lang w:eastAsia="zh-CN"/>
              </w:rPr>
              <w:t>，</w:t>
            </w:r>
            <w:r>
              <w:rPr>
                <w:rFonts w:hint="eastAsia" w:ascii="Times New Roman" w:hAnsi="宋体"/>
                <w:color w:val="auto"/>
                <w:highlight w:val="none"/>
                <w:lang w:val="en-US" w:eastAsia="zh-CN"/>
              </w:rPr>
              <w:t>合计36人</w:t>
            </w:r>
            <w:r>
              <w:rPr>
                <w:rFonts w:ascii="Times New Roman" w:hAnsi="宋体"/>
                <w:color w:val="auto"/>
                <w:highlight w:val="none"/>
              </w:rPr>
              <w:t>。</w:t>
            </w:r>
          </w:p>
          <w:p w14:paraId="29C310BE">
            <w:pPr>
              <w:pStyle w:val="28"/>
              <w:adjustRightInd/>
              <w:spacing w:line="360" w:lineRule="auto"/>
              <w:ind w:firstLine="482" w:firstLineChars="200"/>
              <w:jc w:val="both"/>
              <w:rPr>
                <w:rFonts w:ascii="Times New Roman" w:hAnsi="Times New Roman"/>
                <w:b/>
                <w:bCs/>
                <w:color w:val="auto"/>
              </w:rPr>
            </w:pPr>
            <w:r>
              <w:rPr>
                <w:rFonts w:ascii="Times New Roman" w:hAnsi="Times New Roman"/>
                <w:b/>
                <w:color w:val="auto"/>
              </w:rPr>
              <w:t>6</w:t>
            </w:r>
            <w:r>
              <w:rPr>
                <w:rFonts w:ascii="Times New Roman" w:hAnsi="宋体"/>
                <w:b/>
                <w:color w:val="auto"/>
              </w:rPr>
              <w:t>、</w:t>
            </w:r>
            <w:r>
              <w:rPr>
                <w:rFonts w:ascii="Times New Roman" w:hAnsi="宋体"/>
                <w:b/>
                <w:bCs/>
                <w:color w:val="auto"/>
              </w:rPr>
              <w:t>施工时序</w:t>
            </w:r>
          </w:p>
          <w:p w14:paraId="6A276C70">
            <w:pPr>
              <w:pStyle w:val="28"/>
              <w:adjustRightInd/>
              <w:spacing w:line="360" w:lineRule="auto"/>
              <w:ind w:firstLine="480" w:firstLineChars="200"/>
              <w:jc w:val="both"/>
              <w:rPr>
                <w:rFonts w:ascii="Times New Roman" w:hAnsi="Times New Roman"/>
                <w:bCs/>
                <w:color w:val="auto"/>
                <w:highlight w:val="none"/>
              </w:rPr>
            </w:pPr>
            <w:r>
              <w:rPr>
                <w:rFonts w:ascii="Times New Roman" w:hAnsi="宋体"/>
                <w:bCs/>
                <w:color w:val="auto"/>
                <w:highlight w:val="none"/>
              </w:rPr>
              <w:t>项目井场施工时序如下：</w:t>
            </w:r>
          </w:p>
          <w:p w14:paraId="6A2060D4">
            <w:pPr>
              <w:pStyle w:val="28"/>
              <w:adjustRightInd/>
              <w:spacing w:line="360" w:lineRule="auto"/>
              <w:ind w:firstLine="480" w:firstLineChars="200"/>
              <w:jc w:val="both"/>
              <w:rPr>
                <w:rFonts w:ascii="Times New Roman" w:hAnsi="Times New Roman"/>
                <w:color w:val="auto"/>
                <w:highlight w:val="none"/>
              </w:rPr>
            </w:pPr>
            <w:r>
              <w:rPr>
                <w:rFonts w:ascii="宋体" w:hAnsi="宋体"/>
                <w:bCs/>
                <w:color w:val="auto"/>
                <w:highlight w:val="none"/>
              </w:rPr>
              <w:t>①</w:t>
            </w:r>
            <w:r>
              <w:rPr>
                <w:rFonts w:ascii="Times New Roman" w:hAnsi="宋体"/>
                <w:bCs/>
                <w:color w:val="auto"/>
                <w:highlight w:val="none"/>
              </w:rPr>
              <w:t>实施</w:t>
            </w:r>
            <w:r>
              <w:rPr>
                <w:rFonts w:ascii="Times New Roman" w:hAnsi="宋体"/>
                <w:color w:val="auto"/>
                <w:highlight w:val="none"/>
              </w:rPr>
              <w:t>钻前工程；</w:t>
            </w:r>
          </w:p>
          <w:p w14:paraId="16F5290C">
            <w:pPr>
              <w:pStyle w:val="28"/>
              <w:adjustRightInd/>
              <w:spacing w:line="360" w:lineRule="auto"/>
              <w:ind w:firstLine="480" w:firstLineChars="200"/>
              <w:jc w:val="both"/>
              <w:rPr>
                <w:rFonts w:ascii="Times New Roman" w:hAnsi="Times New Roman"/>
                <w:color w:val="auto"/>
                <w:highlight w:val="none"/>
              </w:rPr>
            </w:pPr>
            <w:r>
              <w:rPr>
                <w:rFonts w:ascii="宋体" w:hAnsi="宋体"/>
                <w:bCs/>
                <w:color w:val="auto"/>
                <w:highlight w:val="none"/>
              </w:rPr>
              <w:t>②</w:t>
            </w:r>
            <w:r>
              <w:rPr>
                <w:rFonts w:ascii="Times New Roman" w:hAnsi="宋体"/>
                <w:bCs/>
                <w:color w:val="auto"/>
                <w:highlight w:val="none"/>
              </w:rPr>
              <w:t>实施钻井工程：</w:t>
            </w:r>
            <w:r>
              <w:rPr>
                <w:rFonts w:hint="eastAsia" w:ascii="Times New Roman" w:hAnsi="宋体"/>
                <w:bCs/>
                <w:color w:val="auto"/>
                <w:highlight w:val="none"/>
                <w:lang w:val="en-US" w:eastAsia="zh-CN"/>
              </w:rPr>
              <w:t>3个井场同时施工</w:t>
            </w:r>
            <w:r>
              <w:rPr>
                <w:rFonts w:hint="eastAsia" w:ascii="Times New Roman" w:hAnsi="Times New Roman"/>
                <w:bCs/>
                <w:color w:val="auto"/>
                <w:highlight w:val="none"/>
              </w:rPr>
              <w:t>。</w:t>
            </w:r>
          </w:p>
          <w:p w14:paraId="28B3547B">
            <w:pPr>
              <w:pStyle w:val="28"/>
              <w:adjustRightInd/>
              <w:spacing w:line="360" w:lineRule="auto"/>
              <w:ind w:firstLine="480" w:firstLineChars="200"/>
              <w:jc w:val="both"/>
              <w:rPr>
                <w:rFonts w:ascii="Times New Roman" w:hAnsi="Times New Roman"/>
                <w:color w:val="auto"/>
              </w:rPr>
            </w:pPr>
            <w:r>
              <w:rPr>
                <w:rFonts w:ascii="宋体" w:hAnsi="宋体"/>
                <w:color w:val="auto"/>
                <w:highlight w:val="none"/>
              </w:rPr>
              <w:t>③</w:t>
            </w:r>
            <w:r>
              <w:rPr>
                <w:rFonts w:ascii="Times New Roman" w:hAnsi="宋体"/>
                <w:color w:val="auto"/>
                <w:highlight w:val="none"/>
              </w:rPr>
              <w:t>实施生态恢复工程</w:t>
            </w:r>
            <w:r>
              <w:rPr>
                <w:rFonts w:hint="eastAsia" w:ascii="Times New Roman" w:hAnsi="宋体"/>
                <w:color w:val="auto"/>
                <w:highlight w:val="none"/>
                <w:lang w:eastAsia="zh-CN"/>
              </w:rPr>
              <w:t>，自临时用地期满之日起12个月内完成土地复垦，使其达到可耕种状态，确保耕地不减少、质量不降低</w:t>
            </w:r>
            <w:r>
              <w:rPr>
                <w:rFonts w:ascii="Times New Roman" w:hAnsi="宋体"/>
                <w:color w:val="auto"/>
                <w:highlight w:val="none"/>
              </w:rPr>
              <w:t>。</w:t>
            </w:r>
          </w:p>
        </w:tc>
      </w:tr>
    </w:tbl>
    <w:p w14:paraId="3C4F0B39">
      <w:pPr>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br w:type="page"/>
      </w:r>
    </w:p>
    <w:p w14:paraId="61AD4DA8">
      <w:pPr>
        <w:pStyle w:val="19"/>
        <w:jc w:val="center"/>
        <w:outlineLvl w:val="0"/>
        <w:rPr>
          <w:rFonts w:ascii="Times New Roman" w:hAnsi="Times New Roman" w:eastAsia="黑体"/>
          <w:snapToGrid w:val="0"/>
          <w:color w:val="auto"/>
          <w:sz w:val="30"/>
          <w:szCs w:val="30"/>
        </w:rPr>
      </w:pPr>
      <w:bookmarkStart w:id="7" w:name="_Toc22394"/>
      <w:r>
        <w:rPr>
          <w:rFonts w:ascii="Times New Roman" w:hAnsi="Times New Roman" w:eastAsia="黑体"/>
          <w:snapToGrid w:val="0"/>
          <w:color w:val="auto"/>
          <w:sz w:val="30"/>
          <w:szCs w:val="30"/>
        </w:rPr>
        <w:t>三、生态环境现状、保护目标及评价标准</w:t>
      </w:r>
      <w:bookmarkEnd w:id="7"/>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068"/>
      </w:tblGrid>
      <w:tr w14:paraId="6358F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1" w:hRule="atLeast"/>
          <w:jc w:val="center"/>
        </w:trPr>
        <w:tc>
          <w:tcPr>
            <w:tcW w:w="454" w:type="dxa"/>
            <w:noWrap w:val="0"/>
            <w:vAlign w:val="center"/>
          </w:tcPr>
          <w:p w14:paraId="1F861638">
            <w:pPr>
              <w:adjustRightInd w:val="0"/>
              <w:snapToGrid w:val="0"/>
              <w:jc w:val="center"/>
              <w:rPr>
                <w:rFonts w:ascii="Times New Roman" w:hAnsi="Times New Roman"/>
                <w:color w:val="auto"/>
                <w:kern w:val="0"/>
                <w:sz w:val="24"/>
              </w:rPr>
            </w:pPr>
            <w:r>
              <w:rPr>
                <w:rFonts w:ascii="Times New Roman" w:hAnsi="Times New Roman"/>
                <w:color w:val="auto"/>
                <w:kern w:val="0"/>
                <w:sz w:val="24"/>
              </w:rPr>
              <w:t>生态环境现状</w:t>
            </w:r>
          </w:p>
        </w:tc>
        <w:tc>
          <w:tcPr>
            <w:tcW w:w="8068" w:type="dxa"/>
            <w:noWrap w:val="0"/>
            <w:vAlign w:val="center"/>
          </w:tcPr>
          <w:p w14:paraId="649BF2BA">
            <w:pPr>
              <w:pStyle w:val="13"/>
              <w:tabs>
                <w:tab w:val="left" w:pos="0"/>
              </w:tabs>
              <w:snapToGrid/>
              <w:spacing w:line="360" w:lineRule="auto"/>
              <w:rPr>
                <w:rFonts w:ascii="Times New Roman" w:hAnsi="Times New Roman"/>
                <w:b/>
                <w:bCs/>
                <w:color w:val="auto"/>
                <w:sz w:val="24"/>
                <w:lang w:val="en-US" w:eastAsia="zh-CN"/>
              </w:rPr>
            </w:pPr>
            <w:r>
              <w:rPr>
                <w:rFonts w:ascii="Times New Roman" w:hAnsi="Times New Roman"/>
                <w:b/>
                <w:bCs/>
                <w:color w:val="auto"/>
                <w:sz w:val="24"/>
                <w:lang w:val="en-US" w:eastAsia="zh-CN"/>
              </w:rPr>
              <w:t>一、自然环境简介</w:t>
            </w:r>
          </w:p>
          <w:p w14:paraId="46307339">
            <w:pPr>
              <w:pStyle w:val="13"/>
              <w:tabs>
                <w:tab w:val="left" w:pos="0"/>
              </w:tabs>
              <w:snapToGrid/>
              <w:spacing w:line="360" w:lineRule="auto"/>
              <w:ind w:firstLine="482" w:firstLineChars="200"/>
              <w:rPr>
                <w:rFonts w:ascii="Times New Roman" w:hAnsi="Times New Roman"/>
                <w:b/>
                <w:bCs/>
                <w:color w:val="auto"/>
                <w:sz w:val="24"/>
                <w:lang w:val="en-US" w:eastAsia="zh-CN"/>
              </w:rPr>
            </w:pPr>
            <w:r>
              <w:rPr>
                <w:rFonts w:ascii="Times New Roman" w:hAnsi="Times New Roman"/>
                <w:b/>
                <w:bCs/>
                <w:color w:val="auto"/>
                <w:sz w:val="24"/>
                <w:lang w:val="en-US" w:eastAsia="zh-CN"/>
              </w:rPr>
              <w:t xml:space="preserve">1、生态现状调查 </w:t>
            </w:r>
          </w:p>
          <w:p w14:paraId="67EBD238">
            <w:pPr>
              <w:spacing w:line="360" w:lineRule="auto"/>
              <w:ind w:firstLine="480"/>
              <w:rPr>
                <w:rFonts w:ascii="Times New Roman" w:hAnsi="Times New Roman"/>
                <w:color w:val="auto"/>
                <w:sz w:val="24"/>
              </w:rPr>
            </w:pPr>
            <w:r>
              <w:rPr>
                <w:rFonts w:ascii="Times New Roman" w:hAnsi="Times New Roman"/>
                <w:color w:val="auto"/>
                <w:sz w:val="24"/>
              </w:rPr>
              <w:t>（1）主体功能区规划</w:t>
            </w:r>
          </w:p>
          <w:p w14:paraId="5FA3B27F">
            <w:pPr>
              <w:keepNext/>
              <w:keepLines/>
              <w:spacing w:line="360" w:lineRule="auto"/>
              <w:ind w:firstLine="480" w:firstLineChars="200"/>
              <w:outlineLvl w:val="2"/>
              <w:rPr>
                <w:rFonts w:hint="eastAsia" w:ascii="Times New Roman" w:hAnsi="Times New Roman" w:eastAsia="宋体"/>
                <w:b w:val="0"/>
                <w:bCs w:val="0"/>
                <w:color w:val="auto"/>
                <w:sz w:val="24"/>
                <w:lang w:eastAsia="zh-CN"/>
              </w:rPr>
            </w:pPr>
            <w:r>
              <w:rPr>
                <w:rFonts w:hint="eastAsia" w:ascii="Times New Roman" w:hAnsi="Times New Roman" w:eastAsia="宋体"/>
                <w:b w:val="0"/>
                <w:bCs w:val="0"/>
                <w:color w:val="auto"/>
                <w:sz w:val="24"/>
                <w:lang w:eastAsia="zh-CN"/>
              </w:rPr>
              <w:t>本工程位于潘集区贺瞳镇境内，根据《关于印发安徽省主体功能区划的通知》（皖政〔2013〕82号），工程所在位置属于省重点开发区域。安徽省主体功能区划图详见附图</w:t>
            </w:r>
            <w:r>
              <w:rPr>
                <w:rFonts w:hint="eastAsia" w:ascii="Times New Roman" w:hAnsi="Times New Roman"/>
                <w:b w:val="0"/>
                <w:bCs w:val="0"/>
                <w:color w:val="auto"/>
                <w:sz w:val="24"/>
                <w:lang w:val="en-US" w:eastAsia="zh-CN"/>
              </w:rPr>
              <w:t>9</w:t>
            </w:r>
            <w:r>
              <w:rPr>
                <w:rFonts w:hint="eastAsia" w:ascii="Times New Roman" w:hAnsi="Times New Roman" w:eastAsia="宋体"/>
                <w:b w:val="0"/>
                <w:bCs w:val="0"/>
                <w:color w:val="auto"/>
                <w:sz w:val="24"/>
                <w:lang w:eastAsia="zh-CN"/>
              </w:rPr>
              <w:t>。</w:t>
            </w:r>
          </w:p>
          <w:p w14:paraId="551D7493">
            <w:pPr>
              <w:keepNext/>
              <w:keepLines/>
              <w:spacing w:line="360" w:lineRule="auto"/>
              <w:ind w:firstLine="480" w:firstLineChars="200"/>
              <w:outlineLvl w:val="2"/>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该片区是皖北城镇群的重要节点城市，包括淮南市5个市辖区和蚌埠市4个市辖区。</w:t>
            </w:r>
          </w:p>
          <w:p w14:paraId="78B01F28">
            <w:pPr>
              <w:keepNext/>
              <w:keepLines/>
              <w:spacing w:line="360" w:lineRule="auto"/>
              <w:ind w:firstLine="480" w:firstLineChars="200"/>
              <w:outlineLvl w:val="2"/>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功能定位：全国重要的能源基地、先进制造业基地、煤化工及化工新材料基地和创新基地，全国重要的商品粮基地和农副产品加工基地，全省重要的生物医药基地。</w:t>
            </w:r>
          </w:p>
          <w:p w14:paraId="1394663C">
            <w:pPr>
              <w:keepNext/>
              <w:keepLines/>
              <w:spacing w:line="360" w:lineRule="auto"/>
              <w:ind w:firstLine="480" w:firstLineChars="200"/>
              <w:outlineLvl w:val="2"/>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加快蚌埠区域性中心城市建设，形成以市区为中心、县城为骨干、中心镇为节点的城镇体系；加强交通等基础设施规划和建设，巩固提升区域性综合交通枢纽地位。加快淮南资源枯竭型城市转型，优化城市空间布局，强化城市基础设施支撑能力，建设成为沿淮经济带重要的现代化大城市。</w:t>
            </w:r>
          </w:p>
          <w:p w14:paraId="50782D5C">
            <w:pPr>
              <w:keepNext/>
              <w:keepLines/>
              <w:spacing w:line="360" w:lineRule="auto"/>
              <w:ind w:firstLine="480" w:firstLineChars="200"/>
              <w:outlineLvl w:val="2"/>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——加强重点产业基地建设，培育壮大机械制造、新能源汽车及汽车零部件、煤化工及化工新材料、硅基新材料基地、商贸物流及电子信息、新能源等产业。</w:t>
            </w:r>
          </w:p>
          <w:p w14:paraId="6EA3CB7B">
            <w:pPr>
              <w:keepNext/>
              <w:keepLines/>
              <w:spacing w:line="360" w:lineRule="auto"/>
              <w:ind w:firstLine="480" w:firstLineChars="200"/>
              <w:outlineLvl w:val="2"/>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——大力发展都市农业，兴建具有观光农业、休闲农业等功能的农业科技园（区）。推进采煤塌陷区综合治理及土地复垦</w:t>
            </w:r>
            <w:r>
              <w:rPr>
                <w:rFonts w:hint="eastAsia" w:ascii="Times New Roman" w:hAnsi="Times New Roman"/>
                <w:color w:val="auto"/>
                <w:sz w:val="24"/>
                <w:lang w:eastAsia="zh-CN"/>
              </w:rPr>
              <w:t>。</w:t>
            </w:r>
          </w:p>
          <w:p w14:paraId="695AFA3E">
            <w:pPr>
              <w:keepNext/>
              <w:keepLines/>
              <w:spacing w:line="360" w:lineRule="auto"/>
              <w:ind w:firstLine="480" w:firstLineChars="200"/>
              <w:outlineLvl w:val="2"/>
              <w:rPr>
                <w:rFonts w:ascii="Times New Roman" w:hAnsi="Times New Roman"/>
                <w:sz w:val="24"/>
              </w:rPr>
            </w:pPr>
            <w:r>
              <w:rPr>
                <w:rFonts w:ascii="Times New Roman" w:hAnsi="Times New Roman"/>
                <w:sz w:val="24"/>
              </w:rPr>
              <w:t>（2）生态功能区概述</w:t>
            </w:r>
          </w:p>
          <w:p w14:paraId="17EB9401">
            <w:pPr>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根据原环保部、中国科学院制定的《全国生态功能区规划（修编版）》，中安联合煤化有限责任公司朱集西煤矿位于黄淮平原农产品提供三级功能区（II-01-15）。根据《安徽省生态环境保护规划》，中安联合煤化有限责任公司位于沿淮淮北平原生态区的淮南农业与城镇生态功能区（I3-3）。根据《淮南市生态生态功能分区》，朱集西煤矿井田属于北部平原旱作农业与矿业发展区，本项目与安徽省生态功能区划关系图见附图</w:t>
            </w:r>
            <w:r>
              <w:rPr>
                <w:rFonts w:hint="eastAsia" w:ascii="Times New Roman" w:hAnsi="Times New Roman"/>
                <w:color w:val="auto"/>
                <w:sz w:val="24"/>
                <w:highlight w:val="none"/>
              </w:rPr>
              <w:t>1</w:t>
            </w:r>
            <w:r>
              <w:rPr>
                <w:rFonts w:hint="eastAsia" w:ascii="Times New Roman" w:hAnsi="Times New Roman"/>
                <w:color w:val="auto"/>
                <w:sz w:val="24"/>
                <w:highlight w:val="none"/>
                <w:lang w:val="en-US" w:eastAsia="zh-CN"/>
              </w:rPr>
              <w:t>0</w:t>
            </w:r>
            <w:r>
              <w:rPr>
                <w:rFonts w:ascii="Times New Roman" w:hAnsi="Times New Roman"/>
                <w:color w:val="auto"/>
                <w:sz w:val="24"/>
                <w:highlight w:val="none"/>
              </w:rPr>
              <w:t>。</w:t>
            </w:r>
          </w:p>
          <w:p w14:paraId="25727477">
            <w:pPr>
              <w:pStyle w:val="37"/>
              <w:adjustRightInd/>
              <w:snapToGrid/>
              <w:rPr>
                <w:rFonts w:ascii="Times New Roman" w:hAnsi="Times New Roman"/>
                <w:kern w:val="2"/>
                <w:shd w:val="clear" w:color="auto" w:fill="auto"/>
                <w:lang w:val="en-US"/>
              </w:rPr>
            </w:pPr>
            <w:r>
              <w:rPr>
                <w:rFonts w:ascii="Times New Roman" w:hAnsi="Times New Roman"/>
                <w:kern w:val="2"/>
                <w:shd w:val="clear" w:color="auto" w:fill="auto"/>
                <w:lang w:val="en-US"/>
              </w:rPr>
              <w:t>本区地貌有以平原为主，丘岗嵌于其中。</w:t>
            </w:r>
            <w:r>
              <w:rPr>
                <w:rFonts w:hint="eastAsia" w:ascii="Times New Roman" w:hAnsi="Times New Roman"/>
                <w:kern w:val="2"/>
                <w:shd w:val="clear" w:color="auto" w:fill="auto"/>
                <w:lang w:val="en-US"/>
              </w:rPr>
              <w:t>区</w:t>
            </w:r>
            <w:r>
              <w:rPr>
                <w:rFonts w:ascii="Times New Roman" w:hAnsi="Times New Roman"/>
                <w:kern w:val="2"/>
                <w:shd w:val="clear" w:color="auto" w:fill="auto"/>
                <w:lang w:val="en-US"/>
              </w:rPr>
              <w:t>内工矿与城镇密集，主要安徽省重要工业城市淮南市，本区煤炭远景储量444×10</w:t>
            </w:r>
            <w:r>
              <w:rPr>
                <w:rFonts w:ascii="Times New Roman" w:hAnsi="Times New Roman"/>
                <w:kern w:val="2"/>
                <w:shd w:val="clear" w:color="auto" w:fill="auto"/>
                <w:vertAlign w:val="superscript"/>
                <w:lang w:val="en-US"/>
              </w:rPr>
              <w:t>8</w:t>
            </w:r>
            <w:r>
              <w:rPr>
                <w:rFonts w:ascii="Times New Roman" w:hAnsi="Times New Roman"/>
                <w:kern w:val="2"/>
                <w:shd w:val="clear" w:color="auto" w:fill="auto"/>
                <w:lang w:val="en-US"/>
              </w:rPr>
              <w:t>t，探明储量145×10</w:t>
            </w:r>
            <w:r>
              <w:rPr>
                <w:rFonts w:ascii="Times New Roman" w:hAnsi="Times New Roman"/>
                <w:kern w:val="2"/>
                <w:shd w:val="clear" w:color="auto" w:fill="auto"/>
                <w:vertAlign w:val="superscript"/>
                <w:lang w:val="en-US"/>
              </w:rPr>
              <w:t>8</w:t>
            </w:r>
            <w:r>
              <w:rPr>
                <w:rFonts w:ascii="Times New Roman" w:hAnsi="Times New Roman"/>
                <w:kern w:val="2"/>
                <w:shd w:val="clear" w:color="auto" w:fill="auto"/>
                <w:lang w:val="en-US"/>
              </w:rPr>
              <w:t>t，是全国十大煤田之一，占安徽省储量的63％，且煤质好，煤种多。</w:t>
            </w:r>
          </w:p>
          <w:p w14:paraId="32EACD9A">
            <w:pPr>
              <w:pStyle w:val="37"/>
              <w:adjustRightInd/>
              <w:snapToGrid/>
              <w:rPr>
                <w:rFonts w:ascii="Times New Roman" w:hAnsi="Times New Roman"/>
              </w:rPr>
            </w:pPr>
            <w:r>
              <w:rPr>
                <w:rFonts w:ascii="Times New Roman" w:hAnsi="Times New Roman"/>
              </w:rPr>
              <w:t>本</w:t>
            </w:r>
            <w:r>
              <w:rPr>
                <w:rFonts w:hint="eastAsia" w:ascii="Times New Roman" w:hAnsi="Times New Roman"/>
                <w:lang w:val="en-US"/>
              </w:rPr>
              <w:t>项目</w:t>
            </w:r>
            <w:r>
              <w:rPr>
                <w:rFonts w:ascii="Times New Roman" w:hAnsi="Times New Roman"/>
              </w:rPr>
              <w:t>生态功能区内潴育水稻土、黄潮土和黄褐土广泛分布，在丘岗区有石灰岩土分布，部分地区裸岩出露，石材开采盛行。耕作制度多为一年两熟为主，主要农作物有水稻、小麦等，经济作物有油菜、花生等。丘岗地区分布有地带性天然次生林，主要包括暖温带落叶阔叶林、暖温带针叶林和北亚热带针叶林等。由于农业生产所需要的水土等条件相对较好，本区也是重要的农业生产区，但容易受洪涝等灾害干扰。</w:t>
            </w:r>
          </w:p>
          <w:p w14:paraId="4105028F">
            <w:pPr>
              <w:spacing w:line="360" w:lineRule="auto"/>
              <w:ind w:firstLine="48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w:t>
            </w:r>
            <w:r>
              <w:rPr>
                <w:rFonts w:ascii="Times New Roman" w:hAnsi="Times New Roman" w:eastAsia="宋体" w:cs="Times New Roman"/>
                <w:color w:val="auto"/>
                <w:sz w:val="24"/>
                <w:highlight w:val="none"/>
                <w:lang w:val="zh-CN" w:eastAsia="zh-CN"/>
              </w:rPr>
              <w:t>评价区土地</w:t>
            </w:r>
            <w:r>
              <w:rPr>
                <w:rFonts w:hint="eastAsia" w:ascii="Times New Roman" w:hAnsi="Times New Roman" w:eastAsia="宋体" w:cs="Times New Roman"/>
                <w:color w:val="auto"/>
                <w:sz w:val="24"/>
                <w:highlight w:val="none"/>
                <w:lang w:val="zh-CN" w:eastAsia="zh-CN"/>
              </w:rPr>
              <w:t>利用</w:t>
            </w:r>
            <w:r>
              <w:rPr>
                <w:rFonts w:ascii="Times New Roman" w:hAnsi="Times New Roman" w:eastAsia="宋体" w:cs="Times New Roman"/>
                <w:color w:val="auto"/>
                <w:sz w:val="24"/>
                <w:highlight w:val="none"/>
                <w:lang w:val="zh-CN" w:eastAsia="zh-CN"/>
              </w:rPr>
              <w:t>类型</w:t>
            </w:r>
            <w:r>
              <w:rPr>
                <w:rFonts w:hint="eastAsia" w:ascii="Times New Roman" w:hAnsi="Times New Roman" w:eastAsia="宋体" w:cs="Times New Roman"/>
                <w:color w:val="auto"/>
                <w:sz w:val="24"/>
                <w:highlight w:val="none"/>
                <w:lang w:val="zh-CN" w:eastAsia="zh-CN"/>
              </w:rPr>
              <w:t>现状</w:t>
            </w:r>
            <w:r>
              <w:rPr>
                <w:rFonts w:ascii="Times New Roman" w:hAnsi="Times New Roman" w:eastAsia="宋体" w:cs="Times New Roman"/>
                <w:color w:val="auto"/>
                <w:sz w:val="24"/>
                <w:highlight w:val="none"/>
                <w:lang w:val="zh-CN" w:eastAsia="zh-CN"/>
              </w:rPr>
              <w:t>，结合</w:t>
            </w:r>
            <w:r>
              <w:rPr>
                <w:rFonts w:hint="eastAsia" w:ascii="Times New Roman" w:hAnsi="Times New Roman" w:eastAsia="宋体" w:cs="Times New Roman"/>
                <w:color w:val="auto"/>
                <w:sz w:val="24"/>
                <w:highlight w:val="none"/>
                <w:lang w:val="zh-CN" w:eastAsia="zh-CN"/>
              </w:rPr>
              <w:t>遥感影像数据</w:t>
            </w:r>
            <w:r>
              <w:rPr>
                <w:rFonts w:ascii="Times New Roman" w:hAnsi="Times New Roman" w:eastAsia="宋体" w:cs="Times New Roman"/>
                <w:color w:val="auto"/>
                <w:sz w:val="24"/>
                <w:highlight w:val="none"/>
                <w:lang w:val="zh-CN" w:eastAsia="zh-CN"/>
              </w:rPr>
              <w:t>，将</w:t>
            </w:r>
            <w:r>
              <w:rPr>
                <w:rFonts w:hint="eastAsia" w:ascii="Times New Roman" w:hAnsi="Times New Roman" w:eastAsia="宋体" w:cs="Times New Roman"/>
                <w:color w:val="auto"/>
                <w:sz w:val="24"/>
                <w:highlight w:val="none"/>
                <w:lang w:val="zh-CN" w:eastAsia="zh-CN"/>
              </w:rPr>
              <w:t>评价</w:t>
            </w:r>
            <w:r>
              <w:rPr>
                <w:rFonts w:ascii="Times New Roman" w:hAnsi="Times New Roman" w:eastAsia="宋体" w:cs="Times New Roman"/>
                <w:color w:val="auto"/>
                <w:sz w:val="24"/>
                <w:highlight w:val="none"/>
                <w:lang w:val="zh-CN" w:eastAsia="zh-CN"/>
              </w:rPr>
              <w:t>区域划分为湿地生态系统、农田生态系统和城镇生态系统。生态系统面积统计详见下表</w:t>
            </w:r>
            <w:r>
              <w:rPr>
                <w:rFonts w:hint="eastAsia" w:ascii="Times New Roman" w:hAnsi="Times New Roman" w:eastAsia="宋体" w:cs="Times New Roman"/>
                <w:color w:val="auto"/>
                <w:sz w:val="24"/>
                <w:highlight w:val="none"/>
                <w:lang w:val="zh-CN" w:eastAsia="zh-CN"/>
              </w:rPr>
              <w:t>所示</w:t>
            </w:r>
            <w:r>
              <w:rPr>
                <w:rFonts w:ascii="Times New Roman" w:hAnsi="Times New Roman" w:eastAsia="宋体" w:cs="Times New Roman"/>
                <w:color w:val="auto"/>
                <w:sz w:val="24"/>
                <w:highlight w:val="none"/>
                <w:lang w:val="zh-CN" w:eastAsia="zh-CN"/>
              </w:rPr>
              <w:t>。</w:t>
            </w:r>
          </w:p>
          <w:p w14:paraId="1CAE1F30">
            <w:pPr>
              <w:spacing w:line="360" w:lineRule="auto"/>
              <w:jc w:val="center"/>
              <w:rPr>
                <w:rFonts w:hint="eastAsia" w:ascii="Times New Roman" w:hAnsi="Times New Roman"/>
                <w:b/>
                <w:color w:val="auto"/>
                <w:szCs w:val="21"/>
                <w:lang w:val="zh-CN" w:eastAsia="zh-CN"/>
              </w:rPr>
            </w:pPr>
            <w:r>
              <w:rPr>
                <w:rFonts w:hint="eastAsia" w:ascii="Times New Roman" w:hAnsi="Times New Roman"/>
                <w:b/>
                <w:color w:val="auto"/>
                <w:szCs w:val="21"/>
                <w:lang w:val="en-US" w:eastAsia="zh-CN"/>
              </w:rPr>
              <w:t xml:space="preserve">表3-1  </w:t>
            </w:r>
            <w:r>
              <w:rPr>
                <w:rFonts w:hint="eastAsia" w:ascii="Times New Roman" w:hAnsi="Times New Roman"/>
                <w:b/>
                <w:color w:val="auto"/>
                <w:szCs w:val="21"/>
                <w:lang w:val="zh-CN" w:eastAsia="zh-CN"/>
              </w:rPr>
              <w:t>评价区生态系统现状表</w:t>
            </w:r>
          </w:p>
          <w:tbl>
            <w:tblPr>
              <w:tblStyle w:val="20"/>
              <w:tblW w:w="4998" w:type="pct"/>
              <w:jc w:val="center"/>
              <w:tblLayout w:type="fixed"/>
              <w:tblCellMar>
                <w:top w:w="0" w:type="dxa"/>
                <w:left w:w="108" w:type="dxa"/>
                <w:bottom w:w="0" w:type="dxa"/>
                <w:right w:w="108" w:type="dxa"/>
              </w:tblCellMar>
            </w:tblPr>
            <w:tblGrid>
              <w:gridCol w:w="3024"/>
              <w:gridCol w:w="2393"/>
              <w:gridCol w:w="2511"/>
            </w:tblGrid>
            <w:tr w14:paraId="6BB96056">
              <w:tblPrEx>
                <w:tblCellMar>
                  <w:top w:w="0" w:type="dxa"/>
                  <w:left w:w="108" w:type="dxa"/>
                  <w:bottom w:w="0" w:type="dxa"/>
                  <w:right w:w="108" w:type="dxa"/>
                </w:tblCellMar>
              </w:tblPrEx>
              <w:trPr>
                <w:trHeight w:val="23" w:hRule="atLeast"/>
                <w:jc w:val="center"/>
              </w:trPr>
              <w:tc>
                <w:tcPr>
                  <w:tcW w:w="1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5C08F9">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一级分类</w:t>
                  </w:r>
                </w:p>
              </w:tc>
              <w:tc>
                <w:tcPr>
                  <w:tcW w:w="1508" w:type="pct"/>
                  <w:tcBorders>
                    <w:top w:val="single" w:color="auto" w:sz="4" w:space="0"/>
                    <w:left w:val="nil"/>
                    <w:bottom w:val="single" w:color="auto" w:sz="4" w:space="0"/>
                    <w:right w:val="single" w:color="auto" w:sz="4" w:space="0"/>
                  </w:tcBorders>
                  <w:shd w:val="clear" w:color="auto" w:fill="auto"/>
                  <w:noWrap/>
                  <w:vAlign w:val="center"/>
                </w:tcPr>
                <w:p w14:paraId="4AE96E26">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面积</w:t>
                  </w:r>
                  <w:r>
                    <w:rPr>
                      <w:rFonts w:hint="default" w:ascii="Times New Roman" w:hAnsi="Times New Roman" w:eastAsia="宋体" w:cs="宋体"/>
                      <w:i w:val="0"/>
                      <w:iCs w:val="0"/>
                      <w:color w:val="auto"/>
                      <w:kern w:val="0"/>
                      <w:sz w:val="21"/>
                      <w:szCs w:val="21"/>
                      <w:u w:val="none"/>
                      <w:lang w:val="en-US" w:eastAsia="zh-CN" w:bidi="ar"/>
                    </w:rPr>
                    <w:t>（</w:t>
                  </w:r>
                  <w:r>
                    <w:rPr>
                      <w:rFonts w:hint="eastAsia" w:ascii="Times New Roman" w:hAnsi="Times New Roman" w:eastAsia="宋体" w:cs="宋体"/>
                      <w:i w:val="0"/>
                      <w:iCs w:val="0"/>
                      <w:color w:val="auto"/>
                      <w:kern w:val="0"/>
                      <w:sz w:val="21"/>
                      <w:szCs w:val="21"/>
                      <w:u w:val="none"/>
                      <w:lang w:val="en-US" w:eastAsia="zh-CN" w:bidi="ar"/>
                    </w:rPr>
                    <w:t>m</w:t>
                  </w:r>
                  <w:r>
                    <w:rPr>
                      <w:rFonts w:hint="eastAsia" w:ascii="Times New Roman" w:hAnsi="Times New Roman" w:eastAsia="宋体" w:cs="宋体"/>
                      <w:i w:val="0"/>
                      <w:iCs w:val="0"/>
                      <w:color w:val="auto"/>
                      <w:kern w:val="0"/>
                      <w:sz w:val="21"/>
                      <w:szCs w:val="21"/>
                      <w:u w:val="none"/>
                      <w:vertAlign w:val="superscript"/>
                      <w:lang w:val="en-US" w:eastAsia="zh-CN" w:bidi="ar"/>
                    </w:rPr>
                    <w:t>2</w:t>
                  </w:r>
                  <w:r>
                    <w:rPr>
                      <w:rFonts w:hint="default" w:ascii="Times New Roman" w:hAnsi="Times New Roman" w:eastAsia="宋体" w:cs="宋体"/>
                      <w:i w:val="0"/>
                      <w:iCs w:val="0"/>
                      <w:color w:val="auto"/>
                      <w:kern w:val="0"/>
                      <w:sz w:val="21"/>
                      <w:szCs w:val="21"/>
                      <w:u w:val="none"/>
                      <w:lang w:val="en-US" w:eastAsia="zh-CN" w:bidi="ar"/>
                    </w:rPr>
                    <w:t>）</w:t>
                  </w:r>
                </w:p>
              </w:tc>
              <w:tc>
                <w:tcPr>
                  <w:tcW w:w="1583" w:type="pct"/>
                  <w:tcBorders>
                    <w:top w:val="single" w:color="auto" w:sz="4" w:space="0"/>
                    <w:left w:val="nil"/>
                    <w:bottom w:val="single" w:color="auto" w:sz="4" w:space="0"/>
                    <w:right w:val="single" w:color="auto" w:sz="4" w:space="0"/>
                  </w:tcBorders>
                  <w:shd w:val="clear" w:color="auto" w:fill="auto"/>
                  <w:noWrap/>
                  <w:vAlign w:val="center"/>
                </w:tcPr>
                <w:p w14:paraId="78338670">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占比</w:t>
                  </w:r>
                  <w:r>
                    <w:rPr>
                      <w:rFonts w:hint="default" w:ascii="Times New Roman" w:hAnsi="Times New Roman" w:eastAsia="宋体" w:cs="宋体"/>
                      <w:i w:val="0"/>
                      <w:iCs w:val="0"/>
                      <w:color w:val="auto"/>
                      <w:kern w:val="0"/>
                      <w:sz w:val="21"/>
                      <w:szCs w:val="21"/>
                      <w:u w:val="none"/>
                      <w:lang w:val="en-US" w:eastAsia="zh-CN" w:bidi="ar"/>
                    </w:rPr>
                    <w:t>%</w:t>
                  </w:r>
                </w:p>
              </w:tc>
            </w:tr>
            <w:tr w14:paraId="36073313">
              <w:tblPrEx>
                <w:tblCellMar>
                  <w:top w:w="0" w:type="dxa"/>
                  <w:left w:w="108" w:type="dxa"/>
                  <w:bottom w:w="0" w:type="dxa"/>
                  <w:right w:w="108" w:type="dxa"/>
                </w:tblCellMar>
              </w:tblPrEx>
              <w:trPr>
                <w:trHeight w:val="23" w:hRule="atLeast"/>
                <w:jc w:val="center"/>
              </w:trPr>
              <w:tc>
                <w:tcPr>
                  <w:tcW w:w="3024" w:type="dxa"/>
                  <w:tcBorders>
                    <w:top w:val="nil"/>
                    <w:left w:val="single" w:color="auto" w:sz="4" w:space="0"/>
                    <w:bottom w:val="single" w:color="auto" w:sz="4" w:space="0"/>
                    <w:right w:val="single" w:color="auto" w:sz="4" w:space="0"/>
                  </w:tcBorders>
                  <w:shd w:val="clear" w:color="auto" w:fill="auto"/>
                  <w:noWrap/>
                  <w:vAlign w:val="center"/>
                </w:tcPr>
                <w:p w14:paraId="41B1A194">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农田生态系统</w:t>
                  </w:r>
                </w:p>
              </w:tc>
              <w:tc>
                <w:tcPr>
                  <w:tcW w:w="2392" w:type="dxa"/>
                  <w:tcBorders>
                    <w:top w:val="nil"/>
                    <w:left w:val="nil"/>
                    <w:bottom w:val="single" w:color="auto" w:sz="4" w:space="0"/>
                    <w:right w:val="single" w:color="auto" w:sz="4" w:space="0"/>
                  </w:tcBorders>
                  <w:shd w:val="clear" w:color="auto" w:fill="auto"/>
                  <w:noWrap/>
                  <w:vAlign w:val="center"/>
                </w:tcPr>
                <w:p w14:paraId="09D5EB12">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208623</w:t>
                  </w:r>
                </w:p>
              </w:tc>
              <w:tc>
                <w:tcPr>
                  <w:tcW w:w="2511" w:type="dxa"/>
                  <w:tcBorders>
                    <w:top w:val="nil"/>
                    <w:left w:val="nil"/>
                    <w:bottom w:val="single" w:color="auto" w:sz="4" w:space="0"/>
                    <w:right w:val="single" w:color="auto" w:sz="4" w:space="0"/>
                  </w:tcBorders>
                  <w:shd w:val="clear" w:color="auto" w:fill="auto"/>
                  <w:noWrap/>
                  <w:vAlign w:val="center"/>
                </w:tcPr>
                <w:p w14:paraId="6EA7CA42">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63.8</w:t>
                  </w:r>
                </w:p>
              </w:tc>
            </w:tr>
            <w:tr w14:paraId="5FC8DB59">
              <w:tblPrEx>
                <w:tblCellMar>
                  <w:top w:w="0" w:type="dxa"/>
                  <w:left w:w="108" w:type="dxa"/>
                  <w:bottom w:w="0" w:type="dxa"/>
                  <w:right w:w="108" w:type="dxa"/>
                </w:tblCellMar>
              </w:tblPrEx>
              <w:trPr>
                <w:trHeight w:val="23" w:hRule="atLeast"/>
                <w:jc w:val="center"/>
              </w:trPr>
              <w:tc>
                <w:tcPr>
                  <w:tcW w:w="3024" w:type="dxa"/>
                  <w:tcBorders>
                    <w:top w:val="nil"/>
                    <w:left w:val="single" w:color="auto" w:sz="4" w:space="0"/>
                    <w:bottom w:val="single" w:color="auto" w:sz="4" w:space="0"/>
                    <w:right w:val="single" w:color="auto" w:sz="4" w:space="0"/>
                  </w:tcBorders>
                  <w:shd w:val="clear" w:color="auto" w:fill="auto"/>
                  <w:noWrap/>
                  <w:vAlign w:val="center"/>
                </w:tcPr>
                <w:p w14:paraId="4D3F255C">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湿地生态系统</w:t>
                  </w:r>
                </w:p>
              </w:tc>
              <w:tc>
                <w:tcPr>
                  <w:tcW w:w="2392" w:type="dxa"/>
                  <w:tcBorders>
                    <w:top w:val="nil"/>
                    <w:left w:val="nil"/>
                    <w:bottom w:val="single" w:color="auto" w:sz="4" w:space="0"/>
                    <w:right w:val="single" w:color="auto" w:sz="4" w:space="0"/>
                  </w:tcBorders>
                  <w:shd w:val="clear" w:color="auto" w:fill="auto"/>
                  <w:noWrap/>
                  <w:vAlign w:val="center"/>
                </w:tcPr>
                <w:p w14:paraId="3C0A9529">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59344.8</w:t>
                  </w:r>
                </w:p>
              </w:tc>
              <w:tc>
                <w:tcPr>
                  <w:tcW w:w="2511" w:type="dxa"/>
                  <w:tcBorders>
                    <w:top w:val="nil"/>
                    <w:left w:val="nil"/>
                    <w:bottom w:val="single" w:color="auto" w:sz="4" w:space="0"/>
                    <w:right w:val="single" w:color="auto" w:sz="4" w:space="0"/>
                  </w:tcBorders>
                  <w:shd w:val="clear" w:color="auto" w:fill="auto"/>
                  <w:noWrap/>
                  <w:vAlign w:val="center"/>
                </w:tcPr>
                <w:p w14:paraId="7D091072">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18.2</w:t>
                  </w:r>
                </w:p>
              </w:tc>
            </w:tr>
            <w:tr w14:paraId="526FBB2A">
              <w:tblPrEx>
                <w:tblCellMar>
                  <w:top w:w="0" w:type="dxa"/>
                  <w:left w:w="108" w:type="dxa"/>
                  <w:bottom w:w="0" w:type="dxa"/>
                  <w:right w:w="108" w:type="dxa"/>
                </w:tblCellMar>
              </w:tblPrEx>
              <w:trPr>
                <w:trHeight w:val="23" w:hRule="atLeast"/>
                <w:jc w:val="center"/>
              </w:trPr>
              <w:tc>
                <w:tcPr>
                  <w:tcW w:w="3024" w:type="dxa"/>
                  <w:tcBorders>
                    <w:top w:val="nil"/>
                    <w:left w:val="single" w:color="auto" w:sz="4" w:space="0"/>
                    <w:bottom w:val="single" w:color="auto" w:sz="4" w:space="0"/>
                    <w:right w:val="single" w:color="auto" w:sz="4" w:space="0"/>
                  </w:tcBorders>
                  <w:shd w:val="clear" w:color="auto" w:fill="auto"/>
                  <w:noWrap/>
                  <w:vAlign w:val="center"/>
                </w:tcPr>
                <w:p w14:paraId="1E97A67A">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森林生态系统</w:t>
                  </w:r>
                </w:p>
              </w:tc>
              <w:tc>
                <w:tcPr>
                  <w:tcW w:w="2392" w:type="dxa"/>
                  <w:tcBorders>
                    <w:top w:val="nil"/>
                    <w:left w:val="nil"/>
                    <w:bottom w:val="single" w:color="auto" w:sz="4" w:space="0"/>
                    <w:right w:val="single" w:color="auto" w:sz="4" w:space="0"/>
                  </w:tcBorders>
                  <w:shd w:val="clear" w:color="auto" w:fill="auto"/>
                  <w:noWrap/>
                  <w:vAlign w:val="center"/>
                </w:tcPr>
                <w:p w14:paraId="30DD2EF5">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901.4</w:t>
                  </w:r>
                </w:p>
              </w:tc>
              <w:tc>
                <w:tcPr>
                  <w:tcW w:w="2511" w:type="dxa"/>
                  <w:tcBorders>
                    <w:top w:val="nil"/>
                    <w:left w:val="nil"/>
                    <w:bottom w:val="single" w:color="auto" w:sz="4" w:space="0"/>
                    <w:right w:val="single" w:color="auto" w:sz="4" w:space="0"/>
                  </w:tcBorders>
                  <w:shd w:val="clear" w:color="auto" w:fill="auto"/>
                  <w:noWrap/>
                  <w:vAlign w:val="center"/>
                </w:tcPr>
                <w:p w14:paraId="305F4891">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0.276</w:t>
                  </w:r>
                </w:p>
              </w:tc>
            </w:tr>
            <w:tr w14:paraId="254233E4">
              <w:tblPrEx>
                <w:tblCellMar>
                  <w:top w:w="0" w:type="dxa"/>
                  <w:left w:w="108" w:type="dxa"/>
                  <w:bottom w:w="0" w:type="dxa"/>
                  <w:right w:w="108" w:type="dxa"/>
                </w:tblCellMar>
              </w:tblPrEx>
              <w:trPr>
                <w:trHeight w:val="23" w:hRule="atLeast"/>
                <w:jc w:val="center"/>
              </w:trPr>
              <w:tc>
                <w:tcPr>
                  <w:tcW w:w="3024" w:type="dxa"/>
                  <w:tcBorders>
                    <w:top w:val="nil"/>
                    <w:left w:val="single" w:color="auto" w:sz="4" w:space="0"/>
                    <w:bottom w:val="single" w:color="auto" w:sz="4" w:space="0"/>
                    <w:right w:val="single" w:color="auto" w:sz="4" w:space="0"/>
                  </w:tcBorders>
                  <w:shd w:val="clear" w:color="auto" w:fill="auto"/>
                  <w:noWrap/>
                  <w:vAlign w:val="center"/>
                </w:tcPr>
                <w:p w14:paraId="53E8A0D8">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城镇生态系统</w:t>
                  </w:r>
                </w:p>
              </w:tc>
              <w:tc>
                <w:tcPr>
                  <w:tcW w:w="2392" w:type="dxa"/>
                  <w:tcBorders>
                    <w:top w:val="nil"/>
                    <w:left w:val="nil"/>
                    <w:bottom w:val="single" w:color="auto" w:sz="4" w:space="0"/>
                    <w:right w:val="single" w:color="auto" w:sz="4" w:space="0"/>
                  </w:tcBorders>
                  <w:shd w:val="clear" w:color="auto" w:fill="auto"/>
                  <w:noWrap/>
                  <w:vAlign w:val="center"/>
                </w:tcPr>
                <w:p w14:paraId="7B2701F7">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58008.3</w:t>
                  </w:r>
                </w:p>
              </w:tc>
              <w:tc>
                <w:tcPr>
                  <w:tcW w:w="2511" w:type="dxa"/>
                  <w:tcBorders>
                    <w:top w:val="nil"/>
                    <w:left w:val="nil"/>
                    <w:bottom w:val="single" w:color="auto" w:sz="4" w:space="0"/>
                    <w:right w:val="single" w:color="auto" w:sz="4" w:space="0"/>
                  </w:tcBorders>
                  <w:shd w:val="clear" w:color="auto" w:fill="auto"/>
                  <w:noWrap/>
                  <w:vAlign w:val="center"/>
                </w:tcPr>
                <w:p w14:paraId="39287846">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17.7</w:t>
                  </w:r>
                </w:p>
              </w:tc>
            </w:tr>
            <w:tr w14:paraId="7B062E5A">
              <w:tblPrEx>
                <w:tblCellMar>
                  <w:top w:w="0" w:type="dxa"/>
                  <w:left w:w="108" w:type="dxa"/>
                  <w:bottom w:w="0" w:type="dxa"/>
                  <w:right w:w="108" w:type="dxa"/>
                </w:tblCellMar>
              </w:tblPrEx>
              <w:trPr>
                <w:trHeight w:val="23" w:hRule="atLeast"/>
                <w:jc w:val="center"/>
              </w:trPr>
              <w:tc>
                <w:tcPr>
                  <w:tcW w:w="3024" w:type="dxa"/>
                  <w:tcBorders>
                    <w:top w:val="nil"/>
                    <w:left w:val="single" w:color="auto" w:sz="4" w:space="0"/>
                    <w:bottom w:val="single" w:color="auto" w:sz="4" w:space="0"/>
                    <w:right w:val="single" w:color="auto" w:sz="4" w:space="0"/>
                  </w:tcBorders>
                  <w:shd w:val="clear" w:color="auto" w:fill="auto"/>
                  <w:noWrap/>
                  <w:vAlign w:val="center"/>
                </w:tcPr>
                <w:p w14:paraId="236C27F4">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合计</w:t>
                  </w:r>
                </w:p>
              </w:tc>
              <w:tc>
                <w:tcPr>
                  <w:tcW w:w="2392" w:type="dxa"/>
                  <w:tcBorders>
                    <w:top w:val="nil"/>
                    <w:left w:val="nil"/>
                    <w:bottom w:val="single" w:color="auto" w:sz="4" w:space="0"/>
                    <w:right w:val="single" w:color="auto" w:sz="4" w:space="0"/>
                  </w:tcBorders>
                  <w:shd w:val="clear" w:color="auto" w:fill="auto"/>
                  <w:noWrap/>
                  <w:vAlign w:val="center"/>
                </w:tcPr>
                <w:p w14:paraId="1D972DD3">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326877.5</w:t>
                  </w:r>
                </w:p>
              </w:tc>
              <w:tc>
                <w:tcPr>
                  <w:tcW w:w="2511" w:type="dxa"/>
                  <w:tcBorders>
                    <w:top w:val="nil"/>
                    <w:left w:val="nil"/>
                    <w:bottom w:val="single" w:color="auto" w:sz="4" w:space="0"/>
                    <w:right w:val="single" w:color="auto" w:sz="4" w:space="0"/>
                  </w:tcBorders>
                  <w:shd w:val="clear" w:color="auto" w:fill="auto"/>
                  <w:noWrap/>
                  <w:vAlign w:val="center"/>
                </w:tcPr>
                <w:p w14:paraId="4BC5B6E4">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100</w:t>
                  </w:r>
                </w:p>
              </w:tc>
            </w:tr>
          </w:tbl>
          <w:p w14:paraId="74DE54A6">
            <w:pPr>
              <w:pStyle w:val="13"/>
              <w:snapToGrid/>
              <w:spacing w:line="360" w:lineRule="auto"/>
              <w:ind w:firstLine="480" w:firstLineChars="200"/>
              <w:rPr>
                <w:rFonts w:ascii="Times New Roman" w:hAnsi="Times New Roman"/>
                <w:color w:val="auto"/>
                <w:sz w:val="24"/>
              </w:rPr>
            </w:pPr>
            <w:r>
              <w:rPr>
                <w:rFonts w:ascii="Times New Roman" w:hAnsi="Times New Roman"/>
                <w:color w:val="auto"/>
                <w:sz w:val="24"/>
              </w:rPr>
              <w:t>（3）土地利用情况</w:t>
            </w:r>
          </w:p>
          <w:p w14:paraId="10625DFE">
            <w:pPr>
              <w:pStyle w:val="28"/>
              <w:adjustRightInd/>
              <w:spacing w:line="360" w:lineRule="auto"/>
              <w:ind w:firstLine="480" w:firstLineChars="200"/>
              <w:jc w:val="both"/>
              <w:rPr>
                <w:rFonts w:hint="default" w:ascii="Times New Roman" w:hAnsi="Times New Roman" w:eastAsia="宋体"/>
                <w:color w:val="auto"/>
                <w:lang w:val="en-US" w:eastAsia="zh-CN"/>
              </w:rPr>
            </w:pPr>
            <w:r>
              <w:rPr>
                <w:rFonts w:hint="eastAsia" w:ascii="Times New Roman" w:hAnsi="Times New Roman"/>
                <w:color w:val="auto"/>
              </w:rPr>
              <w:t>本项目为盾构机探查钻孔</w:t>
            </w:r>
            <w:r>
              <w:rPr>
                <w:rFonts w:hint="eastAsia" w:ascii="Times New Roman" w:hAnsi="Times New Roman"/>
                <w:color w:val="auto"/>
                <w:lang w:val="en-US" w:eastAsia="zh-CN"/>
              </w:rPr>
              <w:t>项目</w:t>
            </w:r>
            <w:r>
              <w:rPr>
                <w:rFonts w:hint="eastAsia" w:ascii="Times New Roman" w:hAnsi="Times New Roman"/>
                <w:color w:val="auto"/>
              </w:rPr>
              <w:t>，属于地质勘查技术服务项目，临时用地面积为</w:t>
            </w:r>
            <w:r>
              <w:rPr>
                <w:rFonts w:hint="eastAsia" w:ascii="Times New Roman" w:hAnsi="Times New Roman"/>
                <w:color w:val="auto"/>
                <w:lang w:eastAsia="zh-CN"/>
              </w:rPr>
              <w:t>1797</w:t>
            </w:r>
            <w:r>
              <w:rPr>
                <w:rFonts w:hint="eastAsia" w:ascii="Times New Roman" w:hAnsi="Times New Roman"/>
                <w:color w:val="auto"/>
              </w:rPr>
              <w:t>m</w:t>
            </w:r>
            <w:r>
              <w:rPr>
                <w:rFonts w:hint="eastAsia" w:ascii="Times New Roman" w:hAnsi="Times New Roman"/>
                <w:color w:val="auto"/>
                <w:vertAlign w:val="superscript"/>
              </w:rPr>
              <w:t>2</w:t>
            </w:r>
            <w:r>
              <w:rPr>
                <w:rFonts w:hint="eastAsia" w:ascii="Times New Roman" w:hAnsi="Times New Roman"/>
                <w:color w:val="auto"/>
              </w:rPr>
              <w:t>，用地时间预计为</w:t>
            </w:r>
            <w:r>
              <w:rPr>
                <w:rFonts w:hint="eastAsia" w:ascii="Times New Roman" w:hAnsi="Times New Roman"/>
                <w:color w:val="auto"/>
                <w:lang w:val="en-US" w:eastAsia="zh-CN"/>
              </w:rPr>
              <w:t>6</w:t>
            </w:r>
            <w:r>
              <w:rPr>
                <w:rFonts w:hint="eastAsia" w:ascii="Times New Roman" w:hAnsi="Times New Roman"/>
                <w:color w:val="auto"/>
              </w:rPr>
              <w:t>个月。中安联合煤化有限责任公司委托施工单位淮北工程勘察院有限公司办理了项目临时用地相关手续。项目租用安徽省淮南市</w:t>
            </w:r>
            <w:r>
              <w:rPr>
                <w:rFonts w:hint="eastAsia" w:ascii="Times New Roman" w:hAnsi="Times New Roman"/>
                <w:color w:val="auto"/>
                <w:lang w:eastAsia="zh-CN"/>
              </w:rPr>
              <w:t>凤台县大兴镇</w:t>
            </w:r>
            <w:r>
              <w:rPr>
                <w:rFonts w:hint="eastAsia" w:ascii="Times New Roman" w:hAnsi="Times New Roman"/>
                <w:color w:val="auto"/>
              </w:rPr>
              <w:t>境内的土地作为本项目的临时建设用地。</w:t>
            </w:r>
            <w:r>
              <w:rPr>
                <w:rFonts w:hint="eastAsia" w:ascii="Times New Roman" w:hAnsi="Times New Roman"/>
                <w:color w:val="auto"/>
                <w:lang w:val="en-US" w:eastAsia="zh-CN"/>
              </w:rPr>
              <w:t>本项目评价范围内土地利用现状图详见附图，评价区内主要为农村宅基地、水田、旱地、道路等。</w:t>
            </w:r>
          </w:p>
          <w:p w14:paraId="03203949">
            <w:pPr>
              <w:spacing w:line="360" w:lineRule="auto"/>
              <w:jc w:val="center"/>
              <w:rPr>
                <w:rFonts w:hint="eastAsia" w:ascii="Times New Roman" w:hAnsi="Times New Roman"/>
                <w:b/>
                <w:color w:val="auto"/>
                <w:szCs w:val="21"/>
                <w:lang w:val="en-US" w:eastAsia="zh-CN"/>
              </w:rPr>
            </w:pPr>
            <w:r>
              <w:rPr>
                <w:rFonts w:hint="eastAsia" w:ascii="Times New Roman" w:hAnsi="Times New Roman"/>
                <w:b/>
                <w:color w:val="auto"/>
                <w:szCs w:val="21"/>
                <w:lang w:val="en-US" w:eastAsia="zh-CN"/>
              </w:rPr>
              <w:t>表3-2  本项目评价区域土地利用现状</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3"/>
              <w:gridCol w:w="1842"/>
              <w:gridCol w:w="2402"/>
            </w:tblGrid>
            <w:tr w14:paraId="6D70E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20" w:type="pct"/>
                  <w:shd w:val="clear" w:color="auto" w:fill="auto"/>
                  <w:noWrap/>
                  <w:vAlign w:val="center"/>
                </w:tcPr>
                <w:p w14:paraId="42ED20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地类名称</w:t>
                  </w:r>
                </w:p>
              </w:tc>
              <w:tc>
                <w:tcPr>
                  <w:tcW w:w="1163" w:type="pct"/>
                  <w:shd w:val="clear" w:color="auto" w:fill="auto"/>
                  <w:noWrap/>
                  <w:vAlign w:val="center"/>
                </w:tcPr>
                <w:p w14:paraId="34DF41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面积（m</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w:t>
                  </w:r>
                </w:p>
              </w:tc>
              <w:tc>
                <w:tcPr>
                  <w:tcW w:w="1516" w:type="pct"/>
                  <w:shd w:val="clear" w:color="auto" w:fill="auto"/>
                  <w:noWrap/>
                  <w:vAlign w:val="center"/>
                </w:tcPr>
                <w:p w14:paraId="73E32E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面积占比（</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w:t>
                  </w:r>
                </w:p>
              </w:tc>
            </w:tr>
            <w:tr w14:paraId="0E96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74" w:type="dxa"/>
                  <w:shd w:val="clear" w:color="auto" w:fill="auto"/>
                  <w:noWrap/>
                  <w:vAlign w:val="center"/>
                </w:tcPr>
                <w:p w14:paraId="2026AE7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i w:val="0"/>
                      <w:iCs w:val="0"/>
                      <w:color w:val="auto"/>
                      <w:kern w:val="0"/>
                      <w:sz w:val="21"/>
                      <w:szCs w:val="21"/>
                      <w:u w:val="none"/>
                      <w:lang w:val="en-US" w:eastAsia="zh-CN" w:bidi="ar"/>
                    </w:rPr>
                    <w:t>农村宅基地</w:t>
                  </w:r>
                </w:p>
              </w:tc>
              <w:tc>
                <w:tcPr>
                  <w:tcW w:w="1842" w:type="dxa"/>
                  <w:shd w:val="clear" w:color="auto" w:fill="auto"/>
                  <w:noWrap/>
                  <w:vAlign w:val="center"/>
                </w:tcPr>
                <w:p w14:paraId="2E11469F">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i w:val="0"/>
                      <w:iCs w:val="0"/>
                      <w:color w:val="auto"/>
                      <w:kern w:val="0"/>
                      <w:sz w:val="21"/>
                      <w:szCs w:val="21"/>
                      <w:u w:val="none"/>
                      <w:lang w:val="en-US" w:eastAsia="zh-CN" w:bidi="ar"/>
                    </w:rPr>
                    <w:t>47822.3</w:t>
                  </w:r>
                </w:p>
              </w:tc>
              <w:tc>
                <w:tcPr>
                  <w:tcW w:w="2401" w:type="dxa"/>
                  <w:shd w:val="clear" w:color="auto" w:fill="auto"/>
                  <w:noWrap/>
                  <w:vAlign w:val="center"/>
                </w:tcPr>
                <w:p w14:paraId="67CF164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14.6</w:t>
                  </w:r>
                </w:p>
              </w:tc>
            </w:tr>
            <w:tr w14:paraId="6D19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74" w:type="dxa"/>
                  <w:shd w:val="clear" w:color="auto" w:fill="auto"/>
                  <w:noWrap/>
                  <w:vAlign w:val="center"/>
                </w:tcPr>
                <w:p w14:paraId="43308C8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沟渠</w:t>
                  </w:r>
                </w:p>
              </w:tc>
              <w:tc>
                <w:tcPr>
                  <w:tcW w:w="1842" w:type="dxa"/>
                  <w:shd w:val="clear" w:color="auto" w:fill="auto"/>
                  <w:noWrap/>
                  <w:vAlign w:val="center"/>
                </w:tcPr>
                <w:p w14:paraId="58AD0C3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i w:val="0"/>
                      <w:iCs w:val="0"/>
                      <w:color w:val="auto"/>
                      <w:kern w:val="0"/>
                      <w:sz w:val="21"/>
                      <w:szCs w:val="21"/>
                      <w:u w:val="none"/>
                      <w:lang w:val="en-US" w:eastAsia="zh-CN" w:bidi="ar"/>
                    </w:rPr>
                    <w:t>30876.4</w:t>
                  </w:r>
                </w:p>
              </w:tc>
              <w:tc>
                <w:tcPr>
                  <w:tcW w:w="2401" w:type="dxa"/>
                  <w:shd w:val="clear" w:color="auto" w:fill="auto"/>
                  <w:noWrap/>
                  <w:vAlign w:val="center"/>
                </w:tcPr>
                <w:p w14:paraId="01BA8F53">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9.45</w:t>
                  </w:r>
                </w:p>
              </w:tc>
            </w:tr>
            <w:tr w14:paraId="2B41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74" w:type="dxa"/>
                  <w:shd w:val="clear" w:color="auto" w:fill="auto"/>
                  <w:noWrap/>
                  <w:vAlign w:val="center"/>
                </w:tcPr>
                <w:p w14:paraId="735B54A1">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水田</w:t>
                  </w:r>
                </w:p>
              </w:tc>
              <w:tc>
                <w:tcPr>
                  <w:tcW w:w="1842" w:type="dxa"/>
                  <w:shd w:val="clear" w:color="auto" w:fill="auto"/>
                  <w:noWrap/>
                  <w:vAlign w:val="center"/>
                </w:tcPr>
                <w:p w14:paraId="66179746">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i w:val="0"/>
                      <w:iCs w:val="0"/>
                      <w:color w:val="auto"/>
                      <w:kern w:val="0"/>
                      <w:sz w:val="21"/>
                      <w:szCs w:val="21"/>
                      <w:u w:val="none"/>
                      <w:lang w:val="en-US" w:eastAsia="zh-CN" w:bidi="ar"/>
                    </w:rPr>
                    <w:t>206377.7</w:t>
                  </w:r>
                </w:p>
              </w:tc>
              <w:tc>
                <w:tcPr>
                  <w:tcW w:w="2401" w:type="dxa"/>
                  <w:shd w:val="clear" w:color="auto" w:fill="auto"/>
                  <w:noWrap/>
                  <w:vAlign w:val="center"/>
                </w:tcPr>
                <w:p w14:paraId="321358C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63.1</w:t>
                  </w:r>
                </w:p>
              </w:tc>
            </w:tr>
            <w:tr w14:paraId="46FF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74" w:type="dxa"/>
                  <w:shd w:val="clear" w:color="auto" w:fill="auto"/>
                  <w:noWrap/>
                  <w:vAlign w:val="center"/>
                </w:tcPr>
                <w:p w14:paraId="16DF91D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i w:val="0"/>
                      <w:iCs w:val="0"/>
                      <w:color w:val="auto"/>
                      <w:kern w:val="0"/>
                      <w:sz w:val="21"/>
                      <w:szCs w:val="21"/>
                      <w:u w:val="none"/>
                      <w:lang w:val="en-US" w:eastAsia="zh-CN" w:bidi="ar"/>
                    </w:rPr>
                    <w:t>设施农用地</w:t>
                  </w:r>
                </w:p>
              </w:tc>
              <w:tc>
                <w:tcPr>
                  <w:tcW w:w="1842" w:type="dxa"/>
                  <w:shd w:val="clear" w:color="auto" w:fill="auto"/>
                  <w:noWrap/>
                  <w:vAlign w:val="center"/>
                </w:tcPr>
                <w:p w14:paraId="5F4480CB">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i w:val="0"/>
                      <w:iCs w:val="0"/>
                      <w:color w:val="auto"/>
                      <w:kern w:val="0"/>
                      <w:sz w:val="21"/>
                      <w:szCs w:val="21"/>
                      <w:u w:val="none"/>
                      <w:lang w:val="en-US" w:eastAsia="zh-CN" w:bidi="ar"/>
                    </w:rPr>
                    <w:t>108.2</w:t>
                  </w:r>
                </w:p>
              </w:tc>
              <w:tc>
                <w:tcPr>
                  <w:tcW w:w="2401" w:type="dxa"/>
                  <w:shd w:val="clear" w:color="auto" w:fill="auto"/>
                  <w:noWrap/>
                  <w:vAlign w:val="center"/>
                </w:tcPr>
                <w:p w14:paraId="620DD05F">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0.033</w:t>
                  </w:r>
                </w:p>
              </w:tc>
            </w:tr>
            <w:tr w14:paraId="6792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74" w:type="dxa"/>
                  <w:shd w:val="clear" w:color="auto" w:fill="auto"/>
                  <w:noWrap/>
                  <w:vAlign w:val="center"/>
                </w:tcPr>
                <w:p w14:paraId="48F9C1D1">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乔木林地</w:t>
                  </w:r>
                </w:p>
              </w:tc>
              <w:tc>
                <w:tcPr>
                  <w:tcW w:w="1842" w:type="dxa"/>
                  <w:shd w:val="clear" w:color="auto" w:fill="auto"/>
                  <w:noWrap/>
                  <w:vAlign w:val="center"/>
                </w:tcPr>
                <w:p w14:paraId="30586891">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901.4</w:t>
                  </w:r>
                </w:p>
              </w:tc>
              <w:tc>
                <w:tcPr>
                  <w:tcW w:w="2401" w:type="dxa"/>
                  <w:shd w:val="clear" w:color="auto" w:fill="auto"/>
                  <w:noWrap/>
                  <w:vAlign w:val="center"/>
                </w:tcPr>
                <w:p w14:paraId="4AB046A3">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0.276</w:t>
                  </w:r>
                </w:p>
              </w:tc>
            </w:tr>
            <w:tr w14:paraId="17288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74" w:type="dxa"/>
                  <w:shd w:val="clear" w:color="auto" w:fill="auto"/>
                  <w:noWrap/>
                  <w:vAlign w:val="center"/>
                </w:tcPr>
                <w:p w14:paraId="00C5DC72">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农村道路</w:t>
                  </w:r>
                </w:p>
              </w:tc>
              <w:tc>
                <w:tcPr>
                  <w:tcW w:w="1842" w:type="dxa"/>
                  <w:shd w:val="clear" w:color="auto" w:fill="auto"/>
                  <w:noWrap/>
                  <w:vAlign w:val="center"/>
                </w:tcPr>
                <w:p w14:paraId="57A645F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7982.1</w:t>
                  </w:r>
                </w:p>
              </w:tc>
              <w:tc>
                <w:tcPr>
                  <w:tcW w:w="2401" w:type="dxa"/>
                  <w:shd w:val="clear" w:color="auto" w:fill="auto"/>
                  <w:noWrap/>
                  <w:vAlign w:val="center"/>
                </w:tcPr>
                <w:p w14:paraId="20D7F040">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2.44</w:t>
                  </w:r>
                </w:p>
              </w:tc>
            </w:tr>
            <w:tr w14:paraId="61C4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74" w:type="dxa"/>
                  <w:shd w:val="clear" w:color="auto" w:fill="auto"/>
                  <w:noWrap/>
                  <w:vAlign w:val="center"/>
                </w:tcPr>
                <w:p w14:paraId="098E2580">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坑塘水面</w:t>
                  </w:r>
                </w:p>
              </w:tc>
              <w:tc>
                <w:tcPr>
                  <w:tcW w:w="1842" w:type="dxa"/>
                  <w:shd w:val="clear" w:color="auto" w:fill="auto"/>
                  <w:noWrap/>
                  <w:vAlign w:val="center"/>
                </w:tcPr>
                <w:p w14:paraId="6A82D56B">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28468.4</w:t>
                  </w:r>
                </w:p>
              </w:tc>
              <w:tc>
                <w:tcPr>
                  <w:tcW w:w="2401" w:type="dxa"/>
                  <w:shd w:val="clear" w:color="auto" w:fill="auto"/>
                  <w:noWrap/>
                  <w:vAlign w:val="center"/>
                </w:tcPr>
                <w:p w14:paraId="384247AF">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8.71</w:t>
                  </w:r>
                </w:p>
              </w:tc>
            </w:tr>
            <w:tr w14:paraId="75869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74" w:type="dxa"/>
                  <w:shd w:val="clear" w:color="auto" w:fill="auto"/>
                  <w:noWrap/>
                  <w:vAlign w:val="center"/>
                </w:tcPr>
                <w:p w14:paraId="553700F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旱地</w:t>
                  </w:r>
                </w:p>
              </w:tc>
              <w:tc>
                <w:tcPr>
                  <w:tcW w:w="1842" w:type="dxa"/>
                  <w:shd w:val="clear" w:color="auto" w:fill="auto"/>
                  <w:noWrap/>
                  <w:vAlign w:val="center"/>
                </w:tcPr>
                <w:p w14:paraId="554E268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2137.1</w:t>
                  </w:r>
                </w:p>
              </w:tc>
              <w:tc>
                <w:tcPr>
                  <w:tcW w:w="2401" w:type="dxa"/>
                  <w:shd w:val="clear" w:color="auto" w:fill="auto"/>
                  <w:noWrap/>
                  <w:vAlign w:val="center"/>
                </w:tcPr>
                <w:p w14:paraId="32294D4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0.654</w:t>
                  </w:r>
                </w:p>
              </w:tc>
            </w:tr>
            <w:tr w14:paraId="7F83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74" w:type="dxa"/>
                  <w:shd w:val="clear" w:color="auto" w:fill="auto"/>
                  <w:vAlign w:val="center"/>
                </w:tcPr>
                <w:p w14:paraId="43BD83D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城镇村道路用地</w:t>
                  </w:r>
                </w:p>
              </w:tc>
              <w:tc>
                <w:tcPr>
                  <w:tcW w:w="1842" w:type="dxa"/>
                  <w:shd w:val="clear" w:color="auto" w:fill="auto"/>
                  <w:noWrap/>
                  <w:vAlign w:val="center"/>
                </w:tcPr>
                <w:p w14:paraId="75F04FF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i w:val="0"/>
                      <w:iCs w:val="0"/>
                      <w:color w:val="auto"/>
                      <w:kern w:val="0"/>
                      <w:sz w:val="21"/>
                      <w:szCs w:val="21"/>
                      <w:u w:val="none"/>
                      <w:lang w:val="en-US" w:eastAsia="zh-CN" w:bidi="ar"/>
                    </w:rPr>
                    <w:t>2203.9</w:t>
                  </w:r>
                </w:p>
              </w:tc>
              <w:tc>
                <w:tcPr>
                  <w:tcW w:w="2401" w:type="dxa"/>
                  <w:shd w:val="clear" w:color="auto" w:fill="auto"/>
                  <w:noWrap/>
                  <w:vAlign w:val="center"/>
                </w:tcPr>
                <w:p w14:paraId="16DA0885">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i w:val="0"/>
                      <w:iCs w:val="0"/>
                      <w:color w:val="auto"/>
                      <w:kern w:val="0"/>
                      <w:sz w:val="21"/>
                      <w:szCs w:val="21"/>
                      <w:u w:val="none"/>
                      <w:lang w:val="en-US" w:eastAsia="zh-CN" w:bidi="ar"/>
                    </w:rPr>
                    <w:t>0.674</w:t>
                  </w:r>
                </w:p>
              </w:tc>
            </w:tr>
          </w:tbl>
          <w:p w14:paraId="28BC8C27">
            <w:pPr>
              <w:pStyle w:val="13"/>
              <w:snapToGrid/>
              <w:spacing w:line="360" w:lineRule="auto"/>
              <w:ind w:firstLine="480" w:firstLineChars="200"/>
              <w:rPr>
                <w:rFonts w:ascii="Times New Roman" w:hAnsi="Times New Roman"/>
                <w:bCs/>
                <w:sz w:val="24"/>
              </w:rPr>
            </w:pPr>
            <w:r>
              <w:rPr>
                <w:rFonts w:ascii="Times New Roman" w:hAnsi="Times New Roman"/>
                <w:bCs/>
                <w:sz w:val="24"/>
              </w:rPr>
              <w:t>（4）土壤、植被类型及野生动植物</w:t>
            </w:r>
          </w:p>
          <w:p w14:paraId="64597474">
            <w:pPr>
              <w:pStyle w:val="13"/>
              <w:snapToGrid/>
              <w:spacing w:line="360" w:lineRule="auto"/>
              <w:ind w:firstLine="480" w:firstLineChars="200"/>
              <w:rPr>
                <w:rFonts w:ascii="Times New Roman" w:hAnsi="Times New Roman"/>
                <w:bCs/>
                <w:color w:val="auto"/>
                <w:sz w:val="24"/>
              </w:rPr>
            </w:pPr>
            <w:r>
              <w:rPr>
                <w:rFonts w:ascii="Times New Roman" w:hAnsi="Times New Roman"/>
                <w:bCs/>
                <w:sz w:val="24"/>
              </w:rPr>
              <w:t>项目区地处淮河中游，地势平坦。由滩地、岗地伸向平原中心，一般分布着黄棕壤和水稻土。土层厚度约为30cm。根据现场</w:t>
            </w:r>
            <w:r>
              <w:rPr>
                <w:rFonts w:ascii="Times New Roman" w:hAnsi="Times New Roman"/>
                <w:bCs/>
                <w:color w:val="auto"/>
                <w:sz w:val="24"/>
              </w:rPr>
              <w:t>调查并结合现有的资料，运用景观法（即以植被作为主导因素），并结合土壤、地貌等因子进行综合分析后对土地进行分类，将土地利用格局的拼块类型分为</w:t>
            </w:r>
            <w:r>
              <w:rPr>
                <w:rFonts w:hint="eastAsia" w:ascii="Times New Roman" w:hAnsi="Times New Roman"/>
                <w:bCs/>
                <w:color w:val="auto"/>
                <w:sz w:val="24"/>
                <w:lang w:val="en-US" w:eastAsia="zh-CN"/>
              </w:rPr>
              <w:t>农村宅基地</w:t>
            </w:r>
            <w:r>
              <w:rPr>
                <w:rFonts w:ascii="Times New Roman" w:hAnsi="Times New Roman"/>
                <w:bCs/>
                <w:color w:val="auto"/>
                <w:sz w:val="24"/>
              </w:rPr>
              <w:t>、</w:t>
            </w:r>
            <w:r>
              <w:rPr>
                <w:rFonts w:hint="eastAsia" w:ascii="Times New Roman" w:hAnsi="Times New Roman"/>
                <w:bCs/>
                <w:color w:val="auto"/>
                <w:sz w:val="24"/>
                <w:lang w:val="en-US" w:eastAsia="zh-CN"/>
              </w:rPr>
              <w:t>沟渠、水田、设施农用</w:t>
            </w:r>
            <w:r>
              <w:rPr>
                <w:rFonts w:ascii="Times New Roman" w:hAnsi="Times New Roman"/>
                <w:bCs/>
                <w:color w:val="auto"/>
                <w:sz w:val="24"/>
              </w:rPr>
              <w:t>地</w:t>
            </w:r>
            <w:r>
              <w:rPr>
                <w:rFonts w:hint="eastAsia" w:ascii="Times New Roman" w:hAnsi="Times New Roman"/>
                <w:bCs/>
                <w:color w:val="auto"/>
                <w:sz w:val="24"/>
                <w:lang w:eastAsia="zh-CN"/>
              </w:rPr>
              <w:t>、</w:t>
            </w:r>
            <w:r>
              <w:rPr>
                <w:rFonts w:hint="eastAsia" w:ascii="Times New Roman" w:hAnsi="Times New Roman"/>
                <w:bCs/>
                <w:color w:val="auto"/>
                <w:sz w:val="24"/>
                <w:lang w:val="en-US" w:eastAsia="zh-CN"/>
              </w:rPr>
              <w:t>乔木林地、农村道路</w:t>
            </w:r>
            <w:r>
              <w:rPr>
                <w:rFonts w:ascii="Times New Roman" w:hAnsi="Times New Roman"/>
                <w:bCs/>
                <w:color w:val="auto"/>
                <w:sz w:val="24"/>
              </w:rPr>
              <w:t>、耕地</w:t>
            </w:r>
            <w:r>
              <w:rPr>
                <w:rStyle w:val="24"/>
                <w:rFonts w:hint="eastAsia" w:ascii="Times New Roman" w:hAnsi="Times New Roman"/>
                <w:color w:val="auto"/>
                <w:kern w:val="0"/>
                <w:szCs w:val="20"/>
                <w:lang w:val="en-US" w:eastAsia="zh-CN"/>
              </w:rPr>
              <w:t>等</w:t>
            </w:r>
            <w:r>
              <w:rPr>
                <w:rFonts w:hint="eastAsia" w:ascii="Times New Roman" w:hAnsi="Times New Roman"/>
                <w:bCs/>
                <w:color w:val="auto"/>
                <w:sz w:val="24"/>
                <w:lang w:val="en-US" w:eastAsia="zh-CN"/>
              </w:rPr>
              <w:t>九</w:t>
            </w:r>
            <w:r>
              <w:rPr>
                <w:rFonts w:ascii="Times New Roman" w:hAnsi="Times New Roman"/>
                <w:bCs/>
                <w:color w:val="auto"/>
                <w:sz w:val="24"/>
              </w:rPr>
              <w:t>种类型。</w:t>
            </w:r>
          </w:p>
          <w:p w14:paraId="56D5807F">
            <w:pPr>
              <w:pStyle w:val="13"/>
              <w:snapToGrid/>
              <w:spacing w:line="360" w:lineRule="auto"/>
              <w:ind w:firstLine="480" w:firstLineChars="200"/>
              <w:rPr>
                <w:rFonts w:ascii="Times New Roman" w:hAnsi="Times New Roman"/>
                <w:bCs/>
                <w:sz w:val="24"/>
              </w:rPr>
            </w:pPr>
            <w:r>
              <w:rPr>
                <w:rFonts w:ascii="Times New Roman" w:hAnsi="Times New Roman"/>
                <w:color w:val="auto"/>
                <w:sz w:val="24"/>
              </w:rPr>
              <w:t>评价区地势平坦，主要成土母质由第四纪物质构成，分布最广的是黄土型古河道沉积物质，近代黄泛沉积物次之，土壤可分为5个土类、7个亚类。主要土壤类型为：棕壤、粘盘黄棕壤亚类中的粘盘黄棕壤、马肝土</w:t>
            </w:r>
            <w:r>
              <w:rPr>
                <w:rFonts w:ascii="Times New Roman" w:hAnsi="Times New Roman"/>
                <w:sz w:val="24"/>
              </w:rPr>
              <w:t>、黄白土，水稻土中的马肝田土、黄白田土。局部低洼地为黄土性古河流沉积物质发育的黑粘土</w:t>
            </w:r>
            <w:r>
              <w:rPr>
                <w:rFonts w:ascii="Times New Roman" w:hAnsi="Times New Roman"/>
                <w:bCs/>
                <w:sz w:val="24"/>
              </w:rPr>
              <w:t>。</w:t>
            </w:r>
          </w:p>
          <w:p w14:paraId="57AF79BA">
            <w:pPr>
              <w:pStyle w:val="13"/>
              <w:snapToGrid/>
              <w:spacing w:line="360" w:lineRule="auto"/>
              <w:ind w:firstLine="480" w:firstLineChars="200"/>
              <w:rPr>
                <w:rFonts w:ascii="Times New Roman" w:hAnsi="Times New Roman"/>
                <w:bCs/>
                <w:sz w:val="24"/>
              </w:rPr>
            </w:pPr>
            <w:r>
              <w:rPr>
                <w:rFonts w:ascii="Times New Roman" w:hAnsi="Times New Roman"/>
                <w:bCs/>
                <w:sz w:val="24"/>
              </w:rPr>
              <w:t>根据现场调查，本工程涉及区域植被主要为农作物、绿化植被和行道树，沿线分布少量林木、主要为杨树及灌木等。</w:t>
            </w:r>
          </w:p>
          <w:p w14:paraId="01DDBC80">
            <w:pPr>
              <w:pStyle w:val="13"/>
              <w:tabs>
                <w:tab w:val="left" w:pos="0"/>
              </w:tabs>
              <w:snapToGrid/>
              <w:spacing w:line="360" w:lineRule="auto"/>
              <w:ind w:firstLine="480" w:firstLineChars="200"/>
              <w:rPr>
                <w:rFonts w:ascii="Times New Roman" w:hAnsi="Times New Roman"/>
                <w:sz w:val="24"/>
              </w:rPr>
            </w:pPr>
            <w:r>
              <w:rPr>
                <w:rFonts w:ascii="Times New Roman" w:hAnsi="Times New Roman"/>
                <w:sz w:val="24"/>
              </w:rPr>
              <w:t>项目所在地区由于人类活动和生态环境的改变，树木草丛之间早已没有大型野生动物，仅有鸟类、鼠类、蛙类小型动物以及各种昆虫等。随着人类的农业开发，项目所在区域的自然生态系统早已被人工农业生态环境所替代。</w:t>
            </w:r>
          </w:p>
          <w:p w14:paraId="32952B81">
            <w:pPr>
              <w:pStyle w:val="13"/>
              <w:tabs>
                <w:tab w:val="left" w:pos="0"/>
              </w:tabs>
              <w:snapToGrid/>
              <w:spacing w:line="360" w:lineRule="auto"/>
              <w:ind w:firstLine="480" w:firstLineChars="200"/>
              <w:rPr>
                <w:rFonts w:ascii="Times New Roman" w:hAnsi="Times New Roman"/>
                <w:sz w:val="24"/>
              </w:rPr>
            </w:pPr>
            <w:r>
              <w:rPr>
                <w:rFonts w:ascii="Times New Roman" w:hAnsi="Times New Roman"/>
                <w:sz w:val="24"/>
              </w:rPr>
              <w:t>综上所述，项目未穿越自然保护区和森林公园。项目评价区域内人口分散，部分密集，沿线未发现珍稀、濒危植物，未见挂牌名木古树，沿线未发现珍稀、濒危动物，陆生动物以家禽、家畜为主。</w:t>
            </w:r>
          </w:p>
          <w:p w14:paraId="2BD941B7">
            <w:pPr>
              <w:spacing w:line="360" w:lineRule="auto"/>
              <w:ind w:firstLine="482" w:firstLineChars="200"/>
              <w:rPr>
                <w:rFonts w:ascii="Times New Roman" w:hAnsi="Times New Roman"/>
                <w:b/>
                <w:color w:val="auto"/>
                <w:sz w:val="24"/>
                <w:highlight w:val="none"/>
              </w:rPr>
            </w:pPr>
            <w:r>
              <w:rPr>
                <w:rFonts w:ascii="Times New Roman" w:hAnsi="Times New Roman"/>
                <w:b/>
                <w:bCs/>
                <w:color w:val="auto"/>
                <w:sz w:val="24"/>
                <w:highlight w:val="none"/>
              </w:rPr>
              <w:t>2、</w:t>
            </w:r>
            <w:r>
              <w:rPr>
                <w:rFonts w:ascii="Times New Roman" w:hAnsi="Times New Roman"/>
                <w:b/>
                <w:color w:val="auto"/>
                <w:sz w:val="24"/>
                <w:highlight w:val="none"/>
              </w:rPr>
              <w:t>地形地貌</w:t>
            </w:r>
          </w:p>
          <w:p w14:paraId="02D88E1E">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项目区域在构造单元上属于中朝准地台淮河台坳淮南陷褶断带（即华北地台豫淮褶皱带）东部的淮南复向斜。东界为郯庐断裂，西临周口坳陷，北接蚌埠隆起，南邻合肥坳陷，南北为洞山断裂和刘府断裂夹持。区内构造以北西西向构造占主导地位，受后期强烈改造，但总体形态变化不大，复式向斜内次一级褶皱及断裂发育。地质演化历史可分为前震旦纪、震旦纪—三叠纪、侏罗纪—第四纪3个阶段，前震旦纪，淮南地壳处于活动阶段；震旦纪—三叠纪属于剧烈运动时期，先后经历了蚌埠、凤阳、皖南、加里东、华西力、印支等运动。其间地壳几度隆起沉降，形成了海陆交互相地层。特别是晚石炭纪和二叠纪时期海陆交互相的沉积环境，为煤炭资源的生成提供了良好条件，从而形成了境内大量的煤炭资源。侏罗纪—第四纪，经过燕山运动和喜马拉雅运动，逐渐塑造出了今天的地貌特征。</w:t>
            </w:r>
          </w:p>
          <w:p w14:paraId="493C16D4">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市境以淮河为界形成两种不同的地貌类型，淮河以南为丘陵，属于江淮丘陵的一部分；淮河以北为地势平坦的淮北平原，淮河南岸由东至西隆起不连续的低山丘陵，环山为一斜坡地带，宽约500米～1500米，坡度10°左右，海拔40米～75米；斜坡地带以下交错衔接洪冲积二级阶地，宽500米～2500米，海拔30米～40米，坡度2°左右；舜耕山以北二级阶地以下是淮河冲积一级阶地，宽2500米～3000米，海拔25米以下，坡度平缓；一级阶地以下是淮河高位漫滩，宽2000米～3000米，海拔17米～20米，漫滩以下是淮河滨河浅滩。舜耕山以南斜坡以下，东为高塘湖一、二级洪冲积阶地，西为瓦埠湖一、二级洪冲积阶地；中为丘陵岗地。</w:t>
            </w:r>
          </w:p>
          <w:p w14:paraId="0193A70F">
            <w:pPr>
              <w:spacing w:line="360" w:lineRule="auto"/>
              <w:ind w:firstLine="482" w:firstLineChars="200"/>
              <w:rPr>
                <w:rFonts w:ascii="Times New Roman" w:hAnsi="Times New Roman"/>
                <w:b/>
                <w:sz w:val="24"/>
              </w:rPr>
            </w:pPr>
            <w:r>
              <w:rPr>
                <w:rFonts w:ascii="Times New Roman" w:hAnsi="Times New Roman"/>
                <w:b/>
                <w:sz w:val="24"/>
              </w:rPr>
              <w:t>3、气候、气象</w:t>
            </w:r>
          </w:p>
          <w:p w14:paraId="01D726D9">
            <w:pPr>
              <w:spacing w:line="360" w:lineRule="auto"/>
              <w:ind w:firstLine="480" w:firstLineChars="200"/>
              <w:rPr>
                <w:rFonts w:ascii="Times New Roman" w:hAnsi="Times New Roman"/>
                <w:color w:val="auto"/>
                <w:sz w:val="24"/>
              </w:rPr>
            </w:pPr>
            <w:r>
              <w:rPr>
                <w:rFonts w:hint="eastAsia" w:ascii="Times New Roman" w:hAnsi="Times New Roman"/>
                <w:color w:val="auto"/>
                <w:sz w:val="24"/>
              </w:rPr>
              <w:t>2024年，淮南市气候继续呈现</w:t>
            </w:r>
            <w:r>
              <w:rPr>
                <w:rFonts w:hint="eastAsia" w:ascii="Times New Roman" w:hAnsi="Times New Roman"/>
                <w:color w:val="auto"/>
                <w:sz w:val="24"/>
                <w:lang w:eastAsia="zh-CN"/>
              </w:rPr>
              <w:t>“</w:t>
            </w:r>
            <w:r>
              <w:rPr>
                <w:rFonts w:hint="eastAsia" w:ascii="Times New Roman" w:hAnsi="Times New Roman"/>
                <w:color w:val="auto"/>
                <w:sz w:val="24"/>
              </w:rPr>
              <w:t>暖干</w:t>
            </w:r>
            <w:r>
              <w:rPr>
                <w:rFonts w:hint="eastAsia" w:ascii="Times New Roman" w:hAnsi="Times New Roman"/>
                <w:color w:val="auto"/>
                <w:sz w:val="24"/>
                <w:lang w:eastAsia="zh-CN"/>
              </w:rPr>
              <w:t>”</w:t>
            </w:r>
            <w:r>
              <w:rPr>
                <w:rFonts w:hint="eastAsia" w:ascii="Times New Roman" w:hAnsi="Times New Roman"/>
                <w:color w:val="auto"/>
                <w:sz w:val="24"/>
              </w:rPr>
              <w:t>特征，气温偏高、高温日数多、降水略偏少。全市年平均气温16.6℃，较常年偏高1.0℃，为1961年以来第3高值；除2、12月分别偏低0.7℃、1.5℃外，其余月份均偏高，4月偏高2.8℃最显著。冬季平均气温3.5℃，属正常略偏低。全年高温（≥35℃）日数28天，较常年偏多11天，极端最高38.9℃出现在7月30日；极端最低-5.5℃出现在1月23日。无霜期238天，初霜11月6日，终霜3月13日。年降水量893.4毫米，比常年略偏少，降水日数107天，暴雨日5天。6月22日入梅、7月21日出梅，均偏晚，梅雨量166.3毫米；首场降雪12月22日，冬季降水偏少</w:t>
            </w:r>
            <w:r>
              <w:rPr>
                <w:rFonts w:ascii="Times New Roman" w:hAnsi="Times New Roman"/>
                <w:color w:val="auto"/>
                <w:sz w:val="24"/>
              </w:rPr>
              <w:t>。</w:t>
            </w:r>
          </w:p>
          <w:p w14:paraId="35FA163B">
            <w:pPr>
              <w:spacing w:line="360" w:lineRule="auto"/>
              <w:ind w:firstLine="482" w:firstLineChars="200"/>
              <w:rPr>
                <w:rFonts w:ascii="Times New Roman" w:hAnsi="Times New Roman"/>
                <w:b/>
                <w:sz w:val="24"/>
              </w:rPr>
            </w:pPr>
            <w:r>
              <w:rPr>
                <w:rFonts w:ascii="Times New Roman" w:hAnsi="Times New Roman"/>
                <w:b/>
                <w:sz w:val="24"/>
              </w:rPr>
              <w:t>4、水文状况</w:t>
            </w:r>
          </w:p>
          <w:p w14:paraId="11C78D16">
            <w:pPr>
              <w:spacing w:line="360" w:lineRule="auto"/>
              <w:ind w:firstLine="480" w:firstLineChars="200"/>
              <w:rPr>
                <w:rFonts w:ascii="Times New Roman" w:hAnsi="Times New Roman"/>
                <w:snapToGrid w:val="0"/>
                <w:color w:val="auto"/>
                <w:sz w:val="24"/>
                <w:highlight w:val="none"/>
              </w:rPr>
            </w:pPr>
            <w:r>
              <w:rPr>
                <w:rFonts w:ascii="Times New Roman" w:hAnsi="Times New Roman"/>
                <w:snapToGrid w:val="0"/>
                <w:color w:val="auto"/>
                <w:sz w:val="24"/>
                <w:highlight w:val="none"/>
              </w:rPr>
              <w:t>淮河流域西起桐柏山和伏牛山，南以大别山和江淮丘陵与长江流域分界，北以黄河南堤和沂蒙山与黄河流域分界。淮河流域由淮河与泗、沂、沭河两大水系组成，流域面积29万km</w:t>
            </w:r>
            <w:r>
              <w:rPr>
                <w:rFonts w:ascii="Times New Roman" w:hAnsi="Times New Roman"/>
                <w:snapToGrid w:val="0"/>
                <w:color w:val="auto"/>
                <w:sz w:val="24"/>
                <w:highlight w:val="none"/>
                <w:vertAlign w:val="superscript"/>
              </w:rPr>
              <w:t>2</w:t>
            </w:r>
            <w:r>
              <w:rPr>
                <w:rFonts w:ascii="Times New Roman" w:hAnsi="Times New Roman"/>
                <w:snapToGrid w:val="0"/>
                <w:color w:val="auto"/>
                <w:sz w:val="24"/>
                <w:highlight w:val="none"/>
              </w:rPr>
              <w:t>，其中淮河水系为21万km</w:t>
            </w:r>
            <w:r>
              <w:rPr>
                <w:rFonts w:ascii="Times New Roman" w:hAnsi="Times New Roman"/>
                <w:snapToGrid w:val="0"/>
                <w:color w:val="auto"/>
                <w:sz w:val="24"/>
                <w:highlight w:val="none"/>
                <w:vertAlign w:val="superscript"/>
              </w:rPr>
              <w:t>2</w:t>
            </w:r>
            <w:r>
              <w:rPr>
                <w:rFonts w:ascii="Times New Roman" w:hAnsi="Times New Roman"/>
                <w:snapToGrid w:val="0"/>
                <w:color w:val="auto"/>
                <w:sz w:val="24"/>
                <w:highlight w:val="none"/>
              </w:rPr>
              <w:t>，泗、沂、沭河水系为8万km</w:t>
            </w:r>
            <w:r>
              <w:rPr>
                <w:rFonts w:ascii="Times New Roman" w:hAnsi="Times New Roman"/>
                <w:snapToGrid w:val="0"/>
                <w:color w:val="auto"/>
                <w:sz w:val="24"/>
                <w:highlight w:val="none"/>
                <w:vertAlign w:val="superscript"/>
              </w:rPr>
              <w:t>2</w:t>
            </w:r>
            <w:r>
              <w:rPr>
                <w:rFonts w:ascii="Times New Roman" w:hAnsi="Times New Roman"/>
                <w:snapToGrid w:val="0"/>
                <w:color w:val="auto"/>
                <w:sz w:val="24"/>
                <w:highlight w:val="none"/>
              </w:rPr>
              <w:t>。</w:t>
            </w:r>
          </w:p>
          <w:p w14:paraId="112AA340">
            <w:pPr>
              <w:spacing w:line="360" w:lineRule="auto"/>
              <w:ind w:firstLine="480" w:firstLineChars="200"/>
              <w:rPr>
                <w:rFonts w:ascii="Times New Roman" w:hAnsi="Times New Roman"/>
                <w:snapToGrid w:val="0"/>
                <w:color w:val="auto"/>
                <w:sz w:val="24"/>
                <w:highlight w:val="none"/>
              </w:rPr>
            </w:pPr>
            <w:r>
              <w:rPr>
                <w:rFonts w:ascii="Times New Roman" w:hAnsi="Times New Roman"/>
                <w:snapToGrid w:val="0"/>
                <w:color w:val="auto"/>
                <w:sz w:val="24"/>
                <w:highlight w:val="none"/>
              </w:rPr>
              <w:t>淮河是我国五大水系之一，发源于河南省桐柏山北麓，流经河南、安徽至江苏扬州三江营入长江。历史上淮河是一条独流入海的河流，公元1194年黄河第四次决堤南泛夺淮，至1855年黄河改道北经山东利津入海的661年间，黄河挟带的大量泥沙淤塞了淮河入海尾闾，逐使淮河改道经三河、高宝湖穿运河至三江营流入长江。</w:t>
            </w:r>
          </w:p>
          <w:p w14:paraId="57212247">
            <w:pPr>
              <w:spacing w:line="360" w:lineRule="auto"/>
              <w:ind w:firstLine="480" w:firstLineChars="200"/>
              <w:rPr>
                <w:rFonts w:ascii="Times New Roman" w:hAnsi="Times New Roman"/>
                <w:snapToGrid w:val="0"/>
                <w:color w:val="auto"/>
                <w:sz w:val="24"/>
                <w:highlight w:val="none"/>
              </w:rPr>
            </w:pPr>
            <w:r>
              <w:rPr>
                <w:rFonts w:ascii="Times New Roman" w:hAnsi="Times New Roman"/>
                <w:snapToGrid w:val="0"/>
                <w:color w:val="auto"/>
                <w:sz w:val="24"/>
                <w:highlight w:val="none"/>
              </w:rPr>
              <w:t>淮河干流全长1000km，总落差200m，平均比降0.2‰。豫皖两省交界的洪河口以上为上游，长360km，落差177m，比降0.5‰，流域面积3万km2；洪河口至洪泽湖三河闸为中游，长490km，原有落差16m，自三河闸控制后，平均比降0.027‰，流域面积16万km</w:t>
            </w:r>
            <w:r>
              <w:rPr>
                <w:rFonts w:ascii="Times New Roman" w:hAnsi="Times New Roman"/>
                <w:snapToGrid w:val="0"/>
                <w:color w:val="auto"/>
                <w:sz w:val="24"/>
                <w:highlight w:val="none"/>
                <w:vertAlign w:val="superscript"/>
              </w:rPr>
              <w:t>2</w:t>
            </w:r>
            <w:r>
              <w:rPr>
                <w:rFonts w:ascii="Times New Roman" w:hAnsi="Times New Roman"/>
                <w:snapToGrid w:val="0"/>
                <w:color w:val="auto"/>
                <w:sz w:val="24"/>
                <w:highlight w:val="none"/>
              </w:rPr>
              <w:t>；洪泽湖以下为下游，流域面积3万km</w:t>
            </w:r>
            <w:r>
              <w:rPr>
                <w:rFonts w:ascii="Times New Roman" w:hAnsi="Times New Roman"/>
                <w:snapToGrid w:val="0"/>
                <w:color w:val="auto"/>
                <w:sz w:val="24"/>
                <w:highlight w:val="none"/>
                <w:vertAlign w:val="superscript"/>
              </w:rPr>
              <w:t>2</w:t>
            </w:r>
            <w:r>
              <w:rPr>
                <w:rFonts w:ascii="Times New Roman" w:hAnsi="Times New Roman"/>
                <w:snapToGrid w:val="0"/>
                <w:color w:val="auto"/>
                <w:sz w:val="24"/>
                <w:highlight w:val="none"/>
              </w:rPr>
              <w:t>，入江水道长150km，平均比降0.036‰。淮河干流安徽段上自阜南县洪河口，下至明光市洪山头，全长430km，上承河南大量迅猛来水，下受洪泽湖顶托，中间有天然三峡(峡山口、荆山峡、浮山峡)阻水。平水河槽宽一般为260～320m，平均深3～6m；洪水河槽宽度，蚌埠上下一般约1000～1250m，峡山口仅400m，平均深度6.5～7.5m。淮河干流安徽段地势平缓，蓄水能力差，汛期河水暴涨，易泛滥成灾，干旱时期则河流断流。1949年～2005年，安徽省淮河流域水灾面积在1000万亩以上的有10多年，灾旱面积在1000万亩以上的也有10多年。</w:t>
            </w:r>
          </w:p>
          <w:p w14:paraId="053CBE9A">
            <w:pPr>
              <w:spacing w:line="360" w:lineRule="auto"/>
              <w:ind w:firstLine="480" w:firstLineChars="200"/>
              <w:rPr>
                <w:rFonts w:ascii="Times New Roman" w:hAnsi="Times New Roman"/>
                <w:snapToGrid w:val="0"/>
                <w:color w:val="auto"/>
                <w:sz w:val="24"/>
                <w:highlight w:val="none"/>
              </w:rPr>
            </w:pPr>
            <w:r>
              <w:rPr>
                <w:rFonts w:ascii="Times New Roman" w:hAnsi="Times New Roman"/>
                <w:snapToGrid w:val="0"/>
                <w:color w:val="auto"/>
                <w:sz w:val="24"/>
                <w:highlight w:val="none"/>
              </w:rPr>
              <w:t>淮河中上游支流多，流域面积大于1000km</w:t>
            </w:r>
            <w:r>
              <w:rPr>
                <w:rFonts w:ascii="Times New Roman" w:hAnsi="Times New Roman"/>
                <w:snapToGrid w:val="0"/>
                <w:color w:val="auto"/>
                <w:sz w:val="24"/>
                <w:highlight w:val="none"/>
                <w:vertAlign w:val="superscript"/>
              </w:rPr>
              <w:t>2</w:t>
            </w:r>
            <w:r>
              <w:rPr>
                <w:rFonts w:ascii="Times New Roman" w:hAnsi="Times New Roman"/>
                <w:snapToGrid w:val="0"/>
                <w:color w:val="auto"/>
                <w:sz w:val="24"/>
                <w:highlight w:val="none"/>
              </w:rPr>
              <w:t>的一级支流21条，其中大于2000km</w:t>
            </w:r>
            <w:r>
              <w:rPr>
                <w:rFonts w:ascii="Times New Roman" w:hAnsi="Times New Roman"/>
                <w:snapToGrid w:val="0"/>
                <w:color w:val="auto"/>
                <w:sz w:val="24"/>
                <w:highlight w:val="none"/>
                <w:vertAlign w:val="superscript"/>
              </w:rPr>
              <w:t>2</w:t>
            </w:r>
            <w:r>
              <w:rPr>
                <w:rFonts w:ascii="Times New Roman" w:hAnsi="Times New Roman"/>
                <w:snapToGrid w:val="0"/>
                <w:color w:val="auto"/>
                <w:sz w:val="24"/>
                <w:highlight w:val="none"/>
              </w:rPr>
              <w:t>的有16条，其它小支流达180条以上。淮河主要支流北岸有洪河、颍河、黑茨河、汾泉河、包浍河、沱河、涡河、奎濉河等跨省河流，安徽省境内淮河北岸支流有谷河、润河、八里河、泥黑河、茨河、北淝河等，淮河南岸主要支流有史河、淠河、沣河、汲河、东淝河、窑河、天河、池河、白塔河等，均发源于安徽省境内，并在安徽境内入淮河。</w:t>
            </w:r>
          </w:p>
          <w:p w14:paraId="386CBB41">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泥河自源头东南过徐圩入市境潘集区至徐桥再至刘隆集，河面宽4～10米，两岸支流多，汇水面积253平方公里；自刘隆集河面宽300米，东南流8公里，转东流7公里，左汇黑河，河面宽1.1公里。</w:t>
            </w:r>
          </w:p>
          <w:p w14:paraId="3EDA3DA5">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茨淮新河：淮河一级支流，人工河流，上起沙颍河茨淮铺，于荆山口上游入淮河，流经阜阳、利辛、蒙城、凤台、淮南、怀远四县两市，全长134.2km，流域总面积7127km</w:t>
            </w:r>
            <w:r>
              <w:rPr>
                <w:rFonts w:ascii="Times New Roman" w:hAnsi="Times New Roman"/>
                <w:color w:val="auto"/>
                <w:sz w:val="24"/>
                <w:highlight w:val="none"/>
                <w:vertAlign w:val="superscript"/>
              </w:rPr>
              <w:t>2</w:t>
            </w:r>
            <w:r>
              <w:rPr>
                <w:rFonts w:ascii="Times New Roman" w:hAnsi="Times New Roman"/>
                <w:color w:val="auto"/>
                <w:sz w:val="24"/>
                <w:highlight w:val="none"/>
              </w:rPr>
              <w:t>；凤台县流经长31.12km，境内河宽225~375m，1995~2004年最枯月平均流量1.98m</w:t>
            </w:r>
            <w:r>
              <w:rPr>
                <w:rFonts w:ascii="Times New Roman" w:hAnsi="Times New Roman"/>
                <w:color w:val="auto"/>
                <w:sz w:val="24"/>
                <w:highlight w:val="none"/>
                <w:vertAlign w:val="superscript"/>
              </w:rPr>
              <w:t>3</w:t>
            </w:r>
            <w:r>
              <w:rPr>
                <w:rFonts w:ascii="Times New Roman" w:hAnsi="Times New Roman"/>
                <w:color w:val="auto"/>
                <w:sz w:val="24"/>
                <w:highlight w:val="none"/>
              </w:rPr>
              <w:t>/s。</w:t>
            </w:r>
          </w:p>
          <w:p w14:paraId="1C113B06">
            <w:pPr>
              <w:pStyle w:val="9"/>
              <w:spacing w:before="0" w:after="0" w:line="360" w:lineRule="auto"/>
              <w:ind w:right="0" w:firstLine="480" w:firstLineChars="200"/>
              <w:rPr>
                <w:color w:val="auto"/>
                <w:highlight w:val="none"/>
              </w:rPr>
            </w:pPr>
            <w:r>
              <w:rPr>
                <w:rFonts w:hint="eastAsia" w:ascii="Times New Roman" w:hAnsi="Times New Roman"/>
                <w:color w:val="auto"/>
                <w:kern w:val="2"/>
                <w:sz w:val="24"/>
                <w:szCs w:val="24"/>
                <w:highlight w:val="none"/>
              </w:rPr>
              <w:t>利民新河属于人工开挖河道，主要功能为灌溉和排涝，无通航功能，不承担防洪任务。河道全长约16km，河道宽约20～30m，利民新河汇水面积约32km</w:t>
            </w:r>
            <w:r>
              <w:rPr>
                <w:rFonts w:hint="eastAsia" w:ascii="Times New Roman" w:hAnsi="Times New Roman"/>
                <w:color w:val="auto"/>
                <w:kern w:val="2"/>
                <w:sz w:val="24"/>
                <w:szCs w:val="24"/>
                <w:highlight w:val="none"/>
                <w:vertAlign w:val="superscript"/>
              </w:rPr>
              <w:t>2</w:t>
            </w:r>
            <w:r>
              <w:rPr>
                <w:rFonts w:hint="eastAsia" w:ascii="Times New Roman" w:hAnsi="Times New Roman"/>
                <w:color w:val="auto"/>
                <w:kern w:val="2"/>
                <w:sz w:val="24"/>
                <w:szCs w:val="24"/>
                <w:highlight w:val="none"/>
              </w:rPr>
              <w:t>。</w:t>
            </w:r>
          </w:p>
          <w:p w14:paraId="7D526610">
            <w:pPr>
              <w:spacing w:line="360" w:lineRule="auto"/>
              <w:ind w:firstLine="482" w:firstLineChars="200"/>
              <w:rPr>
                <w:rFonts w:ascii="Times New Roman" w:hAnsi="Times New Roman"/>
                <w:b/>
                <w:color w:val="auto"/>
                <w:sz w:val="24"/>
                <w:highlight w:val="none"/>
              </w:rPr>
            </w:pPr>
            <w:r>
              <w:rPr>
                <w:rFonts w:ascii="Times New Roman" w:hAnsi="Times New Roman"/>
                <w:b/>
                <w:color w:val="auto"/>
                <w:sz w:val="24"/>
                <w:highlight w:val="none"/>
              </w:rPr>
              <w:t>5、土壤植被</w:t>
            </w:r>
          </w:p>
          <w:p w14:paraId="4F1A8A1C">
            <w:pPr>
              <w:spacing w:line="360" w:lineRule="auto"/>
              <w:ind w:firstLine="480" w:firstLineChars="200"/>
              <w:rPr>
                <w:rFonts w:ascii="Times New Roman" w:hAnsi="Times New Roman"/>
                <w:b/>
                <w:bCs/>
                <w:color w:val="auto"/>
                <w:sz w:val="24"/>
                <w:highlight w:val="none"/>
              </w:rPr>
            </w:pPr>
            <w:r>
              <w:rPr>
                <w:rFonts w:ascii="Times New Roman" w:hAnsi="Times New Roman"/>
                <w:color w:val="auto"/>
                <w:sz w:val="24"/>
                <w:highlight w:val="none"/>
              </w:rPr>
              <w:t>评价区地势平坦，由河谷平原与丘岗组成。主要成土母质由第四纪物质构成，分布最广的是黄土型古河道沉积物质，近代黄泛沉积物次之，土壤可分为5个土类、7个亚类。主要土壤类型为：棕壤、粘盘黄棕壤亚类中的粘盘黄棕壤、马肝土、黄白土，水稻土中的马肝田土、黄白田土。局部低洼地为黄土性古河流沉积物质发育的黑粘土，毗邻河流湖泊的地势较低地段为湖泊沉积物发育的湖泥土，目前项目区域主要为农田。</w:t>
            </w:r>
          </w:p>
          <w:p w14:paraId="33EB4525">
            <w:pPr>
              <w:pStyle w:val="13"/>
              <w:tabs>
                <w:tab w:val="left" w:pos="0"/>
              </w:tabs>
              <w:snapToGrid/>
              <w:spacing w:line="360" w:lineRule="auto"/>
              <w:rPr>
                <w:rFonts w:ascii="Times New Roman" w:hAnsi="Times New Roman"/>
                <w:b/>
                <w:bCs/>
                <w:color w:val="auto"/>
                <w:sz w:val="24"/>
                <w:lang w:val="en-US" w:eastAsia="zh-CN"/>
              </w:rPr>
            </w:pPr>
            <w:r>
              <w:rPr>
                <w:rFonts w:ascii="Times New Roman" w:hAnsi="Times New Roman"/>
                <w:b/>
                <w:bCs/>
                <w:color w:val="auto"/>
                <w:sz w:val="24"/>
                <w:lang w:val="en-US" w:eastAsia="zh-CN"/>
              </w:rPr>
              <w:t>二、环境质量现状</w:t>
            </w:r>
          </w:p>
          <w:p w14:paraId="676790DD">
            <w:pPr>
              <w:spacing w:line="360" w:lineRule="auto"/>
              <w:ind w:firstLine="482" w:firstLineChars="200"/>
              <w:rPr>
                <w:rFonts w:ascii="Times New Roman" w:hAnsi="Times New Roman"/>
                <w:b/>
                <w:bCs/>
                <w:color w:val="auto"/>
                <w:sz w:val="24"/>
              </w:rPr>
            </w:pPr>
            <w:r>
              <w:rPr>
                <w:rFonts w:ascii="Times New Roman" w:hAnsi="Times New Roman"/>
                <w:b/>
                <w:bCs/>
                <w:color w:val="auto"/>
                <w:sz w:val="24"/>
              </w:rPr>
              <w:t>1、大气环境质量现状</w:t>
            </w:r>
          </w:p>
          <w:p w14:paraId="3FF630E6">
            <w:pPr>
              <w:pStyle w:val="28"/>
              <w:adjustRightInd/>
              <w:spacing w:line="360" w:lineRule="auto"/>
              <w:ind w:firstLine="480" w:firstLineChars="200"/>
              <w:jc w:val="both"/>
              <w:rPr>
                <w:rFonts w:hint="eastAsia" w:ascii="Times New Roman" w:hAnsi="Times New Roman"/>
                <w:color w:val="auto"/>
                <w:sz w:val="24"/>
              </w:rPr>
            </w:pPr>
            <w:r>
              <w:rPr>
                <w:rFonts w:hint="eastAsia" w:ascii="Times New Roman" w:hAnsi="Times New Roman"/>
                <w:color w:val="auto"/>
                <w:sz w:val="24"/>
              </w:rPr>
              <w:t>项目所在区域达标判定优先采用国家或地方生态环境主管部门公开发布的评价基准年环境质量公告或环境质量报告中的数据或结论。本工程位于淮南市潘集区境内，本次评价采用淮南市生态环境局于2025年6月4日在其网站公开发布的《2024年淮南市环境质量状况公报》，项目区域空气环境质量现状评价见下表。</w:t>
            </w:r>
          </w:p>
          <w:p w14:paraId="287463D4">
            <w:pPr>
              <w:spacing w:line="360" w:lineRule="auto"/>
              <w:jc w:val="center"/>
              <w:rPr>
                <w:rFonts w:hint="eastAsia" w:ascii="Times New Roman" w:hAnsi="Times New Roman"/>
                <w:b/>
                <w:color w:val="auto"/>
                <w:szCs w:val="21"/>
                <w:lang w:val="en-US" w:eastAsia="zh-CN"/>
              </w:rPr>
            </w:pPr>
            <w:r>
              <w:rPr>
                <w:rFonts w:hint="eastAsia" w:ascii="Times New Roman" w:hAnsi="Times New Roman"/>
                <w:b/>
                <w:color w:val="auto"/>
                <w:szCs w:val="21"/>
                <w:lang w:val="en-US" w:eastAsia="zh-CN"/>
              </w:rPr>
              <w:t>表3-3  区域大气污染物浓度值</w:t>
            </w:r>
          </w:p>
          <w:tbl>
            <w:tblPr>
              <w:tblStyle w:val="20"/>
              <w:tblpPr w:leftFromText="181" w:rightFromText="181" w:bottomFromText="17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2065"/>
              <w:gridCol w:w="1806"/>
              <w:gridCol w:w="1345"/>
              <w:gridCol w:w="989"/>
              <w:gridCol w:w="799"/>
            </w:tblGrid>
            <w:tr w14:paraId="0CC3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pct"/>
                  <w:tcBorders>
                    <w:tl2br w:val="nil"/>
                    <w:tr2bl w:val="nil"/>
                  </w:tcBorders>
                  <w:noWrap w:val="0"/>
                  <w:vAlign w:val="center"/>
                </w:tcPr>
                <w:p w14:paraId="2613E16B">
                  <w:pPr>
                    <w:widowControl/>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污染物</w:t>
                  </w:r>
                </w:p>
              </w:tc>
              <w:tc>
                <w:tcPr>
                  <w:tcW w:w="1316" w:type="pct"/>
                  <w:tcBorders>
                    <w:tl2br w:val="nil"/>
                    <w:tr2bl w:val="nil"/>
                  </w:tcBorders>
                  <w:noWrap w:val="0"/>
                  <w:vAlign w:val="center"/>
                </w:tcPr>
                <w:p w14:paraId="069142C7">
                  <w:pPr>
                    <w:widowControl/>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lang w:eastAsia="zh-CN"/>
                    </w:rPr>
                    <w:t>年度</w:t>
                  </w:r>
                  <w:r>
                    <w:rPr>
                      <w:rFonts w:hint="eastAsia" w:ascii="Times New Roman" w:hAnsi="Times New Roman" w:eastAsia="宋体" w:cs="Times New Roman"/>
                      <w:b/>
                      <w:bCs/>
                      <w:color w:val="auto"/>
                      <w:kern w:val="0"/>
                      <w:szCs w:val="21"/>
                    </w:rPr>
                    <w:t>评价指标</w:t>
                  </w:r>
                </w:p>
              </w:tc>
              <w:tc>
                <w:tcPr>
                  <w:tcW w:w="1151" w:type="pct"/>
                  <w:tcBorders>
                    <w:tl2br w:val="nil"/>
                    <w:tr2bl w:val="nil"/>
                  </w:tcBorders>
                  <w:noWrap w:val="0"/>
                  <w:vAlign w:val="center"/>
                </w:tcPr>
                <w:p w14:paraId="350EEF19">
                  <w:pPr>
                    <w:widowControl/>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现状浓度（µg/m³）</w:t>
                  </w:r>
                </w:p>
              </w:tc>
              <w:tc>
                <w:tcPr>
                  <w:tcW w:w="857" w:type="pct"/>
                  <w:tcBorders>
                    <w:tl2br w:val="nil"/>
                    <w:tr2bl w:val="nil"/>
                  </w:tcBorders>
                  <w:noWrap w:val="0"/>
                  <w:vAlign w:val="center"/>
                </w:tcPr>
                <w:p w14:paraId="249EB2DD">
                  <w:pPr>
                    <w:widowControl/>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标准值（µg/m³）</w:t>
                  </w:r>
                </w:p>
              </w:tc>
              <w:tc>
                <w:tcPr>
                  <w:tcW w:w="630" w:type="pct"/>
                  <w:tcBorders>
                    <w:tl2br w:val="nil"/>
                    <w:tr2bl w:val="nil"/>
                  </w:tcBorders>
                  <w:noWrap w:val="0"/>
                  <w:vAlign w:val="center"/>
                </w:tcPr>
                <w:p w14:paraId="57424819">
                  <w:pPr>
                    <w:widowControl/>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占标率</w:t>
                  </w:r>
                </w:p>
                <w:p w14:paraId="1BE9B34E">
                  <w:pPr>
                    <w:widowControl/>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w:t>
                  </w:r>
                </w:p>
              </w:tc>
              <w:tc>
                <w:tcPr>
                  <w:tcW w:w="509" w:type="pct"/>
                  <w:tcBorders>
                    <w:tl2br w:val="nil"/>
                    <w:tr2bl w:val="nil"/>
                  </w:tcBorders>
                  <w:noWrap w:val="0"/>
                  <w:vAlign w:val="center"/>
                </w:tcPr>
                <w:p w14:paraId="110EC909">
                  <w:pPr>
                    <w:widowControl/>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达标情况</w:t>
                  </w:r>
                </w:p>
              </w:tc>
            </w:tr>
            <w:tr w14:paraId="19BC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pct"/>
                  <w:tcBorders>
                    <w:tl2br w:val="nil"/>
                    <w:tr2bl w:val="nil"/>
                  </w:tcBorders>
                  <w:noWrap w:val="0"/>
                  <w:vAlign w:val="center"/>
                </w:tcPr>
                <w:p w14:paraId="01244671">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SO</w:t>
                  </w:r>
                  <w:r>
                    <w:rPr>
                      <w:rFonts w:hint="eastAsia" w:ascii="Times New Roman" w:hAnsi="Times New Roman" w:eastAsia="宋体" w:cs="Times New Roman"/>
                      <w:color w:val="auto"/>
                      <w:kern w:val="0"/>
                      <w:szCs w:val="21"/>
                      <w:vertAlign w:val="subscript"/>
                    </w:rPr>
                    <w:t>2</w:t>
                  </w:r>
                </w:p>
              </w:tc>
              <w:tc>
                <w:tcPr>
                  <w:tcW w:w="1316" w:type="pct"/>
                  <w:tcBorders>
                    <w:tl2br w:val="nil"/>
                    <w:tr2bl w:val="nil"/>
                  </w:tcBorders>
                  <w:noWrap w:val="0"/>
                  <w:vAlign w:val="center"/>
                </w:tcPr>
                <w:p w14:paraId="4CBAFFBE">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年均值</w:t>
                  </w:r>
                </w:p>
              </w:tc>
              <w:tc>
                <w:tcPr>
                  <w:tcW w:w="1151" w:type="pct"/>
                  <w:tcBorders>
                    <w:tl2br w:val="nil"/>
                    <w:tr2bl w:val="nil"/>
                  </w:tcBorders>
                  <w:noWrap w:val="0"/>
                  <w:vAlign w:val="center"/>
                </w:tcPr>
                <w:p w14:paraId="7F4FE15C">
                  <w:pPr>
                    <w:widowControl/>
                    <w:spacing w:line="240" w:lineRule="auto"/>
                    <w:ind w:firstLine="0" w:firstLineChars="0"/>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7</w:t>
                  </w:r>
                </w:p>
              </w:tc>
              <w:tc>
                <w:tcPr>
                  <w:tcW w:w="857" w:type="pct"/>
                  <w:tcBorders>
                    <w:tl2br w:val="nil"/>
                    <w:tr2bl w:val="nil"/>
                  </w:tcBorders>
                  <w:noWrap w:val="0"/>
                  <w:vAlign w:val="center"/>
                </w:tcPr>
                <w:p w14:paraId="0C4246EA">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60</w:t>
                  </w:r>
                </w:p>
              </w:tc>
              <w:tc>
                <w:tcPr>
                  <w:tcW w:w="630" w:type="pct"/>
                  <w:tcBorders>
                    <w:tl2br w:val="nil"/>
                    <w:tr2bl w:val="nil"/>
                  </w:tcBorders>
                  <w:noWrap w:val="0"/>
                  <w:vAlign w:val="center"/>
                </w:tcPr>
                <w:p w14:paraId="1EDA784C">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11.67</w:t>
                  </w:r>
                </w:p>
              </w:tc>
              <w:tc>
                <w:tcPr>
                  <w:tcW w:w="509" w:type="pct"/>
                  <w:tcBorders>
                    <w:tl2br w:val="nil"/>
                    <w:tr2bl w:val="nil"/>
                  </w:tcBorders>
                  <w:noWrap w:val="0"/>
                  <w:vAlign w:val="center"/>
                </w:tcPr>
                <w:p w14:paraId="2DBF2682">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14:paraId="4E46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pct"/>
                  <w:tcBorders>
                    <w:tl2br w:val="nil"/>
                    <w:tr2bl w:val="nil"/>
                  </w:tcBorders>
                  <w:noWrap w:val="0"/>
                  <w:vAlign w:val="center"/>
                </w:tcPr>
                <w:p w14:paraId="50365355">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NO</w:t>
                  </w:r>
                  <w:r>
                    <w:rPr>
                      <w:rFonts w:hint="eastAsia" w:ascii="Times New Roman" w:hAnsi="Times New Roman" w:eastAsia="宋体" w:cs="Times New Roman"/>
                      <w:color w:val="auto"/>
                      <w:kern w:val="0"/>
                      <w:szCs w:val="21"/>
                      <w:vertAlign w:val="subscript"/>
                    </w:rPr>
                    <w:t>2</w:t>
                  </w:r>
                </w:p>
              </w:tc>
              <w:tc>
                <w:tcPr>
                  <w:tcW w:w="1316" w:type="pct"/>
                  <w:tcBorders>
                    <w:tl2br w:val="nil"/>
                    <w:tr2bl w:val="nil"/>
                  </w:tcBorders>
                  <w:noWrap w:val="0"/>
                  <w:vAlign w:val="center"/>
                </w:tcPr>
                <w:p w14:paraId="60DCB6CF">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年均值</w:t>
                  </w:r>
                </w:p>
              </w:tc>
              <w:tc>
                <w:tcPr>
                  <w:tcW w:w="1151" w:type="pct"/>
                  <w:tcBorders>
                    <w:tl2br w:val="nil"/>
                    <w:tr2bl w:val="nil"/>
                  </w:tcBorders>
                  <w:noWrap w:val="0"/>
                  <w:vAlign w:val="center"/>
                </w:tcPr>
                <w:p w14:paraId="2E01B00B">
                  <w:pPr>
                    <w:widowControl/>
                    <w:spacing w:line="240" w:lineRule="auto"/>
                    <w:ind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19</w:t>
                  </w:r>
                </w:p>
              </w:tc>
              <w:tc>
                <w:tcPr>
                  <w:tcW w:w="857" w:type="pct"/>
                  <w:tcBorders>
                    <w:tl2br w:val="nil"/>
                    <w:tr2bl w:val="nil"/>
                  </w:tcBorders>
                  <w:noWrap w:val="0"/>
                  <w:vAlign w:val="center"/>
                </w:tcPr>
                <w:p w14:paraId="0F6694DA">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40</w:t>
                  </w:r>
                </w:p>
              </w:tc>
              <w:tc>
                <w:tcPr>
                  <w:tcW w:w="630" w:type="pct"/>
                  <w:tcBorders>
                    <w:tl2br w:val="nil"/>
                    <w:tr2bl w:val="nil"/>
                  </w:tcBorders>
                  <w:noWrap w:val="0"/>
                  <w:vAlign w:val="center"/>
                </w:tcPr>
                <w:p w14:paraId="4F9777E6">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47.50</w:t>
                  </w:r>
                </w:p>
              </w:tc>
              <w:tc>
                <w:tcPr>
                  <w:tcW w:w="509" w:type="pct"/>
                  <w:tcBorders>
                    <w:tl2br w:val="nil"/>
                    <w:tr2bl w:val="nil"/>
                  </w:tcBorders>
                  <w:noWrap w:val="0"/>
                  <w:vAlign w:val="center"/>
                </w:tcPr>
                <w:p w14:paraId="7B94400C">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14:paraId="254D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pct"/>
                  <w:tcBorders>
                    <w:tl2br w:val="nil"/>
                    <w:tr2bl w:val="nil"/>
                  </w:tcBorders>
                  <w:noWrap w:val="0"/>
                  <w:vAlign w:val="center"/>
                </w:tcPr>
                <w:p w14:paraId="6BFB5DA9">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CO</w:t>
                  </w:r>
                </w:p>
              </w:tc>
              <w:tc>
                <w:tcPr>
                  <w:tcW w:w="1316" w:type="pct"/>
                  <w:tcBorders>
                    <w:tl2br w:val="nil"/>
                    <w:tr2bl w:val="nil"/>
                  </w:tcBorders>
                  <w:noWrap w:val="0"/>
                  <w:vAlign w:val="center"/>
                </w:tcPr>
                <w:p w14:paraId="2E95DD4A">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日均值第95百分位数</w:t>
                  </w:r>
                </w:p>
              </w:tc>
              <w:tc>
                <w:tcPr>
                  <w:tcW w:w="1151" w:type="pct"/>
                  <w:tcBorders>
                    <w:tl2br w:val="nil"/>
                    <w:tr2bl w:val="nil"/>
                  </w:tcBorders>
                  <w:noWrap w:val="0"/>
                  <w:vAlign w:val="center"/>
                </w:tcPr>
                <w:p w14:paraId="45E99641">
                  <w:pPr>
                    <w:widowControl/>
                    <w:spacing w:line="240" w:lineRule="auto"/>
                    <w:ind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800</w:t>
                  </w:r>
                </w:p>
              </w:tc>
              <w:tc>
                <w:tcPr>
                  <w:tcW w:w="857" w:type="pct"/>
                  <w:tcBorders>
                    <w:tl2br w:val="nil"/>
                    <w:tr2bl w:val="nil"/>
                  </w:tcBorders>
                  <w:noWrap w:val="0"/>
                  <w:vAlign w:val="center"/>
                </w:tcPr>
                <w:p w14:paraId="476D8808">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4000</w:t>
                  </w:r>
                </w:p>
              </w:tc>
              <w:tc>
                <w:tcPr>
                  <w:tcW w:w="630" w:type="pct"/>
                  <w:tcBorders>
                    <w:tl2br w:val="nil"/>
                    <w:tr2bl w:val="nil"/>
                  </w:tcBorders>
                  <w:noWrap w:val="0"/>
                  <w:vAlign w:val="center"/>
                </w:tcPr>
                <w:p w14:paraId="13285491">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20.00</w:t>
                  </w:r>
                </w:p>
              </w:tc>
              <w:tc>
                <w:tcPr>
                  <w:tcW w:w="509" w:type="pct"/>
                  <w:tcBorders>
                    <w:tl2br w:val="nil"/>
                    <w:tr2bl w:val="nil"/>
                  </w:tcBorders>
                  <w:noWrap w:val="0"/>
                  <w:vAlign w:val="center"/>
                </w:tcPr>
                <w:p w14:paraId="4EC44AA2">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14:paraId="0ED9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pct"/>
                  <w:tcBorders>
                    <w:tl2br w:val="nil"/>
                    <w:tr2bl w:val="nil"/>
                  </w:tcBorders>
                  <w:noWrap w:val="0"/>
                  <w:vAlign w:val="center"/>
                </w:tcPr>
                <w:p w14:paraId="5DF1AC4E">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O</w:t>
                  </w:r>
                  <w:r>
                    <w:rPr>
                      <w:rFonts w:hint="eastAsia" w:ascii="Times New Roman" w:hAnsi="Times New Roman" w:eastAsia="宋体" w:cs="Times New Roman"/>
                      <w:color w:val="auto"/>
                      <w:kern w:val="0"/>
                      <w:szCs w:val="21"/>
                      <w:vertAlign w:val="subscript"/>
                    </w:rPr>
                    <w:t>3</w:t>
                  </w:r>
                </w:p>
              </w:tc>
              <w:tc>
                <w:tcPr>
                  <w:tcW w:w="1316" w:type="pct"/>
                  <w:tcBorders>
                    <w:tl2br w:val="nil"/>
                    <w:tr2bl w:val="nil"/>
                  </w:tcBorders>
                  <w:noWrap w:val="0"/>
                  <w:vAlign w:val="center"/>
                </w:tcPr>
                <w:p w14:paraId="0C4AD4AA">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日最大8小时平均值第90百分位数</w:t>
                  </w:r>
                </w:p>
              </w:tc>
              <w:tc>
                <w:tcPr>
                  <w:tcW w:w="1151" w:type="pct"/>
                  <w:tcBorders>
                    <w:tl2br w:val="nil"/>
                    <w:tr2bl w:val="nil"/>
                  </w:tcBorders>
                  <w:noWrap w:val="0"/>
                  <w:vAlign w:val="center"/>
                </w:tcPr>
                <w:p w14:paraId="460A292C">
                  <w:pPr>
                    <w:widowControl/>
                    <w:spacing w:line="240" w:lineRule="auto"/>
                    <w:ind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160</w:t>
                  </w:r>
                </w:p>
              </w:tc>
              <w:tc>
                <w:tcPr>
                  <w:tcW w:w="857" w:type="pct"/>
                  <w:tcBorders>
                    <w:tl2br w:val="nil"/>
                    <w:tr2bl w:val="nil"/>
                  </w:tcBorders>
                  <w:noWrap w:val="0"/>
                  <w:vAlign w:val="center"/>
                </w:tcPr>
                <w:p w14:paraId="5C753B33">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160</w:t>
                  </w:r>
                </w:p>
              </w:tc>
              <w:tc>
                <w:tcPr>
                  <w:tcW w:w="630" w:type="pct"/>
                  <w:tcBorders>
                    <w:tl2br w:val="nil"/>
                    <w:tr2bl w:val="nil"/>
                  </w:tcBorders>
                  <w:noWrap w:val="0"/>
                  <w:vAlign w:val="center"/>
                </w:tcPr>
                <w:p w14:paraId="586D8226">
                  <w:pPr>
                    <w:widowControl/>
                    <w:spacing w:line="240" w:lineRule="auto"/>
                    <w:ind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100.00</w:t>
                  </w:r>
                </w:p>
              </w:tc>
              <w:tc>
                <w:tcPr>
                  <w:tcW w:w="509" w:type="pct"/>
                  <w:tcBorders>
                    <w:tl2br w:val="nil"/>
                    <w:tr2bl w:val="nil"/>
                  </w:tcBorders>
                  <w:noWrap w:val="0"/>
                  <w:vAlign w:val="center"/>
                </w:tcPr>
                <w:p w14:paraId="329B778D">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14:paraId="1FE7D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pct"/>
                  <w:tcBorders>
                    <w:tl2br w:val="nil"/>
                    <w:tr2bl w:val="nil"/>
                  </w:tcBorders>
                  <w:noWrap w:val="0"/>
                  <w:vAlign w:val="center"/>
                </w:tcPr>
                <w:p w14:paraId="19C15181">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PM</w:t>
                  </w:r>
                  <w:r>
                    <w:rPr>
                      <w:rFonts w:hint="eastAsia" w:ascii="Times New Roman" w:hAnsi="Times New Roman" w:eastAsia="宋体" w:cs="Times New Roman"/>
                      <w:color w:val="auto"/>
                      <w:kern w:val="0"/>
                      <w:szCs w:val="21"/>
                      <w:vertAlign w:val="subscript"/>
                    </w:rPr>
                    <w:t>10</w:t>
                  </w:r>
                </w:p>
              </w:tc>
              <w:tc>
                <w:tcPr>
                  <w:tcW w:w="1316" w:type="pct"/>
                  <w:tcBorders>
                    <w:tl2br w:val="nil"/>
                    <w:tr2bl w:val="nil"/>
                  </w:tcBorders>
                  <w:noWrap w:val="0"/>
                  <w:vAlign w:val="center"/>
                </w:tcPr>
                <w:p w14:paraId="18B48637">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年均值</w:t>
                  </w:r>
                </w:p>
              </w:tc>
              <w:tc>
                <w:tcPr>
                  <w:tcW w:w="1151" w:type="pct"/>
                  <w:tcBorders>
                    <w:tl2br w:val="nil"/>
                    <w:tr2bl w:val="nil"/>
                  </w:tcBorders>
                  <w:noWrap w:val="0"/>
                  <w:vAlign w:val="center"/>
                </w:tcPr>
                <w:p w14:paraId="68914D99">
                  <w:pPr>
                    <w:widowControl/>
                    <w:spacing w:line="240" w:lineRule="auto"/>
                    <w:ind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65</w:t>
                  </w:r>
                </w:p>
              </w:tc>
              <w:tc>
                <w:tcPr>
                  <w:tcW w:w="857" w:type="pct"/>
                  <w:tcBorders>
                    <w:tl2br w:val="nil"/>
                    <w:tr2bl w:val="nil"/>
                  </w:tcBorders>
                  <w:noWrap w:val="0"/>
                  <w:vAlign w:val="center"/>
                </w:tcPr>
                <w:p w14:paraId="29E11FC2">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70</w:t>
                  </w:r>
                </w:p>
              </w:tc>
              <w:tc>
                <w:tcPr>
                  <w:tcW w:w="630" w:type="pct"/>
                  <w:tcBorders>
                    <w:tl2br w:val="nil"/>
                    <w:tr2bl w:val="nil"/>
                  </w:tcBorders>
                  <w:noWrap w:val="0"/>
                  <w:vAlign w:val="center"/>
                </w:tcPr>
                <w:p w14:paraId="70331F07">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92.86</w:t>
                  </w:r>
                </w:p>
              </w:tc>
              <w:tc>
                <w:tcPr>
                  <w:tcW w:w="509" w:type="pct"/>
                  <w:tcBorders>
                    <w:tl2br w:val="nil"/>
                    <w:tr2bl w:val="nil"/>
                  </w:tcBorders>
                  <w:noWrap w:val="0"/>
                  <w:vAlign w:val="center"/>
                </w:tcPr>
                <w:p w14:paraId="680D2A47">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14:paraId="3B74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pct"/>
                  <w:tcBorders>
                    <w:tl2br w:val="nil"/>
                    <w:tr2bl w:val="nil"/>
                  </w:tcBorders>
                  <w:noWrap w:val="0"/>
                  <w:vAlign w:val="center"/>
                </w:tcPr>
                <w:p w14:paraId="4A8FBF33">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PM</w:t>
                  </w:r>
                  <w:r>
                    <w:rPr>
                      <w:rFonts w:hint="eastAsia" w:ascii="Times New Roman" w:hAnsi="Times New Roman" w:eastAsia="宋体" w:cs="Times New Roman"/>
                      <w:color w:val="auto"/>
                      <w:kern w:val="0"/>
                      <w:szCs w:val="21"/>
                      <w:vertAlign w:val="subscript"/>
                    </w:rPr>
                    <w:t>2.5</w:t>
                  </w:r>
                </w:p>
              </w:tc>
              <w:tc>
                <w:tcPr>
                  <w:tcW w:w="1316" w:type="pct"/>
                  <w:tcBorders>
                    <w:tl2br w:val="nil"/>
                    <w:tr2bl w:val="nil"/>
                  </w:tcBorders>
                  <w:noWrap w:val="0"/>
                  <w:vAlign w:val="center"/>
                </w:tcPr>
                <w:p w14:paraId="22DDAF28">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年均值</w:t>
                  </w:r>
                </w:p>
              </w:tc>
              <w:tc>
                <w:tcPr>
                  <w:tcW w:w="1151" w:type="pct"/>
                  <w:tcBorders>
                    <w:tl2br w:val="nil"/>
                    <w:tr2bl w:val="nil"/>
                  </w:tcBorders>
                  <w:noWrap w:val="0"/>
                  <w:vAlign w:val="center"/>
                </w:tcPr>
                <w:p w14:paraId="3AB34987">
                  <w:pPr>
                    <w:widowControl/>
                    <w:spacing w:line="240" w:lineRule="auto"/>
                    <w:ind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40</w:t>
                  </w:r>
                </w:p>
              </w:tc>
              <w:tc>
                <w:tcPr>
                  <w:tcW w:w="857" w:type="pct"/>
                  <w:tcBorders>
                    <w:tl2br w:val="nil"/>
                    <w:tr2bl w:val="nil"/>
                  </w:tcBorders>
                  <w:noWrap w:val="0"/>
                  <w:vAlign w:val="center"/>
                </w:tcPr>
                <w:p w14:paraId="73853549">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35</w:t>
                  </w:r>
                </w:p>
              </w:tc>
              <w:tc>
                <w:tcPr>
                  <w:tcW w:w="630" w:type="pct"/>
                  <w:tcBorders>
                    <w:tl2br w:val="nil"/>
                    <w:tr2bl w:val="nil"/>
                  </w:tcBorders>
                  <w:noWrap w:val="0"/>
                  <w:vAlign w:val="center"/>
                </w:tcPr>
                <w:p w14:paraId="34D671B7">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114.29</w:t>
                  </w:r>
                </w:p>
              </w:tc>
              <w:tc>
                <w:tcPr>
                  <w:tcW w:w="509" w:type="pct"/>
                  <w:tcBorders>
                    <w:tl2br w:val="nil"/>
                    <w:tr2bl w:val="nil"/>
                  </w:tcBorders>
                  <w:noWrap w:val="0"/>
                  <w:vAlign w:val="center"/>
                </w:tcPr>
                <w:p w14:paraId="488B95E2">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不达标</w:t>
                  </w:r>
                </w:p>
              </w:tc>
            </w:tr>
          </w:tbl>
          <w:p w14:paraId="009711E2">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color w:val="auto"/>
                <w:sz w:val="24"/>
              </w:rPr>
            </w:pPr>
            <w:bookmarkStart w:id="8" w:name="_Toc12167"/>
            <w:r>
              <w:rPr>
                <w:rFonts w:hint="eastAsia" w:ascii="Times New Roman" w:hAnsi="Times New Roman" w:eastAsia="宋体" w:cs="Times New Roman"/>
                <w:color w:val="auto"/>
                <w:sz w:val="24"/>
                <w:szCs w:val="24"/>
                <w:lang w:val="en-US" w:eastAsia="zh-CN" w:bidi="ar-SA"/>
              </w:rPr>
              <w:t>综上，2024年淮南市二氧化硫（SO</w:t>
            </w:r>
            <w:r>
              <w:rPr>
                <w:rFonts w:hint="eastAsia" w:ascii="Times New Roman" w:hAnsi="Times New Roman" w:eastAsia="宋体" w:cs="Times New Roman"/>
                <w:color w:val="auto"/>
                <w:sz w:val="24"/>
                <w:szCs w:val="24"/>
                <w:vertAlign w:val="subscript"/>
                <w:lang w:val="en-US" w:eastAsia="zh-CN" w:bidi="ar-SA"/>
              </w:rPr>
              <w:t>2</w:t>
            </w:r>
            <w:r>
              <w:rPr>
                <w:rFonts w:hint="eastAsia" w:ascii="Times New Roman" w:hAnsi="Times New Roman" w:eastAsia="宋体" w:cs="Times New Roman"/>
                <w:color w:val="auto"/>
                <w:sz w:val="24"/>
                <w:szCs w:val="24"/>
                <w:lang w:val="en-US" w:eastAsia="zh-CN" w:bidi="ar-SA"/>
              </w:rPr>
              <w:t>）、二氧化氮（NO</w:t>
            </w:r>
            <w:r>
              <w:rPr>
                <w:rFonts w:hint="eastAsia" w:ascii="Times New Roman" w:hAnsi="Times New Roman" w:eastAsia="宋体" w:cs="Times New Roman"/>
                <w:color w:val="auto"/>
                <w:sz w:val="24"/>
                <w:szCs w:val="24"/>
                <w:vertAlign w:val="subscript"/>
                <w:lang w:val="en-US" w:eastAsia="zh-CN" w:bidi="ar-SA"/>
              </w:rPr>
              <w:t>2</w:t>
            </w:r>
            <w:r>
              <w:rPr>
                <w:rFonts w:hint="eastAsia" w:ascii="Times New Roman" w:hAnsi="Times New Roman" w:eastAsia="宋体" w:cs="Times New Roman"/>
                <w:color w:val="auto"/>
                <w:sz w:val="24"/>
                <w:szCs w:val="24"/>
                <w:lang w:val="en-US" w:eastAsia="zh-CN" w:bidi="ar-SA"/>
              </w:rPr>
              <w:t>）、一氧化碳（CO）、可吸入颗粒物（PM</w:t>
            </w:r>
            <w:r>
              <w:rPr>
                <w:rFonts w:hint="eastAsia" w:ascii="Times New Roman" w:hAnsi="Times New Roman" w:eastAsia="宋体" w:cs="Times New Roman"/>
                <w:color w:val="auto"/>
                <w:sz w:val="24"/>
                <w:szCs w:val="24"/>
                <w:vertAlign w:val="subscript"/>
                <w:lang w:val="en-US" w:eastAsia="zh-CN" w:bidi="ar-SA"/>
              </w:rPr>
              <w:t>10</w:t>
            </w:r>
            <w:r>
              <w:rPr>
                <w:rFonts w:hint="eastAsia" w:ascii="Times New Roman" w:hAnsi="Times New Roman" w:eastAsia="宋体" w:cs="Times New Roman"/>
                <w:color w:val="auto"/>
                <w:sz w:val="24"/>
                <w:szCs w:val="24"/>
                <w:lang w:val="en-US" w:eastAsia="zh-CN" w:bidi="ar-SA"/>
              </w:rPr>
              <w:t>年均浓度）、臭氧（O</w:t>
            </w:r>
            <w:r>
              <w:rPr>
                <w:rFonts w:hint="eastAsia" w:ascii="Times New Roman" w:hAnsi="Times New Roman" w:eastAsia="宋体" w:cs="Times New Roman"/>
                <w:color w:val="auto"/>
                <w:sz w:val="24"/>
                <w:szCs w:val="24"/>
                <w:vertAlign w:val="subscript"/>
                <w:lang w:val="en-US" w:eastAsia="zh-CN" w:bidi="ar-SA"/>
              </w:rPr>
              <w:t>3</w:t>
            </w:r>
            <w:r>
              <w:rPr>
                <w:rFonts w:hint="eastAsia" w:ascii="Times New Roman" w:hAnsi="Times New Roman" w:eastAsia="宋体" w:cs="Times New Roman"/>
                <w:color w:val="auto"/>
                <w:sz w:val="24"/>
                <w:szCs w:val="24"/>
                <w:lang w:val="en-US" w:eastAsia="zh-CN" w:bidi="ar-SA"/>
              </w:rPr>
              <w:t>）年均浓度均符合《环境空气质量标准》（GB3095-2012）二级标准，细颗粒物（PM</w:t>
            </w:r>
            <w:r>
              <w:rPr>
                <w:rFonts w:hint="eastAsia" w:ascii="Times New Roman" w:hAnsi="Times New Roman" w:eastAsia="宋体" w:cs="Times New Roman"/>
                <w:color w:val="auto"/>
                <w:sz w:val="24"/>
                <w:szCs w:val="24"/>
                <w:vertAlign w:val="subscript"/>
                <w:lang w:val="en-US" w:eastAsia="zh-CN" w:bidi="ar-SA"/>
              </w:rPr>
              <w:t>2.5</w:t>
            </w:r>
            <w:r>
              <w:rPr>
                <w:rFonts w:hint="eastAsia" w:ascii="Times New Roman" w:hAnsi="Times New Roman" w:eastAsia="宋体" w:cs="Times New Roman"/>
                <w:color w:val="auto"/>
                <w:sz w:val="24"/>
                <w:szCs w:val="24"/>
                <w:lang w:val="en-US" w:eastAsia="zh-CN" w:bidi="ar-SA"/>
              </w:rPr>
              <w:t>）年均浓度超过《环境空气质量标准》（GB3095-2012）二级标准，因此项目所在评价区域为不达标</w:t>
            </w:r>
            <w:bookmarkEnd w:id="8"/>
            <w:r>
              <w:rPr>
                <w:rFonts w:hint="eastAsia" w:ascii="Times New Roman" w:hAnsi="Times New Roman"/>
                <w:sz w:val="24"/>
              </w:rPr>
              <w:t>区。</w:t>
            </w:r>
          </w:p>
          <w:p w14:paraId="77BFC5A2">
            <w:pPr>
              <w:spacing w:line="360" w:lineRule="auto"/>
              <w:ind w:firstLine="482" w:firstLineChars="200"/>
              <w:rPr>
                <w:rFonts w:ascii="Times New Roman" w:hAnsi="Times New Roman"/>
                <w:b/>
                <w:bCs/>
                <w:color w:val="auto"/>
                <w:sz w:val="24"/>
              </w:rPr>
            </w:pPr>
            <w:r>
              <w:rPr>
                <w:rFonts w:ascii="Times New Roman" w:hAnsi="Times New Roman"/>
                <w:b/>
                <w:bCs/>
                <w:color w:val="auto"/>
                <w:sz w:val="24"/>
              </w:rPr>
              <w:t>2、地表水环境现状</w:t>
            </w:r>
          </w:p>
          <w:p w14:paraId="224B0C3F">
            <w:pPr>
              <w:pStyle w:val="2"/>
              <w:spacing w:before="0" w:after="0" w:line="360" w:lineRule="auto"/>
              <w:ind w:firstLine="480"/>
              <w:rPr>
                <w:rFonts w:hint="eastAsia" w:ascii="Times New Roman" w:hAnsi="Times New Roman"/>
                <w:b w:val="0"/>
                <w:color w:val="auto"/>
                <w:sz w:val="24"/>
                <w:szCs w:val="24"/>
              </w:rPr>
            </w:pPr>
            <w:r>
              <w:rPr>
                <w:rFonts w:hint="eastAsia" w:ascii="Times New Roman" w:hAnsi="Times New Roman"/>
                <w:b w:val="0"/>
                <w:color w:val="auto"/>
                <w:sz w:val="24"/>
                <w:szCs w:val="24"/>
              </w:rPr>
              <w:t>根据《2024年淮南市生态环境质量状况公报》：</w:t>
            </w:r>
          </w:p>
          <w:p w14:paraId="47793987">
            <w:pPr>
              <w:pStyle w:val="2"/>
              <w:spacing w:before="0" w:after="0" w:line="360" w:lineRule="auto"/>
              <w:ind w:firstLine="480"/>
              <w:rPr>
                <w:rFonts w:ascii="Times New Roman" w:hAnsi="Times New Roman"/>
                <w:b w:val="0"/>
                <w:color w:val="auto"/>
                <w:sz w:val="24"/>
                <w:szCs w:val="24"/>
              </w:rPr>
            </w:pPr>
            <w:r>
              <w:rPr>
                <w:rFonts w:hint="eastAsia" w:ascii="Times New Roman" w:hAnsi="Times New Roman"/>
                <w:b w:val="0"/>
                <w:color w:val="auto"/>
                <w:sz w:val="24"/>
                <w:szCs w:val="24"/>
              </w:rPr>
              <w:t>2024年淮南市地表水24个监测断面中优良水质比例为91.7%，比上年下降了4.1个百分点，Ⅳ类水质比例8.3%，总体水质状况优。</w:t>
            </w:r>
          </w:p>
          <w:p w14:paraId="730C956A">
            <w:pPr>
              <w:pStyle w:val="5"/>
              <w:spacing w:line="360" w:lineRule="auto"/>
              <w:ind w:firstLine="482"/>
              <w:rPr>
                <w:rFonts w:ascii="Times New Roman" w:hAnsi="Times New Roman"/>
                <w:b/>
                <w:bCs/>
                <w:color w:val="auto"/>
                <w:sz w:val="24"/>
                <w:lang w:val="en-US" w:eastAsia="zh-CN"/>
              </w:rPr>
            </w:pPr>
            <w:r>
              <w:rPr>
                <w:rFonts w:ascii="Times New Roman" w:hAnsi="Times New Roman"/>
                <w:b/>
                <w:bCs/>
                <w:color w:val="auto"/>
                <w:sz w:val="24"/>
                <w:lang w:val="en-US" w:eastAsia="zh-CN"/>
              </w:rPr>
              <w:t>3、声环境质量现状</w:t>
            </w:r>
          </w:p>
          <w:p w14:paraId="07B83023">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2024年，全市区域环境噪声昼间平均等效声级为51.6分贝，与上年相比上升0.4分贝，噪声总体水平稳定保持二级，声环境质量较好。</w:t>
            </w:r>
          </w:p>
          <w:p w14:paraId="64E0C958">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城市道路交通噪声昼间平均等效声级为66.6分贝，与上年相比上升0.4分贝，噪声强度等级稳定保持为一级，声环境质量级别为好。</w:t>
            </w:r>
          </w:p>
          <w:p w14:paraId="5ACF15BF">
            <w:pPr>
              <w:spacing w:line="360" w:lineRule="auto"/>
              <w:ind w:firstLine="480" w:firstLineChars="200"/>
              <w:rPr>
                <w:rFonts w:hint="eastAsia" w:ascii="Times New Roman" w:hAnsi="Times New Roman" w:eastAsia="宋体"/>
                <w:color w:val="auto"/>
                <w:sz w:val="24"/>
                <w:lang w:eastAsia="zh-CN"/>
              </w:rPr>
            </w:pPr>
            <w:r>
              <w:rPr>
                <w:rFonts w:hint="eastAsia" w:ascii="Times New Roman" w:hAnsi="Times New Roman"/>
                <w:color w:val="auto"/>
                <w:sz w:val="24"/>
              </w:rPr>
              <w:t>各功能区噪声平均等效声级达标率为70.8%，昼间达标率为83.3%，夜间达标率为58.3%。与上年相比，昼间达标率减少0.5个百分点，夜间达标率减少6.7个百分点，平均等效声级达标率减少了3.5个百分点</w:t>
            </w:r>
            <w:r>
              <w:rPr>
                <w:rFonts w:hint="eastAsia" w:ascii="Times New Roman" w:hAnsi="Times New Roman"/>
                <w:color w:val="auto"/>
                <w:sz w:val="24"/>
                <w:lang w:eastAsia="zh-CN"/>
              </w:rPr>
              <w:t>。</w:t>
            </w:r>
          </w:p>
          <w:p w14:paraId="11E2EE32">
            <w:pPr>
              <w:spacing w:line="360" w:lineRule="auto"/>
              <w:ind w:firstLine="480" w:firstLineChars="200"/>
              <w:rPr>
                <w:rFonts w:ascii="Times New Roman"/>
                <w:color w:val="auto"/>
                <w:sz w:val="24"/>
              </w:rPr>
            </w:pPr>
            <w:r>
              <w:rPr>
                <w:rFonts w:ascii="Times New Roman"/>
                <w:color w:val="auto"/>
                <w:sz w:val="24"/>
              </w:rPr>
              <w:t>根据现场踏勘，项目</w:t>
            </w:r>
            <w:r>
              <w:rPr>
                <w:rFonts w:hint="eastAsia" w:ascii="Times New Roman"/>
                <w:color w:val="auto"/>
                <w:sz w:val="24"/>
                <w:lang w:val="en-US" w:eastAsia="zh-CN"/>
              </w:rPr>
              <w:t>1</w:t>
            </w:r>
            <w:r>
              <w:rPr>
                <w:rFonts w:hint="eastAsia" w:ascii="Times New Roman"/>
                <w:color w:val="auto"/>
                <w:sz w:val="24"/>
              </w:rPr>
              <w:t>号井场、</w:t>
            </w:r>
            <w:r>
              <w:rPr>
                <w:rFonts w:hint="eastAsia" w:ascii="Times New Roman"/>
                <w:color w:val="auto"/>
                <w:sz w:val="24"/>
                <w:lang w:val="en-US" w:eastAsia="zh-CN"/>
              </w:rPr>
              <w:t>2</w:t>
            </w:r>
            <w:r>
              <w:rPr>
                <w:rFonts w:hint="eastAsia" w:ascii="Times New Roman"/>
                <w:color w:val="auto"/>
                <w:sz w:val="24"/>
              </w:rPr>
              <w:t>号井场周边</w:t>
            </w:r>
            <w:r>
              <w:rPr>
                <w:rFonts w:ascii="Times New Roman"/>
                <w:color w:val="auto"/>
                <w:sz w:val="24"/>
              </w:rPr>
              <w:t>50米范围内存在声环境保护目标。故本项目需进行声环境质量现状监测。</w:t>
            </w:r>
          </w:p>
          <w:p w14:paraId="32D89452">
            <w:pPr>
              <w:spacing w:line="360" w:lineRule="auto"/>
              <w:jc w:val="center"/>
              <w:rPr>
                <w:rFonts w:hint="eastAsia" w:ascii="Times New Roman" w:hAnsi="Times New Roman"/>
                <w:b/>
                <w:color w:val="auto"/>
                <w:szCs w:val="21"/>
                <w:lang w:val="en-US" w:eastAsia="zh-CN"/>
              </w:rPr>
            </w:pPr>
            <w:r>
              <w:rPr>
                <w:rFonts w:hint="default" w:ascii="Times New Roman" w:hAnsi="Times New Roman"/>
                <w:b/>
                <w:color w:val="auto"/>
                <w:szCs w:val="21"/>
                <w:lang w:val="en-US" w:eastAsia="zh-CN"/>
              </w:rPr>
              <w:t>表3-</w:t>
            </w:r>
            <w:r>
              <w:rPr>
                <w:rFonts w:hint="eastAsia" w:ascii="Times New Roman" w:hAnsi="Times New Roman"/>
                <w:b/>
                <w:color w:val="auto"/>
                <w:szCs w:val="21"/>
                <w:lang w:val="en-US" w:eastAsia="zh-CN"/>
              </w:rPr>
              <w:t>4</w:t>
            </w:r>
            <w:r>
              <w:rPr>
                <w:rFonts w:hint="default" w:ascii="Times New Roman" w:hAnsi="Times New Roman"/>
                <w:b/>
                <w:color w:val="auto"/>
                <w:szCs w:val="21"/>
                <w:lang w:val="en-US" w:eastAsia="zh-CN"/>
              </w:rPr>
              <w:t xml:space="preserve">  声环境现状监测</w:t>
            </w:r>
            <w:r>
              <w:rPr>
                <w:rFonts w:hint="eastAsia" w:ascii="Times New Roman" w:hAnsi="Times New Roman"/>
                <w:b/>
                <w:color w:val="auto"/>
                <w:szCs w:val="21"/>
                <w:lang w:val="en-US" w:eastAsia="zh-CN"/>
              </w:rPr>
              <w:t>点布设一览表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1308"/>
              <w:gridCol w:w="2350"/>
              <w:gridCol w:w="2347"/>
            </w:tblGrid>
            <w:tr w14:paraId="7A9E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71" w:type="pct"/>
                  <w:noWrap w:val="0"/>
                  <w:vAlign w:val="center"/>
                </w:tcPr>
                <w:p w14:paraId="40928C43">
                  <w:pPr>
                    <w:jc w:val="center"/>
                    <w:rPr>
                      <w:rFonts w:ascii="Times New Roman" w:hAnsi="Times New Roman"/>
                      <w:color w:val="auto"/>
                      <w:szCs w:val="21"/>
                    </w:rPr>
                  </w:pPr>
                  <w:r>
                    <w:rPr>
                      <w:rFonts w:ascii="Times New Roman"/>
                      <w:color w:val="auto"/>
                      <w:szCs w:val="21"/>
                    </w:rPr>
                    <w:t>测点名称</w:t>
                  </w:r>
                </w:p>
              </w:tc>
              <w:tc>
                <w:tcPr>
                  <w:tcW w:w="833" w:type="pct"/>
                  <w:noWrap w:val="0"/>
                  <w:vAlign w:val="center"/>
                </w:tcPr>
                <w:p w14:paraId="2630BB79">
                  <w:pPr>
                    <w:jc w:val="center"/>
                    <w:rPr>
                      <w:rFonts w:ascii="Times New Roman" w:hAnsi="Times New Roman"/>
                      <w:color w:val="auto"/>
                      <w:szCs w:val="21"/>
                    </w:rPr>
                  </w:pPr>
                  <w:r>
                    <w:rPr>
                      <w:rFonts w:ascii="Times New Roman"/>
                      <w:color w:val="auto"/>
                      <w:szCs w:val="21"/>
                    </w:rPr>
                    <w:t>方位</w:t>
                  </w:r>
                </w:p>
              </w:tc>
              <w:tc>
                <w:tcPr>
                  <w:tcW w:w="1498" w:type="pct"/>
                  <w:noWrap w:val="0"/>
                  <w:vAlign w:val="center"/>
                </w:tcPr>
                <w:p w14:paraId="0449DE8D">
                  <w:pPr>
                    <w:jc w:val="center"/>
                    <w:rPr>
                      <w:rFonts w:ascii="Times New Roman" w:hAnsi="Times New Roman"/>
                      <w:color w:val="auto"/>
                      <w:szCs w:val="21"/>
                    </w:rPr>
                  </w:pPr>
                  <w:r>
                    <w:rPr>
                      <w:rFonts w:ascii="Times New Roman"/>
                      <w:color w:val="auto"/>
                      <w:szCs w:val="21"/>
                    </w:rPr>
                    <w:t>监测点位性质</w:t>
                  </w:r>
                </w:p>
              </w:tc>
              <w:tc>
                <w:tcPr>
                  <w:tcW w:w="1496" w:type="pct"/>
                  <w:noWrap w:val="0"/>
                  <w:vAlign w:val="center"/>
                </w:tcPr>
                <w:p w14:paraId="16B05D96">
                  <w:pPr>
                    <w:jc w:val="center"/>
                    <w:rPr>
                      <w:rFonts w:hint="eastAsia" w:ascii="Times New Roman" w:eastAsia="宋体"/>
                      <w:color w:val="auto"/>
                      <w:szCs w:val="21"/>
                      <w:lang w:val="en-US" w:eastAsia="zh-CN"/>
                    </w:rPr>
                  </w:pPr>
                  <w:r>
                    <w:rPr>
                      <w:rFonts w:hint="eastAsia" w:ascii="Times New Roman"/>
                      <w:color w:val="auto"/>
                      <w:szCs w:val="21"/>
                      <w:lang w:val="en-US" w:eastAsia="zh-CN"/>
                    </w:rPr>
                    <w:t>相对距离</w:t>
                  </w:r>
                </w:p>
              </w:tc>
            </w:tr>
            <w:tr w14:paraId="6C19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000" w:type="pct"/>
                  <w:gridSpan w:val="4"/>
                  <w:noWrap w:val="0"/>
                  <w:vAlign w:val="center"/>
                </w:tcPr>
                <w:p w14:paraId="5992AB1F">
                  <w:pPr>
                    <w:jc w:val="center"/>
                    <w:rPr>
                      <w:rFonts w:hint="eastAsia" w:ascii="Times New Roman" w:hAnsi="Times New Roman"/>
                      <w:color w:val="auto"/>
                      <w:szCs w:val="21"/>
                      <w:lang w:val="en-US" w:eastAsia="zh-CN"/>
                    </w:rPr>
                  </w:pPr>
                  <w:r>
                    <w:rPr>
                      <w:rFonts w:hint="eastAsia" w:ascii="Times New Roman"/>
                      <w:color w:val="auto"/>
                      <w:szCs w:val="21"/>
                      <w:lang w:val="en-US" w:eastAsia="zh-CN"/>
                    </w:rPr>
                    <w:t>2</w:t>
                  </w:r>
                  <w:r>
                    <w:rPr>
                      <w:rFonts w:ascii="Times New Roman"/>
                      <w:color w:val="auto"/>
                      <w:szCs w:val="21"/>
                    </w:rPr>
                    <w:t>号井场</w:t>
                  </w:r>
                </w:p>
              </w:tc>
            </w:tr>
            <w:tr w14:paraId="2862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71" w:type="pct"/>
                  <w:noWrap w:val="0"/>
                  <w:vAlign w:val="center"/>
                </w:tcPr>
                <w:p w14:paraId="55FDA42B">
                  <w:pPr>
                    <w:jc w:val="center"/>
                    <w:rPr>
                      <w:rFonts w:ascii="Times New Roman" w:hAnsi="Times New Roman"/>
                      <w:color w:val="auto"/>
                      <w:szCs w:val="21"/>
                    </w:rPr>
                  </w:pPr>
                  <w:r>
                    <w:rPr>
                      <w:rFonts w:hint="eastAsia" w:ascii="Times New Roman" w:hAnsi="Times New Roman"/>
                      <w:color w:val="auto"/>
                      <w:szCs w:val="21"/>
                      <w:lang w:val="en-US" w:eastAsia="zh-CN"/>
                    </w:rPr>
                    <w:t>N1</w:t>
                  </w:r>
                  <w:r>
                    <w:rPr>
                      <w:rFonts w:ascii="Times New Roman"/>
                      <w:color w:val="auto"/>
                      <w:szCs w:val="21"/>
                    </w:rPr>
                    <w:t>（</w:t>
                  </w:r>
                  <w:r>
                    <w:rPr>
                      <w:rFonts w:hint="eastAsia" w:ascii="Times New Roman"/>
                      <w:color w:val="auto"/>
                      <w:szCs w:val="21"/>
                      <w:lang w:val="en-US" w:eastAsia="zh-CN"/>
                    </w:rPr>
                    <w:t>史圩孜</w:t>
                  </w:r>
                  <w:r>
                    <w:rPr>
                      <w:rFonts w:ascii="Times New Roman"/>
                      <w:color w:val="auto"/>
                      <w:szCs w:val="21"/>
                    </w:rPr>
                    <w:t>）</w:t>
                  </w:r>
                </w:p>
              </w:tc>
              <w:tc>
                <w:tcPr>
                  <w:tcW w:w="833" w:type="pct"/>
                  <w:noWrap w:val="0"/>
                  <w:vAlign w:val="center"/>
                </w:tcPr>
                <w:p w14:paraId="7CC6379F">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N</w:t>
                  </w:r>
                </w:p>
              </w:tc>
              <w:tc>
                <w:tcPr>
                  <w:tcW w:w="1498" w:type="pct"/>
                  <w:noWrap w:val="0"/>
                  <w:vAlign w:val="center"/>
                </w:tcPr>
                <w:p w14:paraId="604C9B4B">
                  <w:pPr>
                    <w:jc w:val="center"/>
                    <w:rPr>
                      <w:rFonts w:ascii="Times New Roman" w:hAnsi="Times New Roman"/>
                      <w:color w:val="auto"/>
                      <w:szCs w:val="21"/>
                    </w:rPr>
                  </w:pPr>
                  <w:r>
                    <w:rPr>
                      <w:rFonts w:ascii="Times New Roman"/>
                      <w:color w:val="auto"/>
                      <w:szCs w:val="21"/>
                    </w:rPr>
                    <w:t>敏感点噪声</w:t>
                  </w:r>
                </w:p>
              </w:tc>
              <w:tc>
                <w:tcPr>
                  <w:tcW w:w="1496" w:type="pct"/>
                  <w:noWrap w:val="0"/>
                  <w:vAlign w:val="center"/>
                </w:tcPr>
                <w:p w14:paraId="3D6F09D0">
                  <w:pPr>
                    <w:jc w:val="center"/>
                    <w:rPr>
                      <w:rFonts w:hint="default" w:ascii="Times New Roman" w:eastAsia="宋体"/>
                      <w:color w:val="auto"/>
                      <w:szCs w:val="21"/>
                      <w:lang w:val="en-US" w:eastAsia="zh-CN"/>
                    </w:rPr>
                  </w:pPr>
                  <w:r>
                    <w:rPr>
                      <w:rFonts w:hint="eastAsia" w:ascii="Times New Roman"/>
                      <w:color w:val="auto"/>
                      <w:szCs w:val="21"/>
                      <w:lang w:val="en-US" w:eastAsia="zh-CN"/>
                    </w:rPr>
                    <w:t>40m</w:t>
                  </w:r>
                </w:p>
              </w:tc>
            </w:tr>
            <w:tr w14:paraId="3FF8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000" w:type="pct"/>
                  <w:gridSpan w:val="4"/>
                  <w:noWrap w:val="0"/>
                  <w:vAlign w:val="center"/>
                </w:tcPr>
                <w:p w14:paraId="07D8CCED">
                  <w:pPr>
                    <w:jc w:val="center"/>
                    <w:rPr>
                      <w:rFonts w:hint="eastAsia" w:ascii="Times New Roman" w:hAnsi="Times New Roman"/>
                      <w:color w:val="auto"/>
                      <w:szCs w:val="21"/>
                      <w:lang w:val="en-US" w:eastAsia="zh-CN"/>
                    </w:rPr>
                  </w:pPr>
                  <w:r>
                    <w:rPr>
                      <w:rFonts w:hint="eastAsia" w:ascii="Times New Roman"/>
                      <w:color w:val="auto"/>
                      <w:szCs w:val="21"/>
                      <w:lang w:val="en-US" w:eastAsia="zh-CN"/>
                    </w:rPr>
                    <w:t>1</w:t>
                  </w:r>
                  <w:r>
                    <w:rPr>
                      <w:rFonts w:ascii="Times New Roman"/>
                      <w:color w:val="auto"/>
                      <w:szCs w:val="21"/>
                    </w:rPr>
                    <w:t>号井场</w:t>
                  </w:r>
                </w:p>
              </w:tc>
            </w:tr>
            <w:tr w14:paraId="3C0B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71" w:type="pct"/>
                  <w:noWrap w:val="0"/>
                  <w:vAlign w:val="center"/>
                </w:tcPr>
                <w:p w14:paraId="353E7E25">
                  <w:pPr>
                    <w:jc w:val="center"/>
                    <w:rPr>
                      <w:rFonts w:ascii="Times New Roman" w:hAnsi="Times New Roman"/>
                      <w:color w:val="auto"/>
                      <w:szCs w:val="21"/>
                    </w:rPr>
                  </w:pPr>
                  <w:r>
                    <w:rPr>
                      <w:rFonts w:hint="eastAsia" w:ascii="Times New Roman" w:hAnsi="Times New Roman"/>
                      <w:color w:val="auto"/>
                      <w:szCs w:val="21"/>
                      <w:lang w:val="en-US" w:eastAsia="zh-CN"/>
                    </w:rPr>
                    <w:t>N2</w:t>
                  </w:r>
                  <w:r>
                    <w:rPr>
                      <w:rFonts w:ascii="Times New Roman"/>
                      <w:color w:val="auto"/>
                      <w:szCs w:val="21"/>
                    </w:rPr>
                    <w:t>（</w:t>
                  </w:r>
                  <w:r>
                    <w:rPr>
                      <w:rFonts w:hint="eastAsia" w:ascii="Times New Roman"/>
                      <w:color w:val="auto"/>
                      <w:szCs w:val="21"/>
                      <w:lang w:val="en-US" w:eastAsia="zh-CN"/>
                    </w:rPr>
                    <w:t>史圩孜</w:t>
                  </w:r>
                  <w:r>
                    <w:rPr>
                      <w:rFonts w:ascii="Times New Roman"/>
                      <w:color w:val="auto"/>
                      <w:szCs w:val="21"/>
                    </w:rPr>
                    <w:t>）</w:t>
                  </w:r>
                </w:p>
              </w:tc>
              <w:tc>
                <w:tcPr>
                  <w:tcW w:w="833" w:type="pct"/>
                  <w:noWrap w:val="0"/>
                  <w:vAlign w:val="center"/>
                </w:tcPr>
                <w:p w14:paraId="0EAA2B84">
                  <w:pPr>
                    <w:jc w:val="center"/>
                    <w:rPr>
                      <w:rFonts w:hint="eastAsia" w:ascii="Times New Roman" w:hAnsi="Times New Roman" w:eastAsia="宋体"/>
                      <w:color w:val="auto"/>
                      <w:szCs w:val="21"/>
                      <w:lang w:eastAsia="zh-CN"/>
                    </w:rPr>
                  </w:pPr>
                  <w:r>
                    <w:rPr>
                      <w:rFonts w:hint="eastAsia" w:ascii="Times New Roman" w:hAnsi="Times New Roman"/>
                      <w:color w:val="auto"/>
                      <w:szCs w:val="21"/>
                      <w:lang w:val="en-US" w:eastAsia="zh-CN"/>
                    </w:rPr>
                    <w:t>W</w:t>
                  </w:r>
                </w:p>
              </w:tc>
              <w:tc>
                <w:tcPr>
                  <w:tcW w:w="1498" w:type="pct"/>
                  <w:noWrap w:val="0"/>
                  <w:vAlign w:val="center"/>
                </w:tcPr>
                <w:p w14:paraId="741D2179">
                  <w:pPr>
                    <w:jc w:val="center"/>
                    <w:rPr>
                      <w:rFonts w:ascii="Times New Roman" w:hAnsi="Times New Roman"/>
                      <w:color w:val="auto"/>
                      <w:szCs w:val="21"/>
                    </w:rPr>
                  </w:pPr>
                  <w:r>
                    <w:rPr>
                      <w:rFonts w:ascii="Times New Roman"/>
                      <w:color w:val="auto"/>
                      <w:szCs w:val="21"/>
                    </w:rPr>
                    <w:t>敏感点噪声</w:t>
                  </w:r>
                </w:p>
              </w:tc>
              <w:tc>
                <w:tcPr>
                  <w:tcW w:w="1496" w:type="pct"/>
                  <w:noWrap w:val="0"/>
                  <w:vAlign w:val="center"/>
                </w:tcPr>
                <w:p w14:paraId="6451F839">
                  <w:pPr>
                    <w:jc w:val="center"/>
                    <w:rPr>
                      <w:rFonts w:hint="default" w:ascii="Times New Roman" w:eastAsia="宋体"/>
                      <w:color w:val="auto"/>
                      <w:szCs w:val="21"/>
                      <w:lang w:val="en-US" w:eastAsia="zh-CN"/>
                    </w:rPr>
                  </w:pPr>
                  <w:r>
                    <w:rPr>
                      <w:rFonts w:hint="eastAsia" w:ascii="Times New Roman"/>
                      <w:color w:val="auto"/>
                      <w:szCs w:val="21"/>
                      <w:lang w:val="en-US" w:eastAsia="zh-CN"/>
                    </w:rPr>
                    <w:t>30m</w:t>
                  </w:r>
                </w:p>
              </w:tc>
            </w:tr>
          </w:tbl>
          <w:p w14:paraId="59A27B5C">
            <w:pPr>
              <w:pStyle w:val="28"/>
              <w:jc w:val="center"/>
              <w:rPr>
                <w:rFonts w:hint="eastAsia"/>
                <w:color w:val="auto"/>
              </w:rPr>
            </w:pP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566420</wp:posOffset>
                      </wp:positionH>
                      <wp:positionV relativeFrom="paragraph">
                        <wp:posOffset>654050</wp:posOffset>
                      </wp:positionV>
                      <wp:extent cx="685165" cy="285750"/>
                      <wp:effectExtent l="0" t="0" r="0" b="0"/>
                      <wp:wrapNone/>
                      <wp:docPr id="7" name="文本框 7"/>
                      <wp:cNvGraphicFramePr/>
                      <a:graphic xmlns:a="http://schemas.openxmlformats.org/drawingml/2006/main">
                        <a:graphicData uri="http://schemas.microsoft.com/office/word/2010/wordprocessingShape">
                          <wps:wsp>
                            <wps:cNvSpPr txBox="1"/>
                            <wps:spPr>
                              <a:xfrm>
                                <a:off x="4243070" y="2618105"/>
                                <a:ext cx="68516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5EFFA">
                                  <w:pPr>
                                    <w:rPr>
                                      <w:rFonts w:hint="default" w:eastAsia="宋体"/>
                                      <w:b/>
                                      <w:bCs/>
                                      <w:color w:val="F5B482" w:themeColor="accent2" w:themeTint="99"/>
                                      <w:lang w:val="en-US" w:eastAsia="zh-CN"/>
                                      <w14:textFill>
                                        <w14:solidFill>
                                          <w14:schemeClr w14:val="accent2">
                                            <w14:lumMod w14:val="60000"/>
                                            <w14:lumOff w14:val="40000"/>
                                          </w14:schemeClr>
                                        </w14:solidFill>
                                      </w14:textFill>
                                    </w:rPr>
                                  </w:pPr>
                                  <w:r>
                                    <w:rPr>
                                      <w:rFonts w:hint="eastAsia"/>
                                      <w:b/>
                                      <w:bCs/>
                                      <w:color w:val="F5B482" w:themeColor="accent2" w:themeTint="99"/>
                                      <w:lang w:val="en-US" w:eastAsia="zh-CN"/>
                                      <w14:textFill>
                                        <w14:solidFill>
                                          <w14:schemeClr w14:val="accent2">
                                            <w14:lumMod w14:val="60000"/>
                                            <w14:lumOff w14:val="40000"/>
                                          </w14:schemeClr>
                                        </w14:solidFill>
                                      </w14:textFill>
                                    </w:rPr>
                                    <w:t>史圩孜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6pt;margin-top:51.5pt;height:22.5pt;width:53.95pt;z-index:251660288;mso-width-relative:page;mso-height-relative:page;" filled="f" stroked="f" coordsize="21600,21600" o:gfxdata="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8Mq5T2gAAAAoBAAAPAAAAAAAAAAEA&#10;IAAAACIAAABkcnMvZG93bnJldi54bWxQSwECFAAUAAAACACHTuJAR6PZOUYCAABxBAAADgAAAAAA&#10;AAABACAAAAApAQAAZHJzL2Uyb0RvYy54bWxQSwUGAAAAAAYABgBZAQAA4QUAAAAA&#10;">
                      <v:fill on="f" focussize="0,0"/>
                      <v:stroke on="f" weight="0.5pt"/>
                      <v:imagedata o:title=""/>
                      <o:lock v:ext="edit" aspectratio="f"/>
                      <v:textbox>
                        <w:txbxContent>
                          <w:p w14:paraId="48A5EFFA">
                            <w:pPr>
                              <w:rPr>
                                <w:rFonts w:hint="default" w:eastAsia="宋体"/>
                                <w:b/>
                                <w:bCs/>
                                <w:color w:val="F5B482" w:themeColor="accent2" w:themeTint="99"/>
                                <w:lang w:val="en-US" w:eastAsia="zh-CN"/>
                                <w14:textFill>
                                  <w14:solidFill>
                                    <w14:schemeClr w14:val="accent2">
                                      <w14:lumMod w14:val="60000"/>
                                      <w14:lumOff w14:val="40000"/>
                                    </w14:schemeClr>
                                  </w14:solidFill>
                                </w14:textFill>
                              </w:rPr>
                            </w:pPr>
                            <w:r>
                              <w:rPr>
                                <w:rFonts w:hint="eastAsia"/>
                                <w:b/>
                                <w:bCs/>
                                <w:color w:val="F5B482" w:themeColor="accent2" w:themeTint="99"/>
                                <w:lang w:val="en-US" w:eastAsia="zh-CN"/>
                                <w14:textFill>
                                  <w14:solidFill>
                                    <w14:schemeClr w14:val="accent2">
                                      <w14:lumMod w14:val="60000"/>
                                      <w14:lumOff w14:val="40000"/>
                                    </w14:schemeClr>
                                  </w14:solidFill>
                                </w14:textFill>
                              </w:rPr>
                              <w:t>史圩孜</w:t>
                            </w:r>
                          </w:p>
                        </w:txbxContent>
                      </v:textbox>
                    </v:shape>
                  </w:pict>
                </mc:Fallback>
              </mc:AlternateContent>
            </w:r>
            <w:r>
              <w:rPr>
                <w:color w:val="auto"/>
              </w:rPr>
              <w:drawing>
                <wp:anchor distT="0" distB="0" distL="114300" distR="114300" simplePos="0" relativeHeight="251662336" behindDoc="0" locked="0" layoutInCell="1" allowOverlap="1">
                  <wp:simplePos x="0" y="0"/>
                  <wp:positionH relativeFrom="column">
                    <wp:posOffset>4511675</wp:posOffset>
                  </wp:positionH>
                  <wp:positionV relativeFrom="paragraph">
                    <wp:posOffset>24130</wp:posOffset>
                  </wp:positionV>
                  <wp:extent cx="468630" cy="488950"/>
                  <wp:effectExtent l="0" t="0" r="7620" b="635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468630" cy="488950"/>
                          </a:xfrm>
                          <a:prstGeom prst="rect">
                            <a:avLst/>
                          </a:prstGeom>
                          <a:noFill/>
                          <a:ln>
                            <a:noFill/>
                          </a:ln>
                        </pic:spPr>
                      </pic:pic>
                    </a:graphicData>
                  </a:graphic>
                </wp:anchor>
              </w:drawing>
            </w:r>
            <w:r>
              <w:drawing>
                <wp:inline distT="0" distB="0" distL="114300" distR="114300">
                  <wp:extent cx="4981575" cy="4521835"/>
                  <wp:effectExtent l="0" t="0" r="9525" b="1206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4981575" cy="4521835"/>
                          </a:xfrm>
                          <a:prstGeom prst="rect">
                            <a:avLst/>
                          </a:prstGeom>
                          <a:noFill/>
                          <a:ln>
                            <a:noFill/>
                          </a:ln>
                        </pic:spPr>
                      </pic:pic>
                    </a:graphicData>
                  </a:graphic>
                </wp:inline>
              </w:drawing>
            </w:r>
          </w:p>
          <w:p w14:paraId="536AAACA">
            <w:pPr>
              <w:spacing w:line="360" w:lineRule="auto"/>
              <w:jc w:val="center"/>
              <w:rPr>
                <w:rFonts w:hint="eastAsia" w:ascii="Times New Roman" w:hAnsi="Times New Roman"/>
                <w:b/>
                <w:color w:val="auto"/>
                <w:szCs w:val="21"/>
                <w:lang w:val="en-US" w:eastAsia="zh-CN"/>
              </w:rPr>
            </w:pPr>
            <w:r>
              <w:rPr>
                <w:rFonts w:hint="default" w:ascii="Times New Roman" w:hAnsi="Times New Roman"/>
                <w:b/>
                <w:color w:val="auto"/>
                <w:szCs w:val="21"/>
                <w:lang w:val="en-US" w:eastAsia="zh-CN"/>
              </w:rPr>
              <w:t>图3-</w:t>
            </w:r>
            <w:r>
              <w:rPr>
                <w:rFonts w:hint="eastAsia" w:ascii="Times New Roman" w:hAnsi="Times New Roman"/>
                <w:b/>
                <w:color w:val="auto"/>
                <w:szCs w:val="21"/>
                <w:lang w:val="en-US" w:eastAsia="zh-CN"/>
              </w:rPr>
              <w:t>1</w:t>
            </w:r>
            <w:r>
              <w:rPr>
                <w:rFonts w:hint="default" w:ascii="Times New Roman" w:hAnsi="Times New Roman"/>
                <w:b/>
                <w:color w:val="auto"/>
                <w:szCs w:val="21"/>
                <w:lang w:val="en-US" w:eastAsia="zh-CN"/>
              </w:rPr>
              <w:t xml:space="preserve"> </w:t>
            </w:r>
            <w:r>
              <w:rPr>
                <w:rFonts w:hint="eastAsia" w:ascii="Times New Roman" w:hAnsi="Times New Roman"/>
                <w:b/>
                <w:color w:val="auto"/>
                <w:szCs w:val="21"/>
                <w:lang w:val="en-US" w:eastAsia="zh-CN"/>
              </w:rPr>
              <w:t>噪声</w:t>
            </w:r>
            <w:r>
              <w:rPr>
                <w:rFonts w:hint="default" w:ascii="Times New Roman" w:hAnsi="Times New Roman"/>
                <w:b/>
                <w:color w:val="auto"/>
                <w:szCs w:val="21"/>
                <w:lang w:val="en-US" w:eastAsia="zh-CN"/>
              </w:rPr>
              <w:t>监测点位图（</w:t>
            </w:r>
            <w:r>
              <w:rPr>
                <w:rFonts w:hint="eastAsia" w:ascii="Times New Roman" w:hAnsi="Times New Roman"/>
                <w:b/>
                <w:color w:val="auto"/>
                <w:szCs w:val="21"/>
                <w:lang w:val="en-US" w:eastAsia="zh-CN"/>
              </w:rPr>
              <w:t>2号井场</w:t>
            </w:r>
            <w:r>
              <w:rPr>
                <w:rFonts w:hint="default" w:ascii="Times New Roman" w:hAnsi="Times New Roman"/>
                <w:b/>
                <w:color w:val="auto"/>
                <w:szCs w:val="21"/>
                <w:lang w:val="en-US" w:eastAsia="zh-CN"/>
              </w:rPr>
              <w:t>）</w:t>
            </w:r>
          </w:p>
          <w:p w14:paraId="1A56EB31">
            <w:pPr>
              <w:spacing w:line="360" w:lineRule="auto"/>
              <w:jc w:val="center"/>
              <w:rPr>
                <w:rFonts w:hint="eastAsia" w:hAnsi="宋体"/>
                <w:b/>
                <w:bCs/>
                <w:snapToGrid w:val="0"/>
                <w:color w:val="auto"/>
                <w:szCs w:val="21"/>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495935</wp:posOffset>
                      </wp:positionH>
                      <wp:positionV relativeFrom="paragraph">
                        <wp:posOffset>1390650</wp:posOffset>
                      </wp:positionV>
                      <wp:extent cx="685165" cy="285750"/>
                      <wp:effectExtent l="0" t="0" r="0" b="0"/>
                      <wp:wrapNone/>
                      <wp:docPr id="8" name="文本框 8"/>
                      <wp:cNvGraphicFramePr/>
                      <a:graphic xmlns:a="http://schemas.openxmlformats.org/drawingml/2006/main">
                        <a:graphicData uri="http://schemas.microsoft.com/office/word/2010/wordprocessingShape">
                          <wps:wsp>
                            <wps:cNvSpPr txBox="1"/>
                            <wps:spPr>
                              <a:xfrm>
                                <a:off x="0" y="0"/>
                                <a:ext cx="68516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EA3FCA">
                                  <w:pPr>
                                    <w:rPr>
                                      <w:rFonts w:hint="default" w:eastAsia="宋体"/>
                                      <w:b/>
                                      <w:bCs/>
                                      <w:color w:val="F5B482" w:themeColor="accent2" w:themeTint="99"/>
                                      <w:lang w:val="en-US" w:eastAsia="zh-CN"/>
                                      <w14:textFill>
                                        <w14:solidFill>
                                          <w14:schemeClr w14:val="accent2">
                                            <w14:lumMod w14:val="60000"/>
                                            <w14:lumOff w14:val="40000"/>
                                          </w14:schemeClr>
                                        </w14:solidFill>
                                      </w14:textFill>
                                    </w:rPr>
                                  </w:pPr>
                                  <w:r>
                                    <w:rPr>
                                      <w:rFonts w:hint="eastAsia"/>
                                      <w:b/>
                                      <w:bCs/>
                                      <w:color w:val="F5B482" w:themeColor="accent2" w:themeTint="99"/>
                                      <w:lang w:val="en-US" w:eastAsia="zh-CN"/>
                                      <w14:textFill>
                                        <w14:solidFill>
                                          <w14:schemeClr w14:val="accent2">
                                            <w14:lumMod w14:val="60000"/>
                                            <w14:lumOff w14:val="40000"/>
                                          </w14:schemeClr>
                                        </w14:solidFill>
                                      </w14:textFill>
                                    </w:rPr>
                                    <w:t>史圩孜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05pt;margin-top:109.5pt;height:22.5pt;width:53.95pt;z-index:251661312;mso-width-relative:page;mso-height-relative:page;" filled="f" stroked="f" coordsize="21600,21600" o:gfxdata="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mQp/2gAAAAoBAAAPAAAAAAAAAAEAIAAAACIAAABkcnMv&#10;ZG93bnJldi54bWxQSwECFAAUAAAACACHTuJASzmHHDoCAABlBAAADgAAAAAAAAABACAAAAApAQAA&#10;ZHJzL2Uyb0RvYy54bWxQSwUGAAAAAAYABgBZAQAA1QUAAAAA&#10;">
                      <v:fill on="f" focussize="0,0"/>
                      <v:stroke on="f" weight="0.5pt"/>
                      <v:imagedata o:title=""/>
                      <o:lock v:ext="edit" aspectratio="f"/>
                      <v:textbox>
                        <w:txbxContent>
                          <w:p w14:paraId="54EA3FCA">
                            <w:pPr>
                              <w:rPr>
                                <w:rFonts w:hint="default" w:eastAsia="宋体"/>
                                <w:b/>
                                <w:bCs/>
                                <w:color w:val="F5B482" w:themeColor="accent2" w:themeTint="99"/>
                                <w:lang w:val="en-US" w:eastAsia="zh-CN"/>
                                <w14:textFill>
                                  <w14:solidFill>
                                    <w14:schemeClr w14:val="accent2">
                                      <w14:lumMod w14:val="60000"/>
                                      <w14:lumOff w14:val="40000"/>
                                    </w14:schemeClr>
                                  </w14:solidFill>
                                </w14:textFill>
                              </w:rPr>
                            </w:pPr>
                            <w:r>
                              <w:rPr>
                                <w:rFonts w:hint="eastAsia"/>
                                <w:b/>
                                <w:bCs/>
                                <w:color w:val="F5B482" w:themeColor="accent2" w:themeTint="99"/>
                                <w:lang w:val="en-US" w:eastAsia="zh-CN"/>
                                <w14:textFill>
                                  <w14:solidFill>
                                    <w14:schemeClr w14:val="accent2">
                                      <w14:lumMod w14:val="60000"/>
                                      <w14:lumOff w14:val="40000"/>
                                    </w14:schemeClr>
                                  </w14:solidFill>
                                </w14:textFill>
                              </w:rPr>
                              <w:t>史圩孜</w:t>
                            </w:r>
                          </w:p>
                        </w:txbxContent>
                      </v:textbox>
                    </v:shape>
                  </w:pict>
                </mc:Fallback>
              </mc:AlternateContent>
            </w:r>
            <w:r>
              <w:rPr>
                <w:color w:val="auto"/>
              </w:rPr>
              <w:drawing>
                <wp:anchor distT="0" distB="0" distL="114300" distR="114300" simplePos="0" relativeHeight="251663360" behindDoc="0" locked="0" layoutInCell="1" allowOverlap="1">
                  <wp:simplePos x="0" y="0"/>
                  <wp:positionH relativeFrom="column">
                    <wp:posOffset>4523105</wp:posOffset>
                  </wp:positionH>
                  <wp:positionV relativeFrom="paragraph">
                    <wp:posOffset>-16510</wp:posOffset>
                  </wp:positionV>
                  <wp:extent cx="468630" cy="488950"/>
                  <wp:effectExtent l="0" t="0" r="7620" b="6350"/>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4"/>
                          <a:stretch>
                            <a:fillRect/>
                          </a:stretch>
                        </pic:blipFill>
                        <pic:spPr>
                          <a:xfrm>
                            <a:off x="0" y="0"/>
                            <a:ext cx="468630" cy="488950"/>
                          </a:xfrm>
                          <a:prstGeom prst="rect">
                            <a:avLst/>
                          </a:prstGeom>
                          <a:noFill/>
                          <a:ln>
                            <a:noFill/>
                          </a:ln>
                        </pic:spPr>
                      </pic:pic>
                    </a:graphicData>
                  </a:graphic>
                </wp:anchor>
              </w:drawing>
            </w:r>
            <w:r>
              <w:drawing>
                <wp:inline distT="0" distB="0" distL="114300" distR="114300">
                  <wp:extent cx="4986020" cy="4216400"/>
                  <wp:effectExtent l="0" t="0" r="5080" b="1270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6"/>
                          <a:stretch>
                            <a:fillRect/>
                          </a:stretch>
                        </pic:blipFill>
                        <pic:spPr>
                          <a:xfrm>
                            <a:off x="0" y="0"/>
                            <a:ext cx="4986020" cy="4216400"/>
                          </a:xfrm>
                          <a:prstGeom prst="rect">
                            <a:avLst/>
                          </a:prstGeom>
                          <a:noFill/>
                          <a:ln>
                            <a:noFill/>
                          </a:ln>
                        </pic:spPr>
                      </pic:pic>
                    </a:graphicData>
                  </a:graphic>
                </wp:inline>
              </w:drawing>
            </w:r>
          </w:p>
          <w:p w14:paraId="46FEB9DE">
            <w:pPr>
              <w:spacing w:line="360" w:lineRule="auto"/>
              <w:jc w:val="center"/>
              <w:rPr>
                <w:rFonts w:hint="default" w:ascii="Times New Roman" w:hAnsi="Times New Roman"/>
                <w:b/>
                <w:color w:val="auto"/>
                <w:szCs w:val="21"/>
                <w:lang w:val="en-US" w:eastAsia="zh-CN"/>
              </w:rPr>
            </w:pPr>
            <w:r>
              <w:rPr>
                <w:rFonts w:hint="default" w:ascii="Times New Roman" w:hAnsi="Times New Roman"/>
                <w:b/>
                <w:color w:val="auto"/>
                <w:szCs w:val="21"/>
                <w:lang w:val="en-US" w:eastAsia="zh-CN"/>
              </w:rPr>
              <w:t>图3-2</w:t>
            </w:r>
            <w:r>
              <w:rPr>
                <w:rFonts w:hint="eastAsia" w:ascii="Times New Roman" w:hAnsi="Times New Roman"/>
                <w:b/>
                <w:color w:val="auto"/>
                <w:szCs w:val="21"/>
                <w:lang w:val="en-US" w:eastAsia="zh-CN"/>
              </w:rPr>
              <w:t xml:space="preserve"> </w:t>
            </w:r>
            <w:r>
              <w:rPr>
                <w:rFonts w:hint="default" w:ascii="Times New Roman" w:hAnsi="Times New Roman"/>
                <w:b/>
                <w:color w:val="auto"/>
                <w:szCs w:val="21"/>
                <w:lang w:val="en-US" w:eastAsia="zh-CN"/>
              </w:rPr>
              <w:t xml:space="preserve"> 噪声监测点位图（</w:t>
            </w:r>
            <w:r>
              <w:rPr>
                <w:rFonts w:hint="eastAsia" w:ascii="Times New Roman" w:hAnsi="Times New Roman"/>
                <w:b/>
                <w:color w:val="auto"/>
                <w:szCs w:val="21"/>
                <w:lang w:val="en-US" w:eastAsia="zh-CN"/>
              </w:rPr>
              <w:t>1</w:t>
            </w:r>
            <w:r>
              <w:rPr>
                <w:rFonts w:hint="default" w:ascii="Times New Roman" w:hAnsi="Times New Roman"/>
                <w:b/>
                <w:color w:val="auto"/>
                <w:szCs w:val="21"/>
                <w:lang w:val="en-US" w:eastAsia="zh-CN"/>
              </w:rPr>
              <w:t>号井场）</w:t>
            </w:r>
          </w:p>
          <w:p w14:paraId="66BC4E1E">
            <w:pPr>
              <w:jc w:val="center"/>
              <w:rPr>
                <w:rFonts w:hint="default" w:ascii="Times New Roman" w:hAnsi="Times New Roman" w:cs="Times New Roman"/>
                <w:b/>
                <w:color w:val="auto"/>
                <w:szCs w:val="21"/>
              </w:rPr>
            </w:pPr>
          </w:p>
          <w:p w14:paraId="2734BFF6">
            <w:pPr>
              <w:keepNext/>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color w:val="auto"/>
                <w:szCs w:val="21"/>
                <w:lang w:val="en-US" w:eastAsia="zh-CN"/>
              </w:rPr>
            </w:pPr>
            <w:r>
              <w:rPr>
                <w:rFonts w:hint="eastAsia" w:ascii="Times New Roman" w:hAnsi="Times New Roman"/>
                <w:b/>
                <w:color w:val="auto"/>
                <w:szCs w:val="21"/>
                <w:lang w:val="en-US" w:eastAsia="zh-CN"/>
              </w:rPr>
              <w:t xml:space="preserve">表3-5  环境噪声监测结果 </w:t>
            </w:r>
            <w:r>
              <w:rPr>
                <w:rFonts w:hint="default" w:ascii="Times New Roman" w:hAnsi="Times New Roman"/>
                <w:b/>
                <w:color w:val="auto"/>
                <w:szCs w:val="21"/>
                <w:lang w:val="en-US" w:eastAsia="zh-CN"/>
              </w:rPr>
              <w:t xml:space="preserve"> 单位：LeqdB（A）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3"/>
              <w:gridCol w:w="2696"/>
              <w:gridCol w:w="2693"/>
            </w:tblGrid>
            <w:tr w14:paraId="192E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64" w:type="pct"/>
                  <w:vMerge w:val="restart"/>
                  <w:noWrap w:val="0"/>
                  <w:vAlign w:val="center"/>
                </w:tcPr>
                <w:p w14:paraId="111320BD">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3435" w:type="pct"/>
                  <w:gridSpan w:val="2"/>
                  <w:noWrap w:val="0"/>
                  <w:vAlign w:val="center"/>
                </w:tcPr>
                <w:p w14:paraId="7F63B43F">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检测值</w:t>
                  </w:r>
                </w:p>
              </w:tc>
            </w:tr>
            <w:tr w14:paraId="67AB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64" w:type="pct"/>
                  <w:vMerge w:val="continue"/>
                  <w:noWrap w:val="0"/>
                  <w:vAlign w:val="center"/>
                </w:tcPr>
                <w:p w14:paraId="2C2AFB37">
                  <w:pPr>
                    <w:jc w:val="center"/>
                    <w:rPr>
                      <w:rFonts w:hint="default" w:ascii="Times New Roman" w:hAnsi="Times New Roman" w:cs="Times New Roman"/>
                      <w:color w:val="auto"/>
                      <w:szCs w:val="21"/>
                    </w:rPr>
                  </w:pPr>
                </w:p>
              </w:tc>
              <w:tc>
                <w:tcPr>
                  <w:tcW w:w="3435" w:type="pct"/>
                  <w:gridSpan w:val="2"/>
                  <w:noWrap w:val="0"/>
                  <w:vAlign w:val="center"/>
                </w:tcPr>
                <w:p w14:paraId="324C0FB3">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2025.7.28</w:t>
                  </w:r>
                </w:p>
              </w:tc>
            </w:tr>
            <w:tr w14:paraId="2BC4C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64" w:type="pct"/>
                  <w:vMerge w:val="continue"/>
                  <w:noWrap w:val="0"/>
                  <w:vAlign w:val="center"/>
                </w:tcPr>
                <w:p w14:paraId="20876EB7">
                  <w:pPr>
                    <w:jc w:val="center"/>
                    <w:rPr>
                      <w:rFonts w:hint="default" w:ascii="Times New Roman" w:hAnsi="Times New Roman" w:cs="Times New Roman"/>
                      <w:color w:val="auto"/>
                      <w:szCs w:val="21"/>
                    </w:rPr>
                  </w:pPr>
                </w:p>
              </w:tc>
              <w:tc>
                <w:tcPr>
                  <w:tcW w:w="1718" w:type="pct"/>
                  <w:noWrap w:val="0"/>
                  <w:vAlign w:val="center"/>
                </w:tcPr>
                <w:p w14:paraId="54066E0E">
                  <w:pPr>
                    <w:widowControl/>
                    <w:jc w:val="center"/>
                    <w:rPr>
                      <w:rFonts w:hint="default" w:ascii="Times New Roman" w:hAnsi="Times New Roman" w:cs="Times New Roman"/>
                      <w:color w:val="auto"/>
                      <w:szCs w:val="21"/>
                    </w:rPr>
                  </w:pPr>
                  <w:r>
                    <w:rPr>
                      <w:rFonts w:hint="default" w:ascii="Times New Roman" w:hAnsi="Times New Roman" w:cs="Times New Roman"/>
                      <w:bCs/>
                      <w:color w:val="auto"/>
                      <w:szCs w:val="21"/>
                    </w:rPr>
                    <w:t>昼间Leq</w:t>
                  </w:r>
                </w:p>
              </w:tc>
              <w:tc>
                <w:tcPr>
                  <w:tcW w:w="1717" w:type="pct"/>
                  <w:noWrap w:val="0"/>
                  <w:vAlign w:val="center"/>
                </w:tcPr>
                <w:p w14:paraId="0CF7B459">
                  <w:pPr>
                    <w:widowControl/>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夜间Leq</w:t>
                  </w:r>
                </w:p>
              </w:tc>
            </w:tr>
            <w:tr w14:paraId="6C58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000" w:type="pct"/>
                  <w:gridSpan w:val="3"/>
                  <w:noWrap w:val="0"/>
                  <w:vAlign w:val="center"/>
                </w:tcPr>
                <w:p w14:paraId="03358BFF">
                  <w:pPr>
                    <w:widowControl/>
                    <w:jc w:val="center"/>
                    <w:rPr>
                      <w:rFonts w:hint="default" w:ascii="Times New Roman" w:hAnsi="Times New Roman" w:cs="Times New Roman"/>
                      <w:bCs/>
                      <w:color w:val="auto"/>
                      <w:szCs w:val="21"/>
                    </w:rPr>
                  </w:pP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号井场</w:t>
                  </w:r>
                </w:p>
              </w:tc>
            </w:tr>
            <w:tr w14:paraId="0712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64" w:type="pct"/>
                  <w:noWrap w:val="0"/>
                  <w:vAlign w:val="center"/>
                </w:tcPr>
                <w:p w14:paraId="2E775AF1">
                  <w:pPr>
                    <w:jc w:val="center"/>
                    <w:rPr>
                      <w:rFonts w:hint="default" w:ascii="Times New Roman" w:hAnsi="Times New Roman" w:cs="Times New Roman"/>
                      <w:color w:val="auto"/>
                      <w:szCs w:val="21"/>
                    </w:rPr>
                  </w:pPr>
                  <w:r>
                    <w:rPr>
                      <w:rFonts w:hint="default" w:ascii="Times New Roman" w:hAnsi="Times New Roman" w:eastAsia="宋体" w:cs="Times New Roman"/>
                      <w:b w:val="0"/>
                      <w:bCs w:val="0"/>
                      <w:color w:val="auto"/>
                      <w:sz w:val="21"/>
                      <w:szCs w:val="21"/>
                      <w:vertAlign w:val="baseline"/>
                      <w:lang w:val="en-US" w:eastAsia="zh-CN"/>
                    </w:rPr>
                    <w:t>N</w:t>
                  </w:r>
                  <w:r>
                    <w:rPr>
                      <w:rFonts w:hint="eastAsia" w:ascii="Times New Roman" w:hAnsi="Times New Roman" w:cs="Times New Roman"/>
                      <w:b w:val="0"/>
                      <w:bCs w:val="0"/>
                      <w:color w:val="auto"/>
                      <w:sz w:val="21"/>
                      <w:szCs w:val="21"/>
                      <w:vertAlign w:val="baseline"/>
                      <w:lang w:val="en-US" w:eastAsia="zh-CN"/>
                    </w:rPr>
                    <w:t>1</w:t>
                  </w:r>
                  <w:r>
                    <w:rPr>
                      <w:rFonts w:hint="default"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u w:val="none"/>
                      <w:vertAlign w:val="baseline"/>
                      <w:lang w:val="en-US" w:eastAsia="zh-CN"/>
                    </w:rPr>
                    <w:t>史圩孜</w:t>
                  </w:r>
                </w:p>
              </w:tc>
              <w:tc>
                <w:tcPr>
                  <w:tcW w:w="1718" w:type="pct"/>
                  <w:noWrap w:val="0"/>
                  <w:vAlign w:val="center"/>
                </w:tcPr>
                <w:p w14:paraId="6C37C539">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w:t>
                  </w:r>
                  <w:r>
                    <w:rPr>
                      <w:rFonts w:hint="default" w:ascii="Times New Roman" w:hAnsi="Times New Roman" w:cs="Times New Roman"/>
                      <w:color w:val="auto"/>
                      <w:szCs w:val="21"/>
                      <w:lang w:val="en-US" w:eastAsia="zh-CN"/>
                    </w:rPr>
                    <w:t>2</w:t>
                  </w:r>
                </w:p>
              </w:tc>
              <w:tc>
                <w:tcPr>
                  <w:tcW w:w="1717" w:type="pct"/>
                  <w:noWrap w:val="0"/>
                  <w:vAlign w:val="center"/>
                </w:tcPr>
                <w:p w14:paraId="1517C2F5">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42</w:t>
                  </w:r>
                </w:p>
              </w:tc>
            </w:tr>
            <w:tr w14:paraId="4C5B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000" w:type="pct"/>
                  <w:gridSpan w:val="3"/>
                  <w:noWrap w:val="0"/>
                  <w:vAlign w:val="center"/>
                </w:tcPr>
                <w:p w14:paraId="25F8A512">
                  <w:pPr>
                    <w:widowControl/>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rPr>
                    <w:t>号井场</w:t>
                  </w:r>
                </w:p>
              </w:tc>
            </w:tr>
            <w:tr w14:paraId="6A61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64" w:type="pct"/>
                  <w:noWrap w:val="0"/>
                  <w:vAlign w:val="center"/>
                </w:tcPr>
                <w:p w14:paraId="74996A5F">
                  <w:pPr>
                    <w:jc w:val="center"/>
                    <w:rPr>
                      <w:rFonts w:hint="default" w:ascii="Times New Roman" w:hAnsi="Times New Roman" w:cs="Times New Roman"/>
                      <w:color w:val="auto"/>
                      <w:szCs w:val="21"/>
                    </w:rPr>
                  </w:pPr>
                  <w:r>
                    <w:rPr>
                      <w:rFonts w:hint="default" w:ascii="Times New Roman" w:hAnsi="Times New Roman" w:eastAsia="宋体" w:cs="Times New Roman"/>
                      <w:b w:val="0"/>
                      <w:bCs w:val="0"/>
                      <w:color w:val="auto"/>
                      <w:sz w:val="21"/>
                      <w:szCs w:val="21"/>
                      <w:vertAlign w:val="baseline"/>
                      <w:lang w:val="en-US" w:eastAsia="zh-CN"/>
                    </w:rPr>
                    <w:t>N</w:t>
                  </w:r>
                  <w:r>
                    <w:rPr>
                      <w:rFonts w:hint="default" w:ascii="Times New Roman" w:hAnsi="Times New Roman"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u w:val="none"/>
                      <w:vertAlign w:val="baseline"/>
                      <w:lang w:val="en-US" w:eastAsia="zh-CN"/>
                    </w:rPr>
                    <w:t>史圩孜</w:t>
                  </w:r>
                </w:p>
              </w:tc>
              <w:tc>
                <w:tcPr>
                  <w:tcW w:w="1718" w:type="pct"/>
                  <w:noWrap w:val="0"/>
                  <w:vAlign w:val="center"/>
                </w:tcPr>
                <w:p w14:paraId="1D38A454">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44</w:t>
                  </w:r>
                </w:p>
              </w:tc>
              <w:tc>
                <w:tcPr>
                  <w:tcW w:w="1717" w:type="pct"/>
                  <w:noWrap w:val="0"/>
                  <w:vAlign w:val="center"/>
                </w:tcPr>
                <w:p w14:paraId="2573D812">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40</w:t>
                  </w:r>
                </w:p>
              </w:tc>
            </w:tr>
          </w:tbl>
          <w:p w14:paraId="61132DC5">
            <w:pPr>
              <w:spacing w:line="360" w:lineRule="auto"/>
              <w:ind w:firstLine="480" w:firstLineChars="200"/>
              <w:rPr>
                <w:rFonts w:hint="default" w:ascii="Times New Roman" w:hAnsi="Times New Roman" w:cs="Times New Roman"/>
                <w:color w:val="FF0000"/>
                <w:sz w:val="24"/>
              </w:rPr>
            </w:pPr>
            <w:r>
              <w:rPr>
                <w:rFonts w:hint="default" w:ascii="Times New Roman" w:hAnsi="Times New Roman" w:cs="Times New Roman"/>
                <w:color w:val="auto"/>
                <w:sz w:val="24"/>
              </w:rPr>
              <w:t>项目</w:t>
            </w:r>
            <w:r>
              <w:rPr>
                <w:rFonts w:hint="default" w:ascii="Times New Roman" w:hAnsi="Times New Roman" w:cs="Times New Roman"/>
                <w:color w:val="auto"/>
                <w:sz w:val="24"/>
                <w:lang w:val="en-US" w:eastAsia="zh-CN"/>
              </w:rPr>
              <w:t>N1、N</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en-US" w:eastAsia="zh-CN"/>
              </w:rPr>
              <w:t>敏感点</w:t>
            </w:r>
            <w:r>
              <w:rPr>
                <w:rFonts w:hint="default" w:ascii="Times New Roman" w:hAnsi="Times New Roman" w:cs="Times New Roman"/>
                <w:color w:val="auto"/>
                <w:sz w:val="24"/>
              </w:rPr>
              <w:t>噪声能够达到《声环境质量标准》（GB3096-2008）1类标准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lang w:val="en-US" w:eastAsia="zh-CN"/>
              </w:rPr>
              <w:t>N</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敏感点噪声能够满足《声环境质量标准》（GB3096-2008）</w:t>
            </w:r>
            <w:r>
              <w:rPr>
                <w:rFonts w:hint="default" w:ascii="Times New Roman" w:hAnsi="Times New Roman" w:cs="Times New Roman"/>
                <w:color w:val="auto"/>
                <w:sz w:val="24"/>
                <w:lang w:val="en-US" w:eastAsia="zh-CN"/>
              </w:rPr>
              <w:t>4a</w:t>
            </w:r>
            <w:r>
              <w:rPr>
                <w:rFonts w:hint="default" w:ascii="Times New Roman" w:hAnsi="Times New Roman" w:cs="Times New Roman"/>
                <w:color w:val="auto"/>
                <w:sz w:val="24"/>
              </w:rPr>
              <w:t>类标准</w:t>
            </w:r>
            <w:r>
              <w:rPr>
                <w:rFonts w:hint="eastAsia"/>
                <w:color w:val="auto"/>
                <w:lang w:eastAsia="zh-CN"/>
              </w:rPr>
              <w:t>（</w:t>
            </w:r>
            <w:r>
              <w:rPr>
                <w:rFonts w:hint="default" w:ascii="Times New Roman" w:hAnsi="Times New Roman" w:cs="Times New Roman"/>
                <w:color w:val="auto"/>
                <w:sz w:val="24"/>
              </w:rPr>
              <w:t>N</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敏感点噪声37m处是省道S312，S312为二级公路</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szCs w:val="24"/>
                <w:lang w:val="en-US" w:eastAsia="zh-CN"/>
              </w:rPr>
              <w:t>故</w:t>
            </w:r>
            <w:r>
              <w:rPr>
                <w:rFonts w:hint="default" w:ascii="Times New Roman" w:hAnsi="Times New Roman" w:cs="Times New Roman"/>
                <w:color w:val="auto"/>
                <w:sz w:val="24"/>
                <w:szCs w:val="24"/>
                <w:lang w:val="en-US" w:eastAsia="zh-CN"/>
              </w:rPr>
              <w:t>执行</w:t>
            </w:r>
            <w:r>
              <w:rPr>
                <w:rFonts w:hint="default" w:ascii="Times New Roman" w:hAnsi="Times New Roman" w:cs="Times New Roman"/>
                <w:color w:val="auto"/>
                <w:sz w:val="24"/>
                <w:szCs w:val="24"/>
              </w:rPr>
              <w:t>《声环境质量标准》（GB3096-2008）</w:t>
            </w:r>
            <w:r>
              <w:rPr>
                <w:rFonts w:hint="default" w:ascii="Times New Roman" w:hAnsi="Times New Roman" w:cs="Times New Roman"/>
                <w:color w:val="auto"/>
                <w:sz w:val="24"/>
                <w:szCs w:val="24"/>
                <w:lang w:val="en-US" w:eastAsia="zh-CN"/>
              </w:rPr>
              <w:t>4a</w:t>
            </w:r>
            <w:r>
              <w:rPr>
                <w:rFonts w:hint="default" w:ascii="Times New Roman" w:hAnsi="Times New Roman" w:cs="Times New Roman"/>
                <w:color w:val="auto"/>
                <w:sz w:val="24"/>
                <w:szCs w:val="24"/>
              </w:rPr>
              <w:t>类标准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rPr>
              <w:t>。总体评价，项目所在区域声环境质量较好。</w:t>
            </w:r>
          </w:p>
          <w:p w14:paraId="2F935A51">
            <w:pPr>
              <w:numPr>
                <w:ilvl w:val="0"/>
                <w:numId w:val="0"/>
              </w:numPr>
              <w:spacing w:line="360" w:lineRule="auto"/>
              <w:ind w:firstLine="482" w:firstLineChars="200"/>
              <w:rPr>
                <w:rFonts w:ascii="Times New Roman" w:hAnsi="Times New Roman"/>
                <w:b/>
                <w:bCs/>
                <w:color w:val="auto"/>
                <w:kern w:val="0"/>
                <w:sz w:val="24"/>
                <w:highlight w:val="none"/>
              </w:rPr>
            </w:pPr>
            <w:r>
              <w:rPr>
                <w:rFonts w:ascii="Times New Roman" w:hAnsi="Times New Roman" w:eastAsia="宋体" w:cs="Times New Roman"/>
                <w:b/>
                <w:bCs/>
                <w:color w:val="auto"/>
                <w:kern w:val="0"/>
                <w:sz w:val="24"/>
                <w:szCs w:val="24"/>
                <w:highlight w:val="none"/>
                <w:lang w:val="en-US" w:eastAsia="zh-CN" w:bidi="ar-SA"/>
              </w:rPr>
              <w:t>4、</w:t>
            </w:r>
            <w:r>
              <w:rPr>
                <w:rFonts w:hint="eastAsia" w:ascii="Times New Roman" w:hAnsi="Times New Roman"/>
                <w:b/>
                <w:bCs/>
                <w:color w:val="auto"/>
                <w:kern w:val="0"/>
                <w:sz w:val="24"/>
                <w:highlight w:val="none"/>
              </w:rPr>
              <w:t>土壤</w:t>
            </w:r>
            <w:r>
              <w:rPr>
                <w:rFonts w:hint="eastAsia" w:ascii="Times New Roman" w:hAnsi="Times New Roman"/>
                <w:b/>
                <w:bCs/>
                <w:color w:val="auto"/>
                <w:kern w:val="0"/>
                <w:sz w:val="24"/>
                <w:highlight w:val="none"/>
                <w:lang w:eastAsia="zh-CN"/>
              </w:rPr>
              <w:t>、</w:t>
            </w:r>
            <w:r>
              <w:rPr>
                <w:rFonts w:hint="eastAsia" w:ascii="Times New Roman" w:hAnsi="Times New Roman"/>
                <w:b/>
                <w:bCs/>
                <w:color w:val="auto"/>
                <w:kern w:val="0"/>
                <w:sz w:val="24"/>
                <w:highlight w:val="none"/>
                <w:lang w:val="en-US" w:eastAsia="zh-CN"/>
              </w:rPr>
              <w:t>地下水</w:t>
            </w:r>
            <w:r>
              <w:rPr>
                <w:rFonts w:hint="eastAsia" w:ascii="Times New Roman" w:hAnsi="Times New Roman"/>
                <w:b/>
                <w:bCs/>
                <w:color w:val="auto"/>
                <w:kern w:val="0"/>
                <w:sz w:val="24"/>
                <w:highlight w:val="none"/>
              </w:rPr>
              <w:t>环境质量现状调查</w:t>
            </w:r>
          </w:p>
          <w:p w14:paraId="38095DBB">
            <w:pPr>
              <w:spacing w:line="360" w:lineRule="auto"/>
              <w:ind w:firstLine="480" w:firstLineChars="200"/>
              <w:rPr>
                <w:rFonts w:ascii="Times New Roman" w:hAnsi="Times New Roman"/>
                <w:color w:val="auto"/>
                <w:kern w:val="0"/>
                <w:sz w:val="24"/>
                <w:highlight w:val="none"/>
              </w:rPr>
            </w:pPr>
            <w:r>
              <w:rPr>
                <w:rFonts w:ascii="Times New Roman" w:hAnsi="Times New Roman"/>
                <w:color w:val="auto"/>
                <w:kern w:val="0"/>
                <w:sz w:val="24"/>
                <w:highlight w:val="none"/>
              </w:rPr>
              <w:t>根据《环境影响评价技术导则 土壤环境（试行）》（HJ964-2018），本项目属于其他行业，为Ⅳ类，可不开展土壤环境影响评价</w:t>
            </w:r>
            <w:r>
              <w:rPr>
                <w:rFonts w:hint="eastAsia" w:ascii="Times New Roman" w:hAnsi="Times New Roman"/>
                <w:color w:val="auto"/>
                <w:kern w:val="0"/>
                <w:sz w:val="24"/>
                <w:highlight w:val="none"/>
                <w:lang w:eastAsia="zh-CN"/>
              </w:rPr>
              <w:t>；</w:t>
            </w:r>
            <w:r>
              <w:rPr>
                <w:rFonts w:hint="eastAsia" w:ascii="Times New Roman" w:hAnsi="Times New Roman"/>
                <w:color w:val="auto"/>
                <w:highlight w:val="none"/>
              </w:rPr>
              <w:t>根据《环境影响评价技术导则 地下水环境》（HJ610-2016）</w:t>
            </w:r>
            <w:r>
              <w:rPr>
                <w:rFonts w:hint="eastAsia" w:ascii="Times New Roman" w:hAnsi="Times New Roman"/>
                <w:color w:val="auto"/>
                <w:highlight w:val="none"/>
                <w:lang w:eastAsia="zh-CN"/>
              </w:rPr>
              <w:t>，</w:t>
            </w:r>
            <w:r>
              <w:rPr>
                <w:rFonts w:hint="eastAsia" w:ascii="Times New Roman" w:hAnsi="Times New Roman"/>
                <w:color w:val="auto"/>
                <w:highlight w:val="none"/>
              </w:rPr>
              <w:t>本项目属于Ⅳ类项目，本项目可不开展地下水环境影响评价。</w:t>
            </w:r>
          </w:p>
          <w:p w14:paraId="179F0909">
            <w:pPr>
              <w:spacing w:line="360" w:lineRule="auto"/>
              <w:ind w:firstLine="482" w:firstLineChars="200"/>
              <w:rPr>
                <w:rFonts w:ascii="Times New Roman" w:hAnsi="Times New Roman"/>
                <w:b/>
                <w:bCs/>
                <w:color w:val="auto"/>
                <w:kern w:val="0"/>
                <w:sz w:val="24"/>
                <w:highlight w:val="none"/>
              </w:rPr>
            </w:pPr>
            <w:r>
              <w:rPr>
                <w:rFonts w:hint="eastAsia" w:ascii="Times New Roman" w:hAnsi="Times New Roman"/>
                <w:b/>
                <w:bCs/>
                <w:color w:val="auto"/>
                <w:kern w:val="0"/>
                <w:sz w:val="24"/>
                <w:highlight w:val="none"/>
              </w:rPr>
              <w:t>5</w:t>
            </w:r>
            <w:r>
              <w:rPr>
                <w:rFonts w:hint="eastAsia" w:ascii="Times New Roman" w:hAnsi="Times New Roman"/>
                <w:b/>
                <w:bCs/>
                <w:color w:val="auto"/>
                <w:kern w:val="0"/>
                <w:sz w:val="24"/>
                <w:highlight w:val="none"/>
                <w:lang w:eastAsia="zh-CN"/>
              </w:rPr>
              <w:t>、</w:t>
            </w:r>
            <w:r>
              <w:rPr>
                <w:rFonts w:ascii="Times New Roman" w:hAnsi="Times New Roman"/>
                <w:b/>
                <w:bCs/>
                <w:color w:val="auto"/>
                <w:kern w:val="0"/>
                <w:sz w:val="24"/>
                <w:highlight w:val="none"/>
              </w:rPr>
              <w:t>电磁辐射</w:t>
            </w:r>
          </w:p>
          <w:p w14:paraId="0930CD55">
            <w:pPr>
              <w:spacing w:line="360" w:lineRule="auto"/>
              <w:ind w:firstLine="480" w:firstLineChars="200"/>
              <w:rPr>
                <w:rFonts w:ascii="Times New Roman" w:hAnsi="Times New Roman"/>
                <w:color w:val="auto"/>
              </w:rPr>
            </w:pPr>
            <w:r>
              <w:rPr>
                <w:rFonts w:ascii="Times New Roman" w:hAnsi="Times New Roman"/>
                <w:bCs/>
                <w:color w:val="auto"/>
                <w:sz w:val="24"/>
                <w:highlight w:val="none"/>
              </w:rPr>
              <w:t>本项目不属于新建或改建、扩建广播电台、差转台、电视塔台、卫星地球上行站、雷达等电磁辐射类项目。因此，不进行电磁辐射现状监测和评价。</w:t>
            </w:r>
          </w:p>
        </w:tc>
      </w:tr>
      <w:tr w14:paraId="54215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454" w:type="dxa"/>
            <w:noWrap w:val="0"/>
            <w:vAlign w:val="center"/>
          </w:tcPr>
          <w:p w14:paraId="23260FA2">
            <w:pPr>
              <w:adjustRightInd w:val="0"/>
              <w:snapToGrid w:val="0"/>
              <w:jc w:val="center"/>
              <w:rPr>
                <w:rFonts w:ascii="Times New Roman" w:hAnsi="Times New Roman"/>
                <w:bCs/>
                <w:color w:val="auto"/>
                <w:sz w:val="24"/>
              </w:rPr>
            </w:pPr>
            <w:r>
              <w:rPr>
                <w:rFonts w:ascii="Times New Roman" w:hAnsi="Times New Roman"/>
                <w:bCs/>
                <w:color w:val="auto"/>
                <w:sz w:val="24"/>
              </w:rPr>
              <w:t>与项目有关的原有环境污染和生态破坏问题</w:t>
            </w:r>
          </w:p>
        </w:tc>
        <w:tc>
          <w:tcPr>
            <w:tcW w:w="8068" w:type="dxa"/>
            <w:noWrap w:val="0"/>
            <w:vAlign w:val="center"/>
          </w:tcPr>
          <w:p w14:paraId="1D6DF453">
            <w:pPr>
              <w:autoSpaceDE w:val="0"/>
              <w:autoSpaceDN w:val="0"/>
              <w:spacing w:line="360" w:lineRule="auto"/>
              <w:ind w:firstLine="480" w:firstLineChars="200"/>
              <w:rPr>
                <w:rFonts w:hint="eastAsia" w:ascii="Times New Roman" w:hAnsi="Times New Roman" w:eastAsia="宋体"/>
                <w:color w:val="auto"/>
                <w:lang w:eastAsia="zh-CN"/>
              </w:rPr>
            </w:pPr>
            <w:r>
              <w:rPr>
                <w:rFonts w:ascii="Times New Roman" w:hAnsi="Times New Roman"/>
                <w:color w:val="auto"/>
                <w:sz w:val="24"/>
              </w:rPr>
              <w:t>本项目为新建项目，</w:t>
            </w:r>
            <w:r>
              <w:rPr>
                <w:rFonts w:ascii="Times New Roman" w:hAnsi="Times New Roman"/>
                <w:color w:val="auto"/>
                <w:kern w:val="0"/>
                <w:sz w:val="24"/>
              </w:rPr>
              <w:t>项目区域现状为农田，不存在原有污染问题。</w:t>
            </w:r>
          </w:p>
        </w:tc>
      </w:tr>
      <w:tr w14:paraId="691900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noWrap w:val="0"/>
            <w:vAlign w:val="center"/>
          </w:tcPr>
          <w:p w14:paraId="7A2FACF4">
            <w:pPr>
              <w:adjustRightInd w:val="0"/>
              <w:snapToGrid w:val="0"/>
              <w:jc w:val="center"/>
              <w:rPr>
                <w:rFonts w:ascii="Times New Roman" w:hAnsi="Times New Roman"/>
                <w:color w:val="auto"/>
                <w:kern w:val="0"/>
                <w:sz w:val="24"/>
              </w:rPr>
            </w:pPr>
            <w:r>
              <w:rPr>
                <w:rFonts w:ascii="Times New Roman" w:hAnsi="Times New Roman"/>
                <w:color w:val="auto"/>
                <w:kern w:val="0"/>
                <w:sz w:val="24"/>
              </w:rPr>
              <w:t>生态环境保护目标</w:t>
            </w:r>
          </w:p>
        </w:tc>
        <w:tc>
          <w:tcPr>
            <w:tcW w:w="8068" w:type="dxa"/>
            <w:tcBorders>
              <w:right w:val="single" w:color="auto" w:sz="4" w:space="0"/>
            </w:tcBorders>
            <w:noWrap w:val="0"/>
            <w:vAlign w:val="center"/>
          </w:tcPr>
          <w:p w14:paraId="1A3239D2">
            <w:pPr>
              <w:pStyle w:val="13"/>
              <w:tabs>
                <w:tab w:val="left" w:pos="0"/>
              </w:tabs>
              <w:spacing w:line="360" w:lineRule="auto"/>
              <w:ind w:firstLine="480" w:firstLineChars="200"/>
              <w:contextualSpacing/>
              <w:rPr>
                <w:rFonts w:ascii="Times New Roman" w:hAnsi="Times New Roman"/>
                <w:b/>
                <w:color w:val="auto"/>
                <w:sz w:val="24"/>
                <w:highlight w:val="none"/>
              </w:rPr>
            </w:pPr>
            <w:r>
              <w:rPr>
                <w:rFonts w:ascii="Times New Roman" w:hAnsi="Times New Roman"/>
                <w:color w:val="auto"/>
                <w:sz w:val="24"/>
                <w:highlight w:val="none"/>
              </w:rPr>
              <w:t>根据对建设项目所地块周边环境现状的踏勘，建设项目附近无文物保护、风景名胜区、饮用水源地等敏感环境保护目标，本项目主要环境保护目标见下表。</w:t>
            </w:r>
          </w:p>
          <w:p w14:paraId="1FCCAFBC">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b/>
                <w:color w:val="auto"/>
                <w:szCs w:val="21"/>
                <w:highlight w:val="none"/>
                <w:lang w:val="en-US" w:eastAsia="zh-CN"/>
              </w:rPr>
            </w:pPr>
            <w:r>
              <w:rPr>
                <w:rFonts w:hint="eastAsia" w:ascii="Times New Roman" w:hAnsi="Times New Roman"/>
                <w:b/>
                <w:color w:val="auto"/>
                <w:szCs w:val="21"/>
                <w:highlight w:val="none"/>
                <w:lang w:val="en-US" w:eastAsia="zh-CN"/>
              </w:rPr>
              <w:t>1、大气环境</w:t>
            </w:r>
          </w:p>
          <w:p w14:paraId="1635E90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b w:val="0"/>
                <w:bCs/>
                <w:color w:val="auto"/>
                <w:szCs w:val="21"/>
                <w:highlight w:val="none"/>
                <w:lang w:val="en-US" w:eastAsia="zh-CN"/>
              </w:rPr>
            </w:pPr>
            <w:r>
              <w:rPr>
                <w:rFonts w:hint="eastAsia" w:ascii="Times New Roman" w:hAnsi="Times New Roman"/>
                <w:b w:val="0"/>
                <w:bCs/>
                <w:color w:val="auto"/>
                <w:szCs w:val="21"/>
                <w:highlight w:val="none"/>
                <w:lang w:val="en-US" w:eastAsia="zh-CN"/>
              </w:rPr>
              <w:t>本项目各井场外500m范围内大气环境保护目标详见下表。</w:t>
            </w:r>
          </w:p>
          <w:p w14:paraId="4B33C4BC">
            <w:pPr>
              <w:keepNext/>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color w:val="auto"/>
                <w:szCs w:val="21"/>
                <w:lang w:val="en-US" w:eastAsia="zh-CN"/>
              </w:rPr>
            </w:pPr>
            <w:r>
              <w:rPr>
                <w:rFonts w:hint="eastAsia" w:ascii="Times New Roman" w:hAnsi="Times New Roman"/>
                <w:b/>
                <w:color w:val="auto"/>
                <w:szCs w:val="21"/>
                <w:lang w:val="en-US" w:eastAsia="zh-CN"/>
              </w:rPr>
              <w:t>表3-6  项目大气环境保护目标一览表</w:t>
            </w:r>
          </w:p>
          <w:tbl>
            <w:tblPr>
              <w:tblStyle w:val="20"/>
              <w:tblW w:w="785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5"/>
              <w:gridCol w:w="625"/>
              <w:gridCol w:w="1005"/>
              <w:gridCol w:w="676"/>
              <w:gridCol w:w="780"/>
              <w:gridCol w:w="795"/>
              <w:gridCol w:w="780"/>
              <w:gridCol w:w="1155"/>
              <w:gridCol w:w="706"/>
              <w:gridCol w:w="845"/>
            </w:tblGrid>
            <w:tr w14:paraId="74D9C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85" w:type="dxa"/>
                  <w:tcBorders>
                    <w:top w:val="single" w:color="auto" w:sz="4" w:space="0"/>
                    <w:left w:val="single" w:color="000000" w:sz="4" w:space="0"/>
                    <w:bottom w:val="single" w:color="auto" w:sz="4" w:space="0"/>
                    <w:right w:val="single" w:color="auto" w:sz="4" w:space="0"/>
                  </w:tcBorders>
                  <w:shd w:val="clear" w:color="auto" w:fill="auto"/>
                  <w:vAlign w:val="center"/>
                </w:tcPr>
                <w:p w14:paraId="0C9646CD">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环境要素</w:t>
                  </w: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14:paraId="17A7C93A">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区域</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197D64B5">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名称</w:t>
                  </w:r>
                </w:p>
              </w:tc>
              <w:tc>
                <w:tcPr>
                  <w:tcW w:w="676" w:type="dxa"/>
                  <w:tcBorders>
                    <w:top w:val="single" w:color="auto" w:sz="4" w:space="0"/>
                    <w:left w:val="single" w:color="auto" w:sz="4" w:space="0"/>
                    <w:bottom w:val="single" w:color="auto" w:sz="4" w:space="0"/>
                    <w:right w:val="single" w:color="auto" w:sz="4" w:space="0"/>
                  </w:tcBorders>
                  <w:shd w:val="clear" w:color="auto" w:fill="auto"/>
                  <w:vAlign w:val="center"/>
                </w:tcPr>
                <w:p w14:paraId="59E365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X</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14:paraId="553266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Y</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3DE49393">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保护对象</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14:paraId="528D2E82">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保护内容（人）</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4AD66456">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环境功能区</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40D7E1DB">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相对厂址方位</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42DCD3D9">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Style w:val="45"/>
                      <w:rFonts w:ascii="Times New Roman" w:hAnsi="Times New Roman" w:eastAsia="宋体"/>
                      <w:color w:val="auto"/>
                      <w:lang w:val="en-US" w:eastAsia="zh-CN" w:bidi="ar"/>
                    </w:rPr>
                    <w:t>相对</w:t>
                  </w:r>
                  <w:r>
                    <w:rPr>
                      <w:rStyle w:val="45"/>
                      <w:rFonts w:hint="eastAsia" w:ascii="Times New Roman" w:hAnsi="Times New Roman" w:eastAsia="宋体"/>
                      <w:color w:val="auto"/>
                      <w:lang w:val="en-US" w:eastAsia="zh-CN" w:bidi="ar"/>
                    </w:rPr>
                    <w:t>各井场边界</w:t>
                  </w:r>
                  <w:r>
                    <w:rPr>
                      <w:rStyle w:val="45"/>
                      <w:rFonts w:ascii="Times New Roman" w:hAnsi="Times New Roman" w:eastAsia="宋体"/>
                      <w:color w:val="auto"/>
                      <w:lang w:val="en-US" w:eastAsia="zh-CN" w:bidi="ar"/>
                    </w:rPr>
                    <w:t>距离</w:t>
                  </w:r>
                  <w:r>
                    <w:rPr>
                      <w:rStyle w:val="46"/>
                      <w:rFonts w:ascii="Times New Roman" w:hAnsi="Times New Roman" w:eastAsia="宋体"/>
                      <w:color w:val="auto"/>
                      <w:lang w:val="en-US" w:eastAsia="zh-CN" w:bidi="ar"/>
                    </w:rPr>
                    <w:t>/m</w:t>
                  </w:r>
                </w:p>
              </w:tc>
            </w:tr>
            <w:tr w14:paraId="401E7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501C7BE">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大气环境</w:t>
                  </w:r>
                </w:p>
              </w:tc>
              <w:tc>
                <w:tcPr>
                  <w:tcW w:w="6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DBA8E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6"/>
                      <w:rFonts w:hint="eastAsia" w:ascii="Times New Roman" w:hAnsi="Times New Roman"/>
                      <w:color w:val="auto"/>
                      <w:lang w:val="en-US" w:eastAsia="zh-CN" w:bidi="ar"/>
                    </w:rPr>
                    <w:t>DG-1</w:t>
                  </w:r>
                  <w:r>
                    <w:rPr>
                      <w:rStyle w:val="45"/>
                      <w:rFonts w:ascii="Times New Roman" w:hAnsi="Times New Roman" w:eastAsia="宋体"/>
                      <w:color w:val="auto"/>
                      <w:lang w:val="en-US" w:eastAsia="zh-CN" w:bidi="ar"/>
                    </w:rPr>
                    <w:t>井场</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2531EFD6">
                  <w:pPr>
                    <w:keepNext w:val="0"/>
                    <w:keepLines w:val="0"/>
                    <w:widowControl/>
                    <w:suppressLineNumbers w:val="0"/>
                    <w:jc w:val="center"/>
                    <w:textAlignment w:val="center"/>
                    <w:rPr>
                      <w:rFonts w:hint="default" w:ascii="Times New Roman" w:hAnsi="Times New Roman" w:eastAsia="宋体" w:cs="宋体"/>
                      <w:i w:val="0"/>
                      <w:iCs w:val="0"/>
                      <w:color w:val="auto"/>
                      <w:sz w:val="21"/>
                      <w:szCs w:val="21"/>
                      <w:u w:val="none"/>
                      <w:lang w:val="en-US"/>
                    </w:rPr>
                  </w:pPr>
                  <w:r>
                    <w:rPr>
                      <w:rFonts w:hint="eastAsia" w:ascii="Times New Roman" w:hAnsi="Times New Roman" w:eastAsia="宋体" w:cs="宋体"/>
                      <w:i w:val="0"/>
                      <w:iCs w:val="0"/>
                      <w:color w:val="auto"/>
                      <w:kern w:val="0"/>
                      <w:sz w:val="21"/>
                      <w:szCs w:val="21"/>
                      <w:u w:val="none"/>
                      <w:lang w:val="en-US" w:eastAsia="zh-CN" w:bidi="ar"/>
                    </w:rPr>
                    <w:t>史圩孜</w:t>
                  </w:r>
                </w:p>
              </w:tc>
              <w:tc>
                <w:tcPr>
                  <w:tcW w:w="676" w:type="dxa"/>
                  <w:tcBorders>
                    <w:top w:val="single" w:color="auto" w:sz="4" w:space="0"/>
                    <w:left w:val="single" w:color="auto" w:sz="4" w:space="0"/>
                    <w:bottom w:val="single" w:color="auto" w:sz="4" w:space="0"/>
                    <w:right w:val="single" w:color="auto" w:sz="4" w:space="0"/>
                  </w:tcBorders>
                  <w:shd w:val="clear" w:color="auto" w:fill="auto"/>
                  <w:vAlign w:val="center"/>
                </w:tcPr>
                <w:p w14:paraId="2F86E0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-30</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14:paraId="5082DA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i w:val="0"/>
                      <w:iCs w:val="0"/>
                      <w:color w:val="auto"/>
                      <w:kern w:val="0"/>
                      <w:sz w:val="21"/>
                      <w:szCs w:val="21"/>
                      <w:u w:val="none"/>
                      <w:lang w:val="en-US" w:eastAsia="zh-CN" w:bidi="ar"/>
                    </w:rPr>
                    <w:t>0</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10F1FF73">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14:paraId="366A77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500</w:t>
                  </w:r>
                </w:p>
              </w:tc>
              <w:tc>
                <w:tcPr>
                  <w:tcW w:w="115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B78ECF3">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Style w:val="45"/>
                      <w:rFonts w:ascii="Times New Roman" w:hAnsi="Times New Roman" w:eastAsia="宋体"/>
                      <w:color w:val="auto"/>
                      <w:lang w:val="en-US" w:eastAsia="zh-CN" w:bidi="ar"/>
                    </w:rPr>
                    <w:t>环境功能区《环境空气质量标准》（</w:t>
                  </w:r>
                  <w:r>
                    <w:rPr>
                      <w:rStyle w:val="46"/>
                      <w:rFonts w:ascii="Times New Roman" w:hAnsi="Times New Roman" w:eastAsia="宋体"/>
                      <w:color w:val="auto"/>
                      <w:lang w:val="en-US" w:eastAsia="zh-CN" w:bidi="ar"/>
                    </w:rPr>
                    <w:t>GB3095-2012</w:t>
                  </w:r>
                  <w:r>
                    <w:rPr>
                      <w:rStyle w:val="45"/>
                      <w:rFonts w:ascii="Times New Roman" w:hAnsi="Times New Roman" w:eastAsia="宋体"/>
                      <w:color w:val="auto"/>
                      <w:lang w:val="en-US" w:eastAsia="zh-CN" w:bidi="ar"/>
                    </w:rPr>
                    <w:t>）二级标准</w:t>
                  </w: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B9F2E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i w:val="0"/>
                      <w:iCs w:val="0"/>
                      <w:color w:val="auto"/>
                      <w:kern w:val="0"/>
                      <w:sz w:val="21"/>
                      <w:szCs w:val="21"/>
                      <w:u w:val="none"/>
                      <w:lang w:val="en-US" w:eastAsia="zh-CN" w:bidi="ar"/>
                    </w:rPr>
                    <w:t>W</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7DBDB3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30</w:t>
                  </w:r>
                </w:p>
              </w:tc>
            </w:tr>
            <w:tr w14:paraId="19E05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jc w:val="center"/>
              </w:trPr>
              <w:tc>
                <w:tcPr>
                  <w:tcW w:w="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E3A32C">
                  <w:pPr>
                    <w:jc w:val="center"/>
                    <w:rPr>
                      <w:rFonts w:hint="eastAsia" w:ascii="Times New Roman" w:hAnsi="Times New Roman" w:eastAsia="宋体" w:cs="宋体"/>
                      <w:i w:val="0"/>
                      <w:iCs w:val="0"/>
                      <w:color w:val="auto"/>
                      <w:sz w:val="21"/>
                      <w:szCs w:val="21"/>
                      <w:u w:val="none"/>
                    </w:rPr>
                  </w:pPr>
                </w:p>
              </w:tc>
              <w:tc>
                <w:tcPr>
                  <w:tcW w:w="6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F33EA5">
                  <w:pPr>
                    <w:jc w:val="center"/>
                    <w:rPr>
                      <w:rFonts w:hint="default" w:ascii="Times New Roman" w:hAnsi="Times New Roman" w:eastAsia="宋体" w:cs="Times New Roman"/>
                      <w:i w:val="0"/>
                      <w:iCs w:val="0"/>
                      <w:color w:val="auto"/>
                      <w:sz w:val="21"/>
                      <w:szCs w:val="21"/>
                      <w:u w:val="none"/>
                    </w:rPr>
                  </w:pP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338C180E">
                  <w:pPr>
                    <w:keepNext w:val="0"/>
                    <w:keepLines w:val="0"/>
                    <w:widowControl/>
                    <w:suppressLineNumbers w:val="0"/>
                    <w:jc w:val="center"/>
                    <w:textAlignment w:val="center"/>
                    <w:rPr>
                      <w:rFonts w:hint="default" w:ascii="Times New Roman" w:hAnsi="Times New Roman" w:eastAsia="宋体" w:cs="宋体"/>
                      <w:i w:val="0"/>
                      <w:iCs w:val="0"/>
                      <w:color w:val="auto"/>
                      <w:sz w:val="21"/>
                      <w:szCs w:val="21"/>
                      <w:u w:val="none"/>
                      <w:lang w:val="en-US" w:eastAsia="zh-CN"/>
                    </w:rPr>
                  </w:pPr>
                  <w:r>
                    <w:rPr>
                      <w:rFonts w:hint="eastAsia" w:ascii="Times New Roman" w:hAnsi="Times New Roman" w:cs="宋体"/>
                      <w:i w:val="0"/>
                      <w:iCs w:val="0"/>
                      <w:color w:val="auto"/>
                      <w:sz w:val="21"/>
                      <w:szCs w:val="21"/>
                      <w:u w:val="none"/>
                      <w:lang w:val="en-US" w:eastAsia="zh-CN"/>
                    </w:rPr>
                    <w:t>前王村</w:t>
                  </w:r>
                </w:p>
              </w:tc>
              <w:tc>
                <w:tcPr>
                  <w:tcW w:w="676" w:type="dxa"/>
                  <w:tcBorders>
                    <w:top w:val="single" w:color="auto" w:sz="4" w:space="0"/>
                    <w:left w:val="single" w:color="auto" w:sz="4" w:space="0"/>
                    <w:bottom w:val="single" w:color="auto" w:sz="4" w:space="0"/>
                    <w:right w:val="single" w:color="auto" w:sz="4" w:space="0"/>
                  </w:tcBorders>
                  <w:shd w:val="clear" w:color="auto" w:fill="auto"/>
                  <w:vAlign w:val="center"/>
                </w:tcPr>
                <w:p w14:paraId="3BD5C7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200</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14:paraId="2FF301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w:t>
                  </w:r>
                  <w:r>
                    <w:rPr>
                      <w:rFonts w:hint="eastAsia" w:ascii="Times New Roman" w:hAnsi="Times New Roman" w:cs="Times New Roman"/>
                      <w:i w:val="0"/>
                      <w:iCs w:val="0"/>
                      <w:color w:val="auto"/>
                      <w:kern w:val="0"/>
                      <w:sz w:val="21"/>
                      <w:szCs w:val="21"/>
                      <w:u w:val="none"/>
                      <w:lang w:val="en-US" w:eastAsia="zh-CN" w:bidi="ar"/>
                    </w:rPr>
                    <w:t>50</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37F3A4D3">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14:paraId="2B615D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150</w:t>
                  </w:r>
                </w:p>
              </w:tc>
              <w:tc>
                <w:tcPr>
                  <w:tcW w:w="115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86C952">
                  <w:pPr>
                    <w:jc w:val="center"/>
                    <w:rPr>
                      <w:rFonts w:hint="eastAsia" w:ascii="Times New Roman" w:hAnsi="Times New Roman" w:eastAsia="宋体" w:cs="宋体"/>
                      <w:i w:val="0"/>
                      <w:iCs w:val="0"/>
                      <w:color w:val="auto"/>
                      <w:sz w:val="21"/>
                      <w:szCs w:val="21"/>
                      <w:u w:val="none"/>
                    </w:rPr>
                  </w:pP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564DCB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w:t>
                  </w:r>
                  <w:r>
                    <w:rPr>
                      <w:rFonts w:hint="eastAsia" w:ascii="Times New Roman" w:hAnsi="Times New Roman" w:cs="Times New Roman"/>
                      <w:i w:val="0"/>
                      <w:iCs w:val="0"/>
                      <w:color w:val="auto"/>
                      <w:kern w:val="0"/>
                      <w:sz w:val="21"/>
                      <w:szCs w:val="21"/>
                      <w:u w:val="none"/>
                      <w:lang w:val="en-US" w:eastAsia="zh-CN" w:bidi="ar"/>
                    </w:rPr>
                    <w:t>E</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6C3898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329</w:t>
                  </w:r>
                </w:p>
              </w:tc>
            </w:tr>
            <w:tr w14:paraId="63BF9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639CA1">
                  <w:pPr>
                    <w:jc w:val="center"/>
                    <w:rPr>
                      <w:rFonts w:hint="eastAsia" w:ascii="Times New Roman" w:hAnsi="Times New Roman" w:eastAsia="宋体" w:cs="宋体"/>
                      <w:i w:val="0"/>
                      <w:iCs w:val="0"/>
                      <w:color w:val="auto"/>
                      <w:sz w:val="21"/>
                      <w:szCs w:val="21"/>
                      <w:u w:val="none"/>
                    </w:rPr>
                  </w:pPr>
                </w:p>
              </w:tc>
              <w:tc>
                <w:tcPr>
                  <w:tcW w:w="6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AA19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6"/>
                      <w:rFonts w:hint="eastAsia" w:ascii="Times New Roman" w:hAnsi="Times New Roman"/>
                      <w:color w:val="auto"/>
                      <w:lang w:val="en-US" w:eastAsia="zh-CN" w:bidi="ar"/>
                    </w:rPr>
                    <w:t>DG-2</w:t>
                  </w:r>
                  <w:r>
                    <w:rPr>
                      <w:rStyle w:val="45"/>
                      <w:rFonts w:ascii="Times New Roman" w:hAnsi="Times New Roman" w:eastAsia="宋体"/>
                      <w:color w:val="auto"/>
                      <w:lang w:val="en-US" w:eastAsia="zh-CN" w:bidi="ar"/>
                    </w:rPr>
                    <w:t>井场</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126975E9">
                  <w:pPr>
                    <w:keepNext w:val="0"/>
                    <w:keepLines w:val="0"/>
                    <w:widowControl/>
                    <w:suppressLineNumbers w:val="0"/>
                    <w:jc w:val="center"/>
                    <w:textAlignment w:val="center"/>
                    <w:rPr>
                      <w:rFonts w:hint="default" w:ascii="Times New Roman" w:hAnsi="Times New Roman" w:eastAsia="宋体" w:cs="宋体"/>
                      <w:i w:val="0"/>
                      <w:iCs w:val="0"/>
                      <w:color w:val="auto"/>
                      <w:sz w:val="21"/>
                      <w:szCs w:val="21"/>
                      <w:u w:val="none"/>
                      <w:lang w:val="en-US"/>
                    </w:rPr>
                  </w:pPr>
                  <w:r>
                    <w:rPr>
                      <w:rFonts w:hint="eastAsia" w:ascii="Times New Roman" w:hAnsi="Times New Roman" w:eastAsia="宋体" w:cs="宋体"/>
                      <w:i w:val="0"/>
                      <w:iCs w:val="0"/>
                      <w:color w:val="auto"/>
                      <w:kern w:val="0"/>
                      <w:sz w:val="21"/>
                      <w:szCs w:val="21"/>
                      <w:u w:val="none"/>
                      <w:lang w:val="en-US" w:eastAsia="zh-CN" w:bidi="ar"/>
                    </w:rPr>
                    <w:t>史圩孜</w:t>
                  </w:r>
                </w:p>
              </w:tc>
              <w:tc>
                <w:tcPr>
                  <w:tcW w:w="676" w:type="dxa"/>
                  <w:tcBorders>
                    <w:top w:val="single" w:color="auto" w:sz="4" w:space="0"/>
                    <w:left w:val="single" w:color="auto" w:sz="4" w:space="0"/>
                    <w:bottom w:val="single" w:color="auto" w:sz="4" w:space="0"/>
                    <w:right w:val="single" w:color="auto" w:sz="4" w:space="0"/>
                  </w:tcBorders>
                  <w:shd w:val="clear" w:color="auto" w:fill="auto"/>
                  <w:vAlign w:val="center"/>
                </w:tcPr>
                <w:p w14:paraId="01DB2B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-42</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14:paraId="5BEF7C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20</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1D39028A">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14:paraId="19B902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i w:val="0"/>
                      <w:iCs w:val="0"/>
                      <w:color w:val="auto"/>
                      <w:kern w:val="0"/>
                      <w:sz w:val="21"/>
                      <w:szCs w:val="21"/>
                      <w:u w:val="none"/>
                      <w:lang w:val="en-US" w:eastAsia="zh-CN" w:bidi="ar"/>
                    </w:rPr>
                    <w:t>500</w:t>
                  </w:r>
                </w:p>
              </w:tc>
              <w:tc>
                <w:tcPr>
                  <w:tcW w:w="115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3EB3EC">
                  <w:pPr>
                    <w:jc w:val="center"/>
                    <w:rPr>
                      <w:rFonts w:hint="eastAsia" w:ascii="Times New Roman" w:hAnsi="Times New Roman" w:eastAsia="宋体" w:cs="宋体"/>
                      <w:i w:val="0"/>
                      <w:iCs w:val="0"/>
                      <w:color w:val="auto"/>
                      <w:sz w:val="21"/>
                      <w:szCs w:val="21"/>
                      <w:u w:val="none"/>
                    </w:rPr>
                  </w:pP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512DC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77E019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4</w:t>
                  </w:r>
                  <w:r>
                    <w:rPr>
                      <w:rFonts w:hint="eastAsia" w:ascii="Times New Roman" w:hAnsi="Times New Roman" w:cs="Times New Roman"/>
                      <w:i w:val="0"/>
                      <w:iCs w:val="0"/>
                      <w:color w:val="auto"/>
                      <w:kern w:val="0"/>
                      <w:sz w:val="21"/>
                      <w:szCs w:val="21"/>
                      <w:u w:val="none"/>
                      <w:lang w:val="en-US" w:eastAsia="zh-CN" w:bidi="ar"/>
                    </w:rPr>
                    <w:t>0</w:t>
                  </w:r>
                </w:p>
              </w:tc>
            </w:tr>
            <w:tr w14:paraId="3F713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CAF90E">
                  <w:pPr>
                    <w:jc w:val="center"/>
                    <w:rPr>
                      <w:rFonts w:hint="eastAsia" w:ascii="Times New Roman" w:hAnsi="Times New Roman" w:eastAsia="宋体" w:cs="宋体"/>
                      <w:i w:val="0"/>
                      <w:iCs w:val="0"/>
                      <w:color w:val="auto"/>
                      <w:sz w:val="21"/>
                      <w:szCs w:val="21"/>
                      <w:u w:val="none"/>
                    </w:rPr>
                  </w:pPr>
                </w:p>
              </w:tc>
              <w:tc>
                <w:tcPr>
                  <w:tcW w:w="6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9F64A5">
                  <w:pPr>
                    <w:jc w:val="center"/>
                    <w:rPr>
                      <w:rFonts w:hint="default" w:ascii="Times New Roman" w:hAnsi="Times New Roman" w:eastAsia="宋体" w:cs="Times New Roman"/>
                      <w:i w:val="0"/>
                      <w:iCs w:val="0"/>
                      <w:color w:val="auto"/>
                      <w:sz w:val="21"/>
                      <w:szCs w:val="21"/>
                      <w:u w:val="none"/>
                    </w:rPr>
                  </w:pP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5750DAC4">
                  <w:pPr>
                    <w:keepNext w:val="0"/>
                    <w:keepLines w:val="0"/>
                    <w:widowControl/>
                    <w:suppressLineNumbers w:val="0"/>
                    <w:jc w:val="center"/>
                    <w:textAlignment w:val="center"/>
                    <w:rPr>
                      <w:rFonts w:hint="default" w:ascii="Times New Roman" w:hAnsi="Times New Roman" w:eastAsia="宋体" w:cs="宋体"/>
                      <w:i w:val="0"/>
                      <w:iCs w:val="0"/>
                      <w:color w:val="auto"/>
                      <w:sz w:val="21"/>
                      <w:szCs w:val="21"/>
                      <w:u w:val="none"/>
                      <w:lang w:val="en-US"/>
                    </w:rPr>
                  </w:pPr>
                  <w:r>
                    <w:rPr>
                      <w:rFonts w:hint="eastAsia" w:ascii="Times New Roman" w:hAnsi="Times New Roman" w:eastAsia="宋体" w:cs="宋体"/>
                      <w:i w:val="0"/>
                      <w:iCs w:val="0"/>
                      <w:color w:val="auto"/>
                      <w:kern w:val="0"/>
                      <w:sz w:val="21"/>
                      <w:szCs w:val="21"/>
                      <w:u w:val="none"/>
                      <w:lang w:val="en-US" w:eastAsia="zh-CN" w:bidi="ar"/>
                    </w:rPr>
                    <w:t>史圩</w:t>
                  </w:r>
                  <w:r>
                    <w:rPr>
                      <w:rFonts w:hint="eastAsia" w:ascii="Times New Roman" w:hAnsi="Times New Roman" w:cs="宋体"/>
                      <w:i w:val="0"/>
                      <w:iCs w:val="0"/>
                      <w:color w:val="auto"/>
                      <w:kern w:val="0"/>
                      <w:sz w:val="21"/>
                      <w:szCs w:val="21"/>
                      <w:u w:val="none"/>
                      <w:lang w:val="en-US" w:eastAsia="zh-CN" w:bidi="ar"/>
                    </w:rPr>
                    <w:t>村</w:t>
                  </w:r>
                </w:p>
              </w:tc>
              <w:tc>
                <w:tcPr>
                  <w:tcW w:w="676" w:type="dxa"/>
                  <w:tcBorders>
                    <w:top w:val="single" w:color="auto" w:sz="4" w:space="0"/>
                    <w:left w:val="single" w:color="auto" w:sz="4" w:space="0"/>
                    <w:bottom w:val="single" w:color="auto" w:sz="4" w:space="0"/>
                    <w:right w:val="single" w:color="auto" w:sz="4" w:space="0"/>
                  </w:tcBorders>
                  <w:shd w:val="clear" w:color="auto" w:fill="auto"/>
                  <w:vAlign w:val="center"/>
                </w:tcPr>
                <w:p w14:paraId="3F0B6F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142</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14:paraId="24C6B6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0</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38C82FA9">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14:paraId="40AFA7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i w:val="0"/>
                      <w:iCs w:val="0"/>
                      <w:color w:val="auto"/>
                      <w:kern w:val="0"/>
                      <w:sz w:val="21"/>
                      <w:szCs w:val="21"/>
                      <w:u w:val="none"/>
                      <w:lang w:val="en-US" w:eastAsia="zh-CN" w:bidi="ar"/>
                    </w:rPr>
                    <w:t>8</w:t>
                  </w:r>
                </w:p>
              </w:tc>
              <w:tc>
                <w:tcPr>
                  <w:tcW w:w="115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C86270">
                  <w:pPr>
                    <w:jc w:val="center"/>
                    <w:rPr>
                      <w:rFonts w:hint="eastAsia" w:ascii="Times New Roman" w:hAnsi="Times New Roman" w:eastAsia="宋体" w:cs="宋体"/>
                      <w:i w:val="0"/>
                      <w:iCs w:val="0"/>
                      <w:color w:val="auto"/>
                      <w:sz w:val="21"/>
                      <w:szCs w:val="21"/>
                      <w:u w:val="none"/>
                    </w:rPr>
                  </w:pP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8A28465">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E</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637AD3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395</w:t>
                  </w:r>
                </w:p>
              </w:tc>
            </w:tr>
            <w:tr w14:paraId="66CD5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76E88B">
                  <w:pPr>
                    <w:jc w:val="center"/>
                    <w:rPr>
                      <w:rFonts w:hint="eastAsia" w:ascii="Times New Roman" w:hAnsi="Times New Roman" w:eastAsia="宋体" w:cs="宋体"/>
                      <w:i w:val="0"/>
                      <w:iCs w:val="0"/>
                      <w:color w:val="auto"/>
                      <w:sz w:val="21"/>
                      <w:szCs w:val="21"/>
                      <w:u w:val="none"/>
                    </w:rPr>
                  </w:pPr>
                </w:p>
              </w:tc>
              <w:tc>
                <w:tcPr>
                  <w:tcW w:w="6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E2A0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6"/>
                      <w:rFonts w:hint="eastAsia" w:ascii="Times New Roman" w:hAnsi="Times New Roman"/>
                      <w:color w:val="auto"/>
                      <w:lang w:val="en-US" w:eastAsia="zh-CN" w:bidi="ar"/>
                    </w:rPr>
                    <w:t>DG-3</w:t>
                  </w:r>
                  <w:r>
                    <w:rPr>
                      <w:rStyle w:val="45"/>
                      <w:rFonts w:ascii="Times New Roman" w:hAnsi="Times New Roman" w:eastAsia="宋体"/>
                      <w:color w:val="auto"/>
                      <w:lang w:val="en-US" w:eastAsia="zh-CN" w:bidi="ar"/>
                    </w:rPr>
                    <w:t>井场</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1BED105A">
                  <w:pPr>
                    <w:keepNext w:val="0"/>
                    <w:keepLines w:val="0"/>
                    <w:widowControl/>
                    <w:suppressLineNumbers w:val="0"/>
                    <w:jc w:val="center"/>
                    <w:textAlignment w:val="center"/>
                    <w:rPr>
                      <w:rFonts w:hint="default" w:ascii="Times New Roman" w:hAnsi="Times New Roman" w:eastAsia="宋体" w:cs="宋体"/>
                      <w:i w:val="0"/>
                      <w:iCs w:val="0"/>
                      <w:color w:val="auto"/>
                      <w:sz w:val="21"/>
                      <w:szCs w:val="21"/>
                      <w:u w:val="none"/>
                      <w:lang w:val="en-US"/>
                    </w:rPr>
                  </w:pPr>
                  <w:r>
                    <w:rPr>
                      <w:rFonts w:hint="eastAsia" w:ascii="Times New Roman" w:hAnsi="Times New Roman" w:eastAsia="宋体" w:cs="宋体"/>
                      <w:i w:val="0"/>
                      <w:iCs w:val="0"/>
                      <w:color w:val="auto"/>
                      <w:kern w:val="0"/>
                      <w:sz w:val="21"/>
                      <w:szCs w:val="21"/>
                      <w:u w:val="none"/>
                      <w:lang w:val="en-US" w:eastAsia="zh-CN" w:bidi="ar"/>
                    </w:rPr>
                    <w:t>史圩孜</w:t>
                  </w:r>
                </w:p>
              </w:tc>
              <w:tc>
                <w:tcPr>
                  <w:tcW w:w="676" w:type="dxa"/>
                  <w:tcBorders>
                    <w:top w:val="single" w:color="auto" w:sz="4" w:space="0"/>
                    <w:left w:val="single" w:color="auto" w:sz="4" w:space="0"/>
                    <w:bottom w:val="single" w:color="auto" w:sz="4" w:space="0"/>
                    <w:right w:val="single" w:color="auto" w:sz="4" w:space="0"/>
                  </w:tcBorders>
                  <w:shd w:val="clear" w:color="auto" w:fill="auto"/>
                  <w:vAlign w:val="center"/>
                </w:tcPr>
                <w:p w14:paraId="2DAAEC78">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0</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14:paraId="48FF31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sz w:val="21"/>
                      <w:szCs w:val="21"/>
                      <w:u w:val="none"/>
                      <w:lang w:val="en-US" w:eastAsia="zh-CN"/>
                    </w:rPr>
                    <w:t>210</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49507D16">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14:paraId="48CEC1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480</w:t>
                  </w:r>
                </w:p>
              </w:tc>
              <w:tc>
                <w:tcPr>
                  <w:tcW w:w="115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56C9DD">
                  <w:pPr>
                    <w:jc w:val="center"/>
                    <w:rPr>
                      <w:rFonts w:hint="eastAsia" w:ascii="Times New Roman" w:hAnsi="Times New Roman" w:eastAsia="宋体" w:cs="宋体"/>
                      <w:i w:val="0"/>
                      <w:iCs w:val="0"/>
                      <w:color w:val="auto"/>
                      <w:sz w:val="21"/>
                      <w:szCs w:val="21"/>
                      <w:u w:val="none"/>
                    </w:rPr>
                  </w:pP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4B23F1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i w:val="0"/>
                      <w:iCs w:val="0"/>
                      <w:color w:val="auto"/>
                      <w:kern w:val="0"/>
                      <w:sz w:val="21"/>
                      <w:szCs w:val="21"/>
                      <w:u w:val="none"/>
                      <w:lang w:val="en-US" w:eastAsia="zh-CN" w:bidi="ar"/>
                    </w:rPr>
                    <w:t>N</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47B85E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205</w:t>
                  </w:r>
                </w:p>
              </w:tc>
            </w:tr>
            <w:tr w14:paraId="16A48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C5187E">
                  <w:pPr>
                    <w:jc w:val="center"/>
                    <w:rPr>
                      <w:rFonts w:hint="eastAsia" w:ascii="Times New Roman" w:hAnsi="Times New Roman" w:eastAsia="宋体" w:cs="宋体"/>
                      <w:i w:val="0"/>
                      <w:iCs w:val="0"/>
                      <w:color w:val="auto"/>
                      <w:sz w:val="21"/>
                      <w:szCs w:val="21"/>
                      <w:u w:val="none"/>
                    </w:rPr>
                  </w:pPr>
                </w:p>
              </w:tc>
              <w:tc>
                <w:tcPr>
                  <w:tcW w:w="6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F803EC">
                  <w:pPr>
                    <w:jc w:val="center"/>
                    <w:rPr>
                      <w:rFonts w:hint="default" w:ascii="Times New Roman" w:hAnsi="Times New Roman" w:eastAsia="宋体" w:cs="Times New Roman"/>
                      <w:i w:val="0"/>
                      <w:iCs w:val="0"/>
                      <w:color w:val="auto"/>
                      <w:sz w:val="21"/>
                      <w:szCs w:val="21"/>
                      <w:u w:val="none"/>
                    </w:rPr>
                  </w:pP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44DEC681">
                  <w:pPr>
                    <w:keepNext w:val="0"/>
                    <w:keepLines w:val="0"/>
                    <w:widowControl/>
                    <w:suppressLineNumbers w:val="0"/>
                    <w:jc w:val="center"/>
                    <w:textAlignment w:val="center"/>
                    <w:rPr>
                      <w:rFonts w:hint="default" w:ascii="Times New Roman" w:hAnsi="Times New Roman" w:eastAsia="宋体" w:cs="宋体"/>
                      <w:i w:val="0"/>
                      <w:iCs w:val="0"/>
                      <w:color w:val="auto"/>
                      <w:sz w:val="21"/>
                      <w:szCs w:val="21"/>
                      <w:u w:val="none"/>
                      <w:lang w:val="en-US"/>
                    </w:rPr>
                  </w:pPr>
                  <w:r>
                    <w:rPr>
                      <w:rFonts w:hint="eastAsia" w:ascii="Times New Roman" w:hAnsi="Times New Roman" w:eastAsia="宋体" w:cs="宋体"/>
                      <w:i w:val="0"/>
                      <w:iCs w:val="0"/>
                      <w:color w:val="auto"/>
                      <w:kern w:val="0"/>
                      <w:sz w:val="21"/>
                      <w:szCs w:val="21"/>
                      <w:u w:val="none"/>
                      <w:lang w:val="en-US" w:eastAsia="zh-CN" w:bidi="ar"/>
                    </w:rPr>
                    <w:t>史圩</w:t>
                  </w:r>
                  <w:r>
                    <w:rPr>
                      <w:rFonts w:hint="eastAsia" w:ascii="Times New Roman" w:hAnsi="Times New Roman" w:cs="宋体"/>
                      <w:i w:val="0"/>
                      <w:iCs w:val="0"/>
                      <w:color w:val="auto"/>
                      <w:kern w:val="0"/>
                      <w:sz w:val="21"/>
                      <w:szCs w:val="21"/>
                      <w:u w:val="none"/>
                      <w:lang w:val="en-US" w:eastAsia="zh-CN" w:bidi="ar"/>
                    </w:rPr>
                    <w:t>村</w:t>
                  </w:r>
                </w:p>
              </w:tc>
              <w:tc>
                <w:tcPr>
                  <w:tcW w:w="676" w:type="dxa"/>
                  <w:tcBorders>
                    <w:top w:val="single" w:color="auto" w:sz="4" w:space="0"/>
                    <w:left w:val="single" w:color="auto" w:sz="4" w:space="0"/>
                    <w:bottom w:val="single" w:color="auto" w:sz="4" w:space="0"/>
                    <w:right w:val="single" w:color="auto" w:sz="4" w:space="0"/>
                  </w:tcBorders>
                  <w:shd w:val="clear" w:color="auto" w:fill="auto"/>
                  <w:vAlign w:val="center"/>
                </w:tcPr>
                <w:p w14:paraId="71ED10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407</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14:paraId="03D477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0</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0DE4805F">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14:paraId="50C851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10</w:t>
                  </w:r>
                </w:p>
              </w:tc>
              <w:tc>
                <w:tcPr>
                  <w:tcW w:w="115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A4E710">
                  <w:pPr>
                    <w:jc w:val="center"/>
                    <w:rPr>
                      <w:rFonts w:hint="eastAsia" w:ascii="Times New Roman" w:hAnsi="Times New Roman" w:eastAsia="宋体" w:cs="宋体"/>
                      <w:i w:val="0"/>
                      <w:iCs w:val="0"/>
                      <w:color w:val="auto"/>
                      <w:sz w:val="21"/>
                      <w:szCs w:val="21"/>
                      <w:u w:val="none"/>
                    </w:rPr>
                  </w:pPr>
                </w:p>
              </w:tc>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7A1F2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i w:val="0"/>
                      <w:iCs w:val="0"/>
                      <w:color w:val="auto"/>
                      <w:kern w:val="0"/>
                      <w:sz w:val="21"/>
                      <w:szCs w:val="21"/>
                      <w:u w:val="none"/>
                      <w:lang w:val="en-US" w:eastAsia="zh-CN" w:bidi="ar"/>
                    </w:rPr>
                    <w:t>E</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08CD29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397</w:t>
                  </w:r>
                </w:p>
              </w:tc>
            </w:tr>
            <w:tr w14:paraId="26C8B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852"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14:paraId="230C4E4E">
                  <w:pPr>
                    <w:keepNext w:val="0"/>
                    <w:keepLines w:val="0"/>
                    <w:widowControl/>
                    <w:suppressLineNumbers w:val="0"/>
                    <w:jc w:val="left"/>
                    <w:textAlignment w:val="center"/>
                    <w:rPr>
                      <w:rStyle w:val="45"/>
                      <w:rFonts w:ascii="Times New Roman" w:hAnsi="Times New Roman" w:eastAsia="宋体"/>
                      <w:color w:val="auto"/>
                      <w:lang w:val="en-US" w:eastAsia="zh-CN" w:bidi="ar"/>
                    </w:rPr>
                  </w:pPr>
                  <w:r>
                    <w:rPr>
                      <w:rStyle w:val="45"/>
                      <w:rFonts w:ascii="Times New Roman" w:hAnsi="Times New Roman" w:eastAsia="宋体"/>
                      <w:color w:val="auto"/>
                      <w:lang w:val="en-US" w:eastAsia="zh-CN" w:bidi="ar"/>
                    </w:rPr>
                    <w:t>注：本项目以</w:t>
                  </w:r>
                  <w:r>
                    <w:rPr>
                      <w:rStyle w:val="45"/>
                      <w:rFonts w:hint="eastAsia" w:ascii="Times New Roman" w:hAnsi="Times New Roman" w:eastAsia="宋体"/>
                      <w:color w:val="auto"/>
                      <w:lang w:val="en-US" w:eastAsia="zh-CN" w:bidi="ar"/>
                    </w:rPr>
                    <w:t>各井场</w:t>
                  </w:r>
                  <w:r>
                    <w:rPr>
                      <w:rStyle w:val="45"/>
                      <w:rFonts w:ascii="Times New Roman" w:hAnsi="Times New Roman" w:eastAsia="宋体"/>
                      <w:color w:val="auto"/>
                      <w:lang w:val="en-US" w:eastAsia="zh-CN" w:bidi="ar"/>
                    </w:rPr>
                    <w:t>中心为原点，东侧方向为</w:t>
                  </w:r>
                  <w:r>
                    <w:rPr>
                      <w:rStyle w:val="46"/>
                      <w:rFonts w:ascii="Times New Roman" w:hAnsi="Times New Roman" w:eastAsia="宋体"/>
                      <w:color w:val="auto"/>
                      <w:lang w:val="en-US" w:eastAsia="zh-CN" w:bidi="ar"/>
                    </w:rPr>
                    <w:t>X</w:t>
                  </w:r>
                  <w:r>
                    <w:rPr>
                      <w:rStyle w:val="45"/>
                      <w:rFonts w:ascii="Times New Roman" w:hAnsi="Times New Roman" w:eastAsia="宋体"/>
                      <w:color w:val="auto"/>
                      <w:lang w:val="en-US" w:eastAsia="zh-CN" w:bidi="ar"/>
                    </w:rPr>
                    <w:t>轴、北侧方向为</w:t>
                  </w:r>
                  <w:r>
                    <w:rPr>
                      <w:rStyle w:val="46"/>
                      <w:rFonts w:ascii="Times New Roman" w:hAnsi="Times New Roman" w:eastAsia="宋体"/>
                      <w:color w:val="auto"/>
                      <w:lang w:val="en-US" w:eastAsia="zh-CN" w:bidi="ar"/>
                    </w:rPr>
                    <w:t>Y</w:t>
                  </w:r>
                  <w:r>
                    <w:rPr>
                      <w:rStyle w:val="45"/>
                      <w:rFonts w:ascii="Times New Roman" w:hAnsi="Times New Roman" w:eastAsia="宋体"/>
                      <w:color w:val="auto"/>
                      <w:lang w:val="en-US" w:eastAsia="zh-CN" w:bidi="ar"/>
                    </w:rPr>
                    <w:t>轴，建立坐标系。</w:t>
                  </w:r>
                </w:p>
                <w:p w14:paraId="7D672B5C">
                  <w:pPr>
                    <w:keepNext w:val="0"/>
                    <w:keepLines w:val="0"/>
                    <w:widowControl/>
                    <w:suppressLineNumbers w:val="0"/>
                    <w:jc w:val="left"/>
                    <w:textAlignment w:val="center"/>
                    <w:rPr>
                      <w:rStyle w:val="45"/>
                      <w:rFonts w:hint="default" w:ascii="Times New Roman" w:hAnsi="Times New Roman" w:eastAsia="宋体"/>
                      <w:color w:val="auto"/>
                      <w:lang w:val="en-US" w:eastAsia="zh-CN" w:bidi="ar"/>
                    </w:rPr>
                  </w:pPr>
                  <w:r>
                    <w:rPr>
                      <w:rStyle w:val="45"/>
                      <w:rFonts w:hint="eastAsia" w:ascii="Times New Roman" w:hAnsi="Times New Roman" w:eastAsia="宋体"/>
                      <w:color w:val="auto"/>
                      <w:lang w:val="en-US" w:eastAsia="zh-CN" w:bidi="ar"/>
                    </w:rPr>
                    <w:t>各井场涉及相同保护目标，保护内容以村庄总人数进行统计</w:t>
                  </w:r>
                </w:p>
              </w:tc>
            </w:tr>
          </w:tbl>
          <w:p w14:paraId="485C4F6B">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b/>
                <w:bCs/>
                <w:color w:val="auto"/>
                <w:szCs w:val="21"/>
                <w:highlight w:val="none"/>
                <w:lang w:val="en-US" w:eastAsia="zh-CN"/>
              </w:rPr>
            </w:pPr>
            <w:r>
              <w:rPr>
                <w:rFonts w:hint="eastAsia" w:ascii="Times New Roman" w:hAnsi="Times New Roman"/>
                <w:b/>
                <w:bCs/>
                <w:color w:val="auto"/>
                <w:szCs w:val="21"/>
                <w:highlight w:val="none"/>
                <w:lang w:val="en-US" w:eastAsia="zh-CN"/>
              </w:rPr>
              <w:t>2、声环境</w:t>
            </w:r>
          </w:p>
          <w:p w14:paraId="75A9857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b w:val="0"/>
                <w:bCs/>
                <w:color w:val="auto"/>
                <w:szCs w:val="21"/>
                <w:highlight w:val="none"/>
                <w:lang w:val="en-US" w:eastAsia="zh-CN"/>
              </w:rPr>
            </w:pPr>
            <w:r>
              <w:rPr>
                <w:rFonts w:hint="eastAsia" w:ascii="Times New Roman" w:hAnsi="Times New Roman"/>
                <w:b w:val="0"/>
                <w:bCs/>
                <w:color w:val="auto"/>
                <w:szCs w:val="21"/>
                <w:highlight w:val="none"/>
                <w:lang w:val="en-US" w:eastAsia="zh-CN"/>
              </w:rPr>
              <w:t>本项目各井场外200m范围内声环境保护目标详见下表。</w:t>
            </w:r>
          </w:p>
          <w:p w14:paraId="48ED2AB0">
            <w:pPr>
              <w:keepNext/>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color w:val="auto"/>
                <w:szCs w:val="21"/>
                <w:lang w:val="en-US" w:eastAsia="zh-CN"/>
              </w:rPr>
            </w:pPr>
            <w:r>
              <w:rPr>
                <w:rFonts w:hint="eastAsia" w:ascii="Times New Roman" w:hAnsi="Times New Roman"/>
                <w:b/>
                <w:color w:val="auto"/>
                <w:szCs w:val="21"/>
                <w:lang w:val="en-US" w:eastAsia="zh-CN"/>
              </w:rPr>
              <w:t>表3-7   项目声环境保护目标一览表</w:t>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0"/>
              <w:gridCol w:w="945"/>
              <w:gridCol w:w="473"/>
              <w:gridCol w:w="601"/>
              <w:gridCol w:w="531"/>
              <w:gridCol w:w="345"/>
              <w:gridCol w:w="661"/>
              <w:gridCol w:w="730"/>
              <w:gridCol w:w="1531"/>
              <w:gridCol w:w="1566"/>
            </w:tblGrid>
            <w:tr w14:paraId="60647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450" w:type="dxa"/>
                  <w:vMerge w:val="restart"/>
                  <w:tcBorders>
                    <w:tl2br w:val="nil"/>
                    <w:tr2bl w:val="nil"/>
                  </w:tcBorders>
                  <w:shd w:val="clear" w:color="auto" w:fill="auto"/>
                  <w:vAlign w:val="center"/>
                </w:tcPr>
                <w:p w14:paraId="22764DC3">
                  <w:pPr>
                    <w:widowControl/>
                    <w:jc w:val="center"/>
                    <w:textAlignment w:val="center"/>
                    <w:rPr>
                      <w:rFonts w:hint="eastAsia" w:ascii="Times New Roman" w:hAnsi="Times New Roman" w:eastAsia="宋体" w:cs="宋体"/>
                      <w:color w:val="auto"/>
                      <w:kern w:val="0"/>
                      <w:szCs w:val="21"/>
                      <w:highlight w:val="none"/>
                      <w:lang w:eastAsia="zh-CN"/>
                    </w:rPr>
                  </w:pPr>
                  <w:r>
                    <w:rPr>
                      <w:rFonts w:hint="eastAsia" w:ascii="Times New Roman" w:hAnsi="Times New Roman" w:cs="宋体"/>
                      <w:color w:val="auto"/>
                      <w:kern w:val="0"/>
                      <w:szCs w:val="21"/>
                      <w:highlight w:val="none"/>
                      <w:lang w:val="en-US" w:eastAsia="zh-CN"/>
                    </w:rPr>
                    <w:t>序号</w:t>
                  </w:r>
                </w:p>
              </w:tc>
              <w:tc>
                <w:tcPr>
                  <w:tcW w:w="945" w:type="dxa"/>
                  <w:vMerge w:val="restart"/>
                  <w:tcBorders>
                    <w:tl2br w:val="nil"/>
                    <w:tr2bl w:val="nil"/>
                  </w:tcBorders>
                  <w:shd w:val="clear" w:color="auto" w:fill="auto"/>
                  <w:vAlign w:val="center"/>
                </w:tcPr>
                <w:p w14:paraId="09604246">
                  <w:pPr>
                    <w:widowControl/>
                    <w:jc w:val="center"/>
                    <w:textAlignment w:val="center"/>
                    <w:rPr>
                      <w:rFonts w:hint="eastAsia" w:ascii="Times New Roman" w:hAnsi="Times New Roman" w:eastAsia="宋体" w:cs="宋体"/>
                      <w:color w:val="auto"/>
                      <w:kern w:val="0"/>
                      <w:sz w:val="21"/>
                      <w:szCs w:val="21"/>
                      <w:highlight w:val="none"/>
                      <w:lang w:val="en-US" w:eastAsia="zh-CN" w:bidi="ar-SA"/>
                    </w:rPr>
                  </w:pPr>
                  <w:r>
                    <w:rPr>
                      <w:rFonts w:hint="eastAsia" w:ascii="Times New Roman" w:hAnsi="Times New Roman" w:cs="宋体"/>
                      <w:color w:val="auto"/>
                      <w:kern w:val="0"/>
                      <w:szCs w:val="21"/>
                      <w:highlight w:val="none"/>
                    </w:rPr>
                    <w:t>区域</w:t>
                  </w:r>
                </w:p>
              </w:tc>
              <w:tc>
                <w:tcPr>
                  <w:tcW w:w="473" w:type="dxa"/>
                  <w:vMerge w:val="restart"/>
                  <w:tcBorders>
                    <w:tl2br w:val="nil"/>
                    <w:tr2bl w:val="nil"/>
                  </w:tcBorders>
                  <w:shd w:val="clear" w:color="auto" w:fill="auto"/>
                  <w:vAlign w:val="center"/>
                </w:tcPr>
                <w:p w14:paraId="5439FD12">
                  <w:pPr>
                    <w:widowControl/>
                    <w:jc w:val="center"/>
                    <w:textAlignment w:val="center"/>
                    <w:rPr>
                      <w:rFonts w:ascii="Times New Roman" w:hAnsi="Times New Roman" w:cs="宋体"/>
                      <w:color w:val="auto"/>
                      <w:szCs w:val="21"/>
                      <w:highlight w:val="none"/>
                    </w:rPr>
                  </w:pPr>
                  <w:r>
                    <w:rPr>
                      <w:rFonts w:hint="eastAsia" w:ascii="Times New Roman" w:hAnsi="Times New Roman" w:cs="宋体"/>
                      <w:color w:val="auto"/>
                      <w:kern w:val="0"/>
                      <w:szCs w:val="21"/>
                      <w:highlight w:val="none"/>
                    </w:rPr>
                    <w:t>名称</w:t>
                  </w:r>
                </w:p>
              </w:tc>
              <w:tc>
                <w:tcPr>
                  <w:tcW w:w="1477" w:type="dxa"/>
                  <w:gridSpan w:val="3"/>
                  <w:tcBorders>
                    <w:tl2br w:val="nil"/>
                    <w:tr2bl w:val="nil"/>
                  </w:tcBorders>
                  <w:shd w:val="clear" w:color="auto" w:fill="auto"/>
                  <w:vAlign w:val="center"/>
                </w:tcPr>
                <w:p w14:paraId="4151F6B0">
                  <w:pPr>
                    <w:widowControl/>
                    <w:jc w:val="center"/>
                    <w:textAlignment w:val="center"/>
                    <w:rPr>
                      <w:rFonts w:hint="eastAsia" w:ascii="Times New Roman" w:hAnsi="Times New Roman" w:cs="宋体"/>
                      <w:color w:val="auto"/>
                      <w:kern w:val="0"/>
                      <w:szCs w:val="21"/>
                      <w:highlight w:val="none"/>
                    </w:rPr>
                  </w:pPr>
                  <w:r>
                    <w:rPr>
                      <w:rFonts w:hint="eastAsia" w:ascii="Times New Roman" w:hAnsi="Times New Roman"/>
                      <w:color w:val="auto"/>
                      <w:szCs w:val="21"/>
                      <w:highlight w:val="none"/>
                      <w:lang w:val="en-US" w:eastAsia="zh-CN"/>
                    </w:rPr>
                    <w:t>空间相对位置</w:t>
                  </w:r>
                </w:p>
              </w:tc>
              <w:tc>
                <w:tcPr>
                  <w:tcW w:w="661" w:type="dxa"/>
                  <w:vMerge w:val="restart"/>
                  <w:tcBorders>
                    <w:tl2br w:val="nil"/>
                    <w:tr2bl w:val="nil"/>
                  </w:tcBorders>
                  <w:shd w:val="clear" w:color="auto" w:fill="auto"/>
                  <w:vAlign w:val="center"/>
                </w:tcPr>
                <w:p w14:paraId="4F2FA07C">
                  <w:pPr>
                    <w:widowControl/>
                    <w:jc w:val="center"/>
                    <w:textAlignment w:val="center"/>
                    <w:rPr>
                      <w:rFonts w:hint="default" w:ascii="Times New Roman" w:hAnsi="Times New Roman" w:eastAsia="宋体" w:cs="宋体"/>
                      <w:color w:val="auto"/>
                      <w:szCs w:val="21"/>
                      <w:highlight w:val="none"/>
                      <w:lang w:val="en-US" w:eastAsia="zh-CN"/>
                    </w:rPr>
                  </w:pPr>
                  <w:r>
                    <w:rPr>
                      <w:rFonts w:hint="eastAsia" w:ascii="Times New Roman" w:hAnsi="Times New Roman" w:cs="宋体"/>
                      <w:color w:val="auto"/>
                      <w:szCs w:val="21"/>
                      <w:highlight w:val="none"/>
                      <w:lang w:val="en-US" w:eastAsia="zh-CN"/>
                    </w:rPr>
                    <w:t>距厂界最近距离</w:t>
                  </w:r>
                </w:p>
              </w:tc>
              <w:tc>
                <w:tcPr>
                  <w:tcW w:w="730" w:type="dxa"/>
                  <w:vMerge w:val="restart"/>
                  <w:tcBorders>
                    <w:tl2br w:val="nil"/>
                    <w:tr2bl w:val="nil"/>
                  </w:tcBorders>
                  <w:shd w:val="clear" w:color="auto" w:fill="auto"/>
                  <w:vAlign w:val="center"/>
                </w:tcPr>
                <w:p w14:paraId="087E1D3E">
                  <w:pPr>
                    <w:widowControl/>
                    <w:jc w:val="center"/>
                    <w:textAlignment w:val="center"/>
                    <w:rPr>
                      <w:rFonts w:hint="eastAsia" w:ascii="Times New Roman" w:hAnsi="Times New Roman" w:eastAsia="宋体" w:cs="宋体"/>
                      <w:color w:val="auto"/>
                      <w:szCs w:val="21"/>
                      <w:highlight w:val="none"/>
                      <w:lang w:val="en-US" w:eastAsia="zh-CN"/>
                    </w:rPr>
                  </w:pPr>
                  <w:r>
                    <w:rPr>
                      <w:rFonts w:hint="eastAsia" w:ascii="Times New Roman" w:hAnsi="Times New Roman" w:cs="宋体"/>
                      <w:color w:val="auto"/>
                      <w:szCs w:val="21"/>
                      <w:highlight w:val="none"/>
                      <w:lang w:val="en-US" w:eastAsia="zh-CN"/>
                    </w:rPr>
                    <w:t>方位</w:t>
                  </w:r>
                </w:p>
              </w:tc>
              <w:tc>
                <w:tcPr>
                  <w:tcW w:w="1531" w:type="dxa"/>
                  <w:vMerge w:val="restart"/>
                  <w:tcBorders>
                    <w:tl2br w:val="nil"/>
                    <w:tr2bl w:val="nil"/>
                  </w:tcBorders>
                  <w:shd w:val="clear" w:color="auto" w:fill="auto"/>
                  <w:vAlign w:val="center"/>
                </w:tcPr>
                <w:p w14:paraId="52D06497">
                  <w:pPr>
                    <w:widowControl/>
                    <w:jc w:val="center"/>
                    <w:textAlignment w:val="center"/>
                    <w:rPr>
                      <w:rFonts w:hint="default" w:ascii="Times New Roman" w:hAnsi="Times New Roman" w:eastAsia="宋体" w:cs="宋体"/>
                      <w:color w:val="auto"/>
                      <w:szCs w:val="21"/>
                      <w:highlight w:val="none"/>
                      <w:lang w:val="en-US" w:eastAsia="zh-CN"/>
                    </w:rPr>
                  </w:pPr>
                  <w:r>
                    <w:rPr>
                      <w:rFonts w:hint="eastAsia" w:ascii="Times New Roman" w:hAnsi="Times New Roman" w:cs="宋体"/>
                      <w:color w:val="auto"/>
                      <w:szCs w:val="21"/>
                      <w:highlight w:val="none"/>
                      <w:lang w:val="en-US" w:eastAsia="zh-CN"/>
                    </w:rPr>
                    <w:t>功能区类别</w:t>
                  </w:r>
                </w:p>
              </w:tc>
              <w:tc>
                <w:tcPr>
                  <w:tcW w:w="1566" w:type="dxa"/>
                  <w:vMerge w:val="restart"/>
                  <w:tcBorders>
                    <w:tl2br w:val="nil"/>
                    <w:tr2bl w:val="nil"/>
                  </w:tcBorders>
                  <w:shd w:val="clear" w:color="auto" w:fill="auto"/>
                  <w:vAlign w:val="center"/>
                </w:tcPr>
                <w:p w14:paraId="413B3E66">
                  <w:pPr>
                    <w:widowControl/>
                    <w:jc w:val="center"/>
                    <w:textAlignment w:val="center"/>
                    <w:rPr>
                      <w:rFonts w:hint="default" w:ascii="Times New Roman" w:hAnsi="Times New Roman" w:eastAsia="宋体" w:cs="宋体"/>
                      <w:color w:val="auto"/>
                      <w:szCs w:val="21"/>
                      <w:highlight w:val="none"/>
                      <w:lang w:val="en-US" w:eastAsia="zh-CN"/>
                    </w:rPr>
                  </w:pPr>
                  <w:r>
                    <w:rPr>
                      <w:rFonts w:hint="eastAsia" w:ascii="Times New Roman" w:hAnsi="Times New Roman" w:cs="宋体"/>
                      <w:color w:val="auto"/>
                      <w:kern w:val="0"/>
                      <w:szCs w:val="21"/>
                      <w:highlight w:val="none"/>
                      <w:lang w:val="en-US" w:eastAsia="zh-CN"/>
                    </w:rPr>
                    <w:t>情况说明</w:t>
                  </w:r>
                </w:p>
              </w:tc>
            </w:tr>
            <w:tr w14:paraId="31DC5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450" w:type="dxa"/>
                  <w:vMerge w:val="continue"/>
                  <w:tcBorders>
                    <w:tl2br w:val="nil"/>
                    <w:tr2bl w:val="nil"/>
                  </w:tcBorders>
                  <w:shd w:val="clear" w:color="auto" w:fill="auto"/>
                  <w:vAlign w:val="center"/>
                </w:tcPr>
                <w:p w14:paraId="1B1B2958">
                  <w:pPr>
                    <w:widowControl/>
                    <w:jc w:val="center"/>
                    <w:textAlignment w:val="center"/>
                    <w:rPr>
                      <w:rFonts w:hint="eastAsia" w:ascii="Times New Roman" w:hAnsi="Times New Roman" w:cs="宋体"/>
                      <w:color w:val="auto"/>
                      <w:kern w:val="0"/>
                      <w:szCs w:val="21"/>
                      <w:highlight w:val="none"/>
                      <w:lang w:val="en-US" w:eastAsia="zh-CN"/>
                    </w:rPr>
                  </w:pPr>
                </w:p>
              </w:tc>
              <w:tc>
                <w:tcPr>
                  <w:tcW w:w="945" w:type="dxa"/>
                  <w:vMerge w:val="continue"/>
                  <w:tcBorders>
                    <w:tl2br w:val="nil"/>
                    <w:tr2bl w:val="nil"/>
                  </w:tcBorders>
                  <w:shd w:val="clear" w:color="auto" w:fill="auto"/>
                  <w:vAlign w:val="center"/>
                </w:tcPr>
                <w:p w14:paraId="7E1CCAA2">
                  <w:pPr>
                    <w:widowControl/>
                    <w:jc w:val="center"/>
                    <w:textAlignment w:val="center"/>
                    <w:rPr>
                      <w:rFonts w:hint="eastAsia" w:ascii="Times New Roman" w:hAnsi="Times New Roman" w:cs="宋体"/>
                      <w:color w:val="auto"/>
                      <w:kern w:val="0"/>
                      <w:szCs w:val="21"/>
                      <w:highlight w:val="none"/>
                    </w:rPr>
                  </w:pPr>
                </w:p>
              </w:tc>
              <w:tc>
                <w:tcPr>
                  <w:tcW w:w="473" w:type="dxa"/>
                  <w:vMerge w:val="continue"/>
                  <w:tcBorders>
                    <w:tl2br w:val="nil"/>
                    <w:tr2bl w:val="nil"/>
                  </w:tcBorders>
                  <w:shd w:val="clear" w:color="auto" w:fill="auto"/>
                  <w:vAlign w:val="center"/>
                </w:tcPr>
                <w:p w14:paraId="09224CB3">
                  <w:pPr>
                    <w:widowControl/>
                    <w:jc w:val="center"/>
                    <w:textAlignment w:val="center"/>
                    <w:rPr>
                      <w:rFonts w:hint="eastAsia" w:ascii="Times New Roman" w:hAnsi="Times New Roman" w:cs="宋体"/>
                      <w:color w:val="auto"/>
                      <w:kern w:val="0"/>
                      <w:szCs w:val="21"/>
                      <w:highlight w:val="none"/>
                    </w:rPr>
                  </w:pPr>
                </w:p>
              </w:tc>
              <w:tc>
                <w:tcPr>
                  <w:tcW w:w="601" w:type="dxa"/>
                  <w:tcBorders>
                    <w:tl2br w:val="nil"/>
                    <w:tr2bl w:val="nil"/>
                  </w:tcBorders>
                  <w:shd w:val="clear" w:color="auto" w:fill="auto"/>
                  <w:vAlign w:val="center"/>
                </w:tcPr>
                <w:p w14:paraId="60FBC344">
                  <w:pPr>
                    <w:widowControl/>
                    <w:jc w:val="center"/>
                    <w:textAlignment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kern w:val="0"/>
                      <w:szCs w:val="21"/>
                      <w:highlight w:val="none"/>
                    </w:rPr>
                    <w:t>X</w:t>
                  </w:r>
                </w:p>
              </w:tc>
              <w:tc>
                <w:tcPr>
                  <w:tcW w:w="531" w:type="dxa"/>
                  <w:tcBorders>
                    <w:tl2br w:val="nil"/>
                    <w:tr2bl w:val="nil"/>
                  </w:tcBorders>
                  <w:shd w:val="clear" w:color="auto" w:fill="auto"/>
                  <w:vAlign w:val="center"/>
                </w:tcPr>
                <w:p w14:paraId="2CAC85F0">
                  <w:pPr>
                    <w:widowControl/>
                    <w:jc w:val="center"/>
                    <w:textAlignment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kern w:val="0"/>
                      <w:szCs w:val="21"/>
                      <w:highlight w:val="none"/>
                    </w:rPr>
                    <w:t>Y</w:t>
                  </w:r>
                </w:p>
              </w:tc>
              <w:tc>
                <w:tcPr>
                  <w:tcW w:w="345" w:type="dxa"/>
                  <w:tcBorders>
                    <w:tl2br w:val="nil"/>
                    <w:tr2bl w:val="nil"/>
                  </w:tcBorders>
                  <w:shd w:val="clear" w:color="auto" w:fill="auto"/>
                  <w:vAlign w:val="center"/>
                </w:tcPr>
                <w:p w14:paraId="2C73450C">
                  <w:pPr>
                    <w:widowControl/>
                    <w:jc w:val="center"/>
                    <w:textAlignment w:val="center"/>
                    <w:rPr>
                      <w:rFonts w:hint="default" w:ascii="Times New Roman" w:hAnsi="Times New Roman" w:eastAsia="宋体" w:cs="宋体"/>
                      <w:color w:val="auto"/>
                      <w:kern w:val="0"/>
                      <w:sz w:val="21"/>
                      <w:szCs w:val="21"/>
                      <w:highlight w:val="none"/>
                      <w:lang w:val="en-US" w:eastAsia="zh-CN" w:bidi="ar-SA"/>
                    </w:rPr>
                  </w:pPr>
                  <w:r>
                    <w:rPr>
                      <w:rFonts w:hint="eastAsia" w:ascii="Times New Roman" w:hAnsi="Times New Roman" w:cs="宋体"/>
                      <w:color w:val="auto"/>
                      <w:kern w:val="0"/>
                      <w:sz w:val="21"/>
                      <w:szCs w:val="21"/>
                      <w:highlight w:val="none"/>
                      <w:lang w:val="en-US" w:eastAsia="zh-CN" w:bidi="ar-SA"/>
                    </w:rPr>
                    <w:t>Z</w:t>
                  </w:r>
                </w:p>
              </w:tc>
              <w:tc>
                <w:tcPr>
                  <w:tcW w:w="661" w:type="dxa"/>
                  <w:vMerge w:val="continue"/>
                  <w:tcBorders>
                    <w:tl2br w:val="nil"/>
                    <w:tr2bl w:val="nil"/>
                  </w:tcBorders>
                  <w:shd w:val="clear" w:color="auto" w:fill="auto"/>
                  <w:vAlign w:val="center"/>
                </w:tcPr>
                <w:p w14:paraId="1B0A09A1">
                  <w:pPr>
                    <w:widowControl/>
                    <w:jc w:val="center"/>
                    <w:textAlignment w:val="center"/>
                    <w:rPr>
                      <w:rFonts w:hint="eastAsia" w:ascii="Times New Roman" w:hAnsi="Times New Roman" w:cs="宋体"/>
                      <w:color w:val="auto"/>
                      <w:kern w:val="0"/>
                      <w:szCs w:val="21"/>
                      <w:highlight w:val="none"/>
                    </w:rPr>
                  </w:pPr>
                </w:p>
              </w:tc>
              <w:tc>
                <w:tcPr>
                  <w:tcW w:w="730" w:type="dxa"/>
                  <w:vMerge w:val="continue"/>
                  <w:tcBorders>
                    <w:tl2br w:val="nil"/>
                    <w:tr2bl w:val="nil"/>
                  </w:tcBorders>
                  <w:shd w:val="clear" w:color="auto" w:fill="auto"/>
                  <w:vAlign w:val="center"/>
                </w:tcPr>
                <w:p w14:paraId="563A2D8B">
                  <w:pPr>
                    <w:widowControl/>
                    <w:jc w:val="center"/>
                    <w:textAlignment w:val="center"/>
                    <w:rPr>
                      <w:rFonts w:hint="eastAsia" w:ascii="Times New Roman" w:hAnsi="Times New Roman" w:cs="宋体"/>
                      <w:color w:val="auto"/>
                      <w:kern w:val="0"/>
                      <w:szCs w:val="21"/>
                      <w:highlight w:val="none"/>
                    </w:rPr>
                  </w:pPr>
                </w:p>
              </w:tc>
              <w:tc>
                <w:tcPr>
                  <w:tcW w:w="1531" w:type="dxa"/>
                  <w:vMerge w:val="continue"/>
                  <w:tcBorders>
                    <w:tl2br w:val="nil"/>
                    <w:tr2bl w:val="nil"/>
                  </w:tcBorders>
                  <w:shd w:val="clear" w:color="auto" w:fill="auto"/>
                  <w:vAlign w:val="center"/>
                </w:tcPr>
                <w:p w14:paraId="140E635B">
                  <w:pPr>
                    <w:widowControl/>
                    <w:jc w:val="center"/>
                    <w:textAlignment w:val="center"/>
                    <w:rPr>
                      <w:rFonts w:hint="eastAsia" w:ascii="Times New Roman" w:hAnsi="Times New Roman" w:cs="宋体"/>
                      <w:color w:val="auto"/>
                      <w:kern w:val="0"/>
                      <w:szCs w:val="21"/>
                      <w:highlight w:val="none"/>
                    </w:rPr>
                  </w:pPr>
                </w:p>
              </w:tc>
              <w:tc>
                <w:tcPr>
                  <w:tcW w:w="1566" w:type="dxa"/>
                  <w:vMerge w:val="continue"/>
                  <w:tcBorders>
                    <w:tl2br w:val="nil"/>
                    <w:tr2bl w:val="nil"/>
                  </w:tcBorders>
                  <w:shd w:val="clear" w:color="auto" w:fill="auto"/>
                  <w:vAlign w:val="center"/>
                </w:tcPr>
                <w:p w14:paraId="0154E96D">
                  <w:pPr>
                    <w:widowControl/>
                    <w:jc w:val="center"/>
                    <w:textAlignment w:val="center"/>
                    <w:rPr>
                      <w:rFonts w:hint="eastAsia" w:ascii="Times New Roman" w:hAnsi="Times New Roman" w:cs="宋体"/>
                      <w:color w:val="auto"/>
                      <w:kern w:val="0"/>
                      <w:szCs w:val="21"/>
                      <w:highlight w:val="none"/>
                    </w:rPr>
                  </w:pPr>
                </w:p>
              </w:tc>
            </w:tr>
            <w:tr w14:paraId="3A131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2" w:hRule="atLeast"/>
                <w:jc w:val="center"/>
              </w:trPr>
              <w:tc>
                <w:tcPr>
                  <w:tcW w:w="450" w:type="dxa"/>
                  <w:tcBorders>
                    <w:tl2br w:val="nil"/>
                    <w:tr2bl w:val="nil"/>
                  </w:tcBorders>
                  <w:shd w:val="clear" w:color="auto" w:fill="auto"/>
                  <w:vAlign w:val="center"/>
                </w:tcPr>
                <w:p w14:paraId="47F1AA70">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w:t>
                  </w:r>
                </w:p>
              </w:tc>
              <w:tc>
                <w:tcPr>
                  <w:tcW w:w="945" w:type="dxa"/>
                  <w:tcBorders>
                    <w:tl2br w:val="nil"/>
                    <w:tr2bl w:val="nil"/>
                  </w:tcBorders>
                  <w:shd w:val="clear" w:color="auto" w:fill="auto"/>
                  <w:vAlign w:val="center"/>
                </w:tcPr>
                <w:p w14:paraId="1B2DCC66">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46"/>
                      <w:rFonts w:hint="eastAsia" w:ascii="Times New Roman" w:hAnsi="Times New Roman"/>
                      <w:color w:val="auto"/>
                      <w:lang w:val="en-US" w:eastAsia="zh-CN" w:bidi="ar"/>
                    </w:rPr>
                    <w:t>DG-1</w:t>
                  </w:r>
                  <w:r>
                    <w:rPr>
                      <w:rStyle w:val="45"/>
                      <w:rFonts w:ascii="Times New Roman" w:hAnsi="Times New Roman" w:eastAsia="宋体"/>
                      <w:color w:val="auto"/>
                      <w:lang w:val="en-US" w:eastAsia="zh-CN" w:bidi="ar"/>
                    </w:rPr>
                    <w:t>井场</w:t>
                  </w:r>
                </w:p>
              </w:tc>
              <w:tc>
                <w:tcPr>
                  <w:tcW w:w="473" w:type="dxa"/>
                  <w:tcBorders>
                    <w:tl2br w:val="nil"/>
                    <w:tr2bl w:val="nil"/>
                  </w:tcBorders>
                  <w:shd w:val="clear" w:color="auto" w:fill="auto"/>
                  <w:vAlign w:val="center"/>
                </w:tcPr>
                <w:p w14:paraId="59270C96">
                  <w:pPr>
                    <w:widowControl/>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rPr>
                    <w:t>史圩孜</w:t>
                  </w:r>
                </w:p>
              </w:tc>
              <w:tc>
                <w:tcPr>
                  <w:tcW w:w="601" w:type="dxa"/>
                  <w:tcBorders>
                    <w:tl2br w:val="nil"/>
                    <w:tr2bl w:val="nil"/>
                  </w:tcBorders>
                  <w:shd w:val="clear" w:color="auto" w:fill="auto"/>
                  <w:vAlign w:val="center"/>
                </w:tcPr>
                <w:p w14:paraId="76A53189">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val="0"/>
                      <w:i w:val="0"/>
                      <w:iCs w:val="0"/>
                      <w:color w:val="auto"/>
                      <w:kern w:val="0"/>
                      <w:sz w:val="21"/>
                      <w:szCs w:val="21"/>
                      <w:u w:val="none"/>
                      <w:lang w:val="en-US" w:eastAsia="zh-CN" w:bidi="ar"/>
                    </w:rPr>
                    <w:t>-30</w:t>
                  </w:r>
                </w:p>
              </w:tc>
              <w:tc>
                <w:tcPr>
                  <w:tcW w:w="531" w:type="dxa"/>
                  <w:tcBorders>
                    <w:tl2br w:val="nil"/>
                    <w:tr2bl w:val="nil"/>
                  </w:tcBorders>
                  <w:shd w:val="clear" w:color="auto" w:fill="auto"/>
                  <w:vAlign w:val="center"/>
                </w:tcPr>
                <w:p w14:paraId="64A58945">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val="0"/>
                      <w:i w:val="0"/>
                      <w:iCs w:val="0"/>
                      <w:color w:val="auto"/>
                      <w:kern w:val="0"/>
                      <w:sz w:val="21"/>
                      <w:szCs w:val="21"/>
                      <w:u w:val="none"/>
                      <w:lang w:val="en-US" w:eastAsia="zh-CN" w:bidi="ar"/>
                    </w:rPr>
                    <w:t>0</w:t>
                  </w:r>
                </w:p>
              </w:tc>
              <w:tc>
                <w:tcPr>
                  <w:tcW w:w="345" w:type="dxa"/>
                  <w:tcBorders>
                    <w:tl2br w:val="nil"/>
                    <w:tr2bl w:val="nil"/>
                  </w:tcBorders>
                  <w:shd w:val="clear" w:color="auto" w:fill="auto"/>
                  <w:vAlign w:val="center"/>
                </w:tcPr>
                <w:p w14:paraId="1EA08AB6">
                  <w:pPr>
                    <w:keepNext w:val="0"/>
                    <w:keepLines w:val="0"/>
                    <w:pageBreakBefore w:val="0"/>
                    <w:kinsoku/>
                    <w:wordWrap/>
                    <w:overflowPunct/>
                    <w:topLinePunct w:val="0"/>
                    <w:autoSpaceDE/>
                    <w:autoSpaceDN/>
                    <w:bidi w:val="0"/>
                    <w:adjustRightInd/>
                    <w:spacing w:line="240" w:lineRule="auto"/>
                    <w:ind w:right="0" w:rightChars="0"/>
                    <w:jc w:val="center"/>
                    <w:rPr>
                      <w:rFonts w:hint="default" w:ascii="Times New Roman" w:hAnsi="Times New Roman" w:eastAsia="宋体" w:cs="宋体"/>
                      <w:color w:val="auto"/>
                      <w:kern w:val="0"/>
                      <w:sz w:val="21"/>
                      <w:szCs w:val="21"/>
                      <w:highlight w:val="none"/>
                      <w:lang w:val="en-US" w:eastAsia="zh-CN" w:bidi="ar-SA"/>
                    </w:rPr>
                  </w:pPr>
                  <w:r>
                    <w:rPr>
                      <w:rFonts w:hint="eastAsia" w:ascii="Times New Roman" w:hAnsi="Times New Roman" w:cs="Times New Roman"/>
                      <w:b w:val="0"/>
                      <w:bCs w:val="0"/>
                      <w:color w:val="auto"/>
                      <w:sz w:val="21"/>
                      <w:szCs w:val="21"/>
                      <w:lang w:val="en-US" w:eastAsia="zh-CN"/>
                    </w:rPr>
                    <w:t>1</w:t>
                  </w:r>
                </w:p>
              </w:tc>
              <w:tc>
                <w:tcPr>
                  <w:tcW w:w="661" w:type="dxa"/>
                  <w:tcBorders>
                    <w:tl2br w:val="nil"/>
                    <w:tr2bl w:val="nil"/>
                  </w:tcBorders>
                  <w:shd w:val="clear" w:color="auto" w:fill="auto"/>
                  <w:vAlign w:val="center"/>
                </w:tcPr>
                <w:p w14:paraId="586BB6A7">
                  <w:pPr>
                    <w:keepNext w:val="0"/>
                    <w:keepLines w:val="0"/>
                    <w:pageBreakBefore w:val="0"/>
                    <w:kinsoku/>
                    <w:wordWrap/>
                    <w:overflowPunct/>
                    <w:topLinePunct w:val="0"/>
                    <w:autoSpaceDE/>
                    <w:autoSpaceDN/>
                    <w:bidi w:val="0"/>
                    <w:adjustRightInd/>
                    <w:spacing w:line="240" w:lineRule="auto"/>
                    <w:ind w:right="0" w:rightChars="0"/>
                    <w:jc w:val="center"/>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cs="Times New Roman"/>
                      <w:b w:val="0"/>
                      <w:bCs w:val="0"/>
                      <w:color w:val="auto"/>
                      <w:sz w:val="21"/>
                      <w:szCs w:val="21"/>
                      <w:lang w:val="en-US" w:eastAsia="zh-CN"/>
                    </w:rPr>
                    <w:t>30</w:t>
                  </w:r>
                </w:p>
              </w:tc>
              <w:tc>
                <w:tcPr>
                  <w:tcW w:w="730" w:type="dxa"/>
                  <w:tcBorders>
                    <w:tl2br w:val="nil"/>
                    <w:tr2bl w:val="nil"/>
                  </w:tcBorders>
                  <w:shd w:val="clear" w:color="auto" w:fill="auto"/>
                  <w:vAlign w:val="center"/>
                </w:tcPr>
                <w:p w14:paraId="1951FF2D">
                  <w:pPr>
                    <w:pStyle w:val="9"/>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color w:val="auto"/>
                      <w:lang w:val="en-US" w:eastAsia="zh-CN"/>
                    </w:rPr>
                  </w:pPr>
                  <w:r>
                    <w:rPr>
                      <w:rFonts w:hint="eastAsia" w:ascii="Times New Roman" w:hAnsi="Times New Roman" w:cs="Times New Roman"/>
                      <w:color w:val="auto"/>
                      <w:kern w:val="2"/>
                      <w:sz w:val="21"/>
                      <w:szCs w:val="21"/>
                      <w:highlight w:val="none"/>
                      <w:lang w:val="en-US" w:eastAsia="zh-CN" w:bidi="ar-SA"/>
                    </w:rPr>
                    <w:t>W</w:t>
                  </w:r>
                </w:p>
              </w:tc>
              <w:tc>
                <w:tcPr>
                  <w:tcW w:w="1531" w:type="dxa"/>
                  <w:vMerge w:val="restart"/>
                  <w:tcBorders>
                    <w:tl2br w:val="nil"/>
                    <w:tr2bl w:val="nil"/>
                  </w:tcBorders>
                  <w:shd w:val="clear" w:color="auto" w:fill="auto"/>
                  <w:vAlign w:val="center"/>
                </w:tcPr>
                <w:p w14:paraId="1CD4078B">
                  <w:pPr>
                    <w:jc w:val="center"/>
                    <w:rPr>
                      <w:rFonts w:ascii="Times New Roman" w:hAnsi="Times New Roman" w:cs="宋体"/>
                      <w:color w:val="auto"/>
                      <w:szCs w:val="21"/>
                      <w:highlight w:val="none"/>
                    </w:rPr>
                  </w:pPr>
                  <w:r>
                    <w:rPr>
                      <w:rFonts w:hint="eastAsia" w:ascii="Times New Roman" w:hAnsi="Times New Roman" w:eastAsia="宋体" w:cs="宋体"/>
                      <w:color w:val="auto"/>
                      <w:szCs w:val="21"/>
                      <w:highlight w:val="none"/>
                      <w:lang w:eastAsia="zh-CN"/>
                    </w:rPr>
                    <w:t>《声环境质量标准》（GB3096-2008）1类标准</w:t>
                  </w:r>
                </w:p>
              </w:tc>
              <w:tc>
                <w:tcPr>
                  <w:tcW w:w="1566" w:type="dxa"/>
                  <w:tcBorders>
                    <w:tl2br w:val="nil"/>
                    <w:tr2bl w:val="nil"/>
                  </w:tcBorders>
                  <w:shd w:val="clear" w:color="auto" w:fill="auto"/>
                  <w:vAlign w:val="center"/>
                </w:tcPr>
                <w:p w14:paraId="2F284C82">
                  <w:pPr>
                    <w:pStyle w:val="9"/>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Cs w:val="21"/>
                      <w:highlight w:val="none"/>
                      <w:lang w:val="en-US" w:eastAsia="zh-CN"/>
                    </w:rPr>
                    <w:t>1-2层砖瓦结构，临近井场建筑物面朝</w:t>
                  </w:r>
                  <w:r>
                    <w:rPr>
                      <w:rFonts w:hint="eastAsia" w:ascii="Times New Roman" w:hAnsi="Times New Roman"/>
                      <w:color w:val="auto"/>
                      <w:szCs w:val="21"/>
                      <w:highlight w:val="none"/>
                      <w:lang w:val="en-US" w:eastAsia="zh-CN"/>
                    </w:rPr>
                    <w:t>南</w:t>
                  </w:r>
                </w:p>
              </w:tc>
            </w:tr>
            <w:tr w14:paraId="153A1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50" w:type="dxa"/>
                  <w:tcBorders>
                    <w:tl2br w:val="nil"/>
                    <w:tr2bl w:val="nil"/>
                  </w:tcBorders>
                  <w:shd w:val="clear" w:color="auto" w:fill="auto"/>
                  <w:vAlign w:val="center"/>
                </w:tcPr>
                <w:p w14:paraId="425A6E7F">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w:t>
                  </w:r>
                </w:p>
              </w:tc>
              <w:tc>
                <w:tcPr>
                  <w:tcW w:w="945" w:type="dxa"/>
                  <w:tcBorders>
                    <w:tl2br w:val="nil"/>
                    <w:tr2bl w:val="nil"/>
                  </w:tcBorders>
                  <w:shd w:val="clear" w:color="auto" w:fill="auto"/>
                  <w:vAlign w:val="center"/>
                </w:tcPr>
                <w:p w14:paraId="63174588">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46"/>
                      <w:rFonts w:hint="eastAsia" w:ascii="Times New Roman" w:hAnsi="Times New Roman"/>
                      <w:color w:val="auto"/>
                      <w:lang w:val="en-US" w:eastAsia="zh-CN" w:bidi="ar"/>
                    </w:rPr>
                    <w:t>DG-2</w:t>
                  </w:r>
                  <w:r>
                    <w:rPr>
                      <w:rStyle w:val="45"/>
                      <w:rFonts w:ascii="Times New Roman" w:hAnsi="Times New Roman" w:eastAsia="宋体"/>
                      <w:color w:val="auto"/>
                      <w:lang w:val="en-US" w:eastAsia="zh-CN" w:bidi="ar"/>
                    </w:rPr>
                    <w:t>井场</w:t>
                  </w:r>
                </w:p>
              </w:tc>
              <w:tc>
                <w:tcPr>
                  <w:tcW w:w="473" w:type="dxa"/>
                  <w:tcBorders>
                    <w:tl2br w:val="nil"/>
                    <w:tr2bl w:val="nil"/>
                  </w:tcBorders>
                  <w:shd w:val="clear" w:color="auto" w:fill="auto"/>
                  <w:vAlign w:val="center"/>
                </w:tcPr>
                <w:p w14:paraId="4D5620CB">
                  <w:pPr>
                    <w:widowControl/>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rPr>
                    <w:t>史圩孜</w:t>
                  </w:r>
                </w:p>
              </w:tc>
              <w:tc>
                <w:tcPr>
                  <w:tcW w:w="601" w:type="dxa"/>
                  <w:tcBorders>
                    <w:tl2br w:val="nil"/>
                    <w:tr2bl w:val="nil"/>
                  </w:tcBorders>
                  <w:shd w:val="clear" w:color="auto" w:fill="auto"/>
                  <w:vAlign w:val="center"/>
                </w:tcPr>
                <w:p w14:paraId="68768B08">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val="0"/>
                      <w:i w:val="0"/>
                      <w:iCs w:val="0"/>
                      <w:color w:val="auto"/>
                      <w:kern w:val="0"/>
                      <w:sz w:val="21"/>
                      <w:szCs w:val="21"/>
                      <w:u w:val="none"/>
                      <w:lang w:val="en-US" w:eastAsia="zh-CN" w:bidi="ar"/>
                    </w:rPr>
                    <w:t>-42</w:t>
                  </w:r>
                </w:p>
              </w:tc>
              <w:tc>
                <w:tcPr>
                  <w:tcW w:w="531" w:type="dxa"/>
                  <w:tcBorders>
                    <w:tl2br w:val="nil"/>
                    <w:tr2bl w:val="nil"/>
                  </w:tcBorders>
                  <w:shd w:val="clear" w:color="auto" w:fill="auto"/>
                  <w:vAlign w:val="center"/>
                </w:tcPr>
                <w:p w14:paraId="12674503">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val="0"/>
                      <w:color w:val="auto"/>
                      <w:sz w:val="21"/>
                      <w:szCs w:val="21"/>
                      <w:vertAlign w:val="baseline"/>
                      <w:lang w:val="en-US" w:eastAsia="zh-CN"/>
                    </w:rPr>
                    <w:t>20</w:t>
                  </w:r>
                </w:p>
              </w:tc>
              <w:tc>
                <w:tcPr>
                  <w:tcW w:w="345" w:type="dxa"/>
                  <w:tcBorders>
                    <w:tl2br w:val="nil"/>
                    <w:tr2bl w:val="nil"/>
                  </w:tcBorders>
                  <w:shd w:val="clear" w:color="auto" w:fill="auto"/>
                  <w:vAlign w:val="center"/>
                </w:tcPr>
                <w:p w14:paraId="7DEAF2F8">
                  <w:pPr>
                    <w:keepNext w:val="0"/>
                    <w:keepLines w:val="0"/>
                    <w:pageBreakBefore w:val="0"/>
                    <w:kinsoku/>
                    <w:wordWrap/>
                    <w:overflowPunct/>
                    <w:topLinePunct w:val="0"/>
                    <w:autoSpaceDE/>
                    <w:autoSpaceDN/>
                    <w:bidi w:val="0"/>
                    <w:adjustRightInd/>
                    <w:spacing w:line="240" w:lineRule="auto"/>
                    <w:ind w:right="0" w:rightChars="0"/>
                    <w:jc w:val="center"/>
                    <w:rPr>
                      <w:rFonts w:hint="default" w:ascii="Times New Roman" w:hAnsi="Times New Roman" w:eastAsia="宋体" w:cs="宋体"/>
                      <w:color w:val="auto"/>
                      <w:kern w:val="0"/>
                      <w:sz w:val="21"/>
                      <w:szCs w:val="21"/>
                      <w:highlight w:val="none"/>
                      <w:lang w:val="en-US" w:eastAsia="zh-CN" w:bidi="ar-SA"/>
                    </w:rPr>
                  </w:pPr>
                  <w:r>
                    <w:rPr>
                      <w:rFonts w:hint="eastAsia" w:ascii="Times New Roman" w:hAnsi="Times New Roman" w:cs="Times New Roman"/>
                      <w:b w:val="0"/>
                      <w:bCs w:val="0"/>
                      <w:color w:val="auto"/>
                      <w:sz w:val="21"/>
                      <w:szCs w:val="21"/>
                      <w:lang w:val="en-US" w:eastAsia="zh-CN"/>
                    </w:rPr>
                    <w:t>1</w:t>
                  </w:r>
                </w:p>
              </w:tc>
              <w:tc>
                <w:tcPr>
                  <w:tcW w:w="661" w:type="dxa"/>
                  <w:tcBorders>
                    <w:tl2br w:val="nil"/>
                    <w:tr2bl w:val="nil"/>
                  </w:tcBorders>
                  <w:shd w:val="clear" w:color="auto" w:fill="auto"/>
                  <w:vAlign w:val="center"/>
                </w:tcPr>
                <w:p w14:paraId="76309F43">
                  <w:pPr>
                    <w:keepNext w:val="0"/>
                    <w:keepLines w:val="0"/>
                    <w:pageBreakBefore w:val="0"/>
                    <w:kinsoku/>
                    <w:wordWrap/>
                    <w:overflowPunct/>
                    <w:topLinePunct w:val="0"/>
                    <w:autoSpaceDE/>
                    <w:autoSpaceDN/>
                    <w:bidi w:val="0"/>
                    <w:adjustRightInd/>
                    <w:spacing w:line="240" w:lineRule="auto"/>
                    <w:ind w:right="0" w:rightChars="0"/>
                    <w:jc w:val="center"/>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cs="宋体"/>
                      <w:color w:val="auto"/>
                      <w:kern w:val="2"/>
                      <w:sz w:val="21"/>
                      <w:szCs w:val="21"/>
                      <w:highlight w:val="none"/>
                      <w:lang w:val="en-US" w:eastAsia="zh-CN" w:bidi="ar-SA"/>
                    </w:rPr>
                    <w:t>40</w:t>
                  </w:r>
                </w:p>
              </w:tc>
              <w:tc>
                <w:tcPr>
                  <w:tcW w:w="730" w:type="dxa"/>
                  <w:tcBorders>
                    <w:tl2br w:val="nil"/>
                    <w:tr2bl w:val="nil"/>
                  </w:tcBorders>
                  <w:shd w:val="clear" w:color="auto" w:fill="auto"/>
                  <w:vAlign w:val="center"/>
                </w:tcPr>
                <w:p w14:paraId="2155FFB5">
                  <w:pPr>
                    <w:pStyle w:val="9"/>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val="0"/>
                      <w:color w:val="auto"/>
                      <w:sz w:val="21"/>
                      <w:szCs w:val="21"/>
                      <w:vertAlign w:val="baseline"/>
                      <w:lang w:val="en-US" w:eastAsia="zh-CN"/>
                    </w:rPr>
                    <w:t>N</w:t>
                  </w:r>
                </w:p>
              </w:tc>
              <w:tc>
                <w:tcPr>
                  <w:tcW w:w="1531" w:type="dxa"/>
                  <w:vMerge w:val="continue"/>
                  <w:tcBorders>
                    <w:tl2br w:val="nil"/>
                    <w:tr2bl w:val="nil"/>
                  </w:tcBorders>
                  <w:shd w:val="clear" w:color="auto" w:fill="auto"/>
                  <w:vAlign w:val="center"/>
                </w:tcPr>
                <w:p w14:paraId="6B3F22D7">
                  <w:pPr>
                    <w:jc w:val="center"/>
                    <w:rPr>
                      <w:rFonts w:ascii="Times New Roman" w:hAnsi="Times New Roman" w:cs="宋体"/>
                      <w:color w:val="auto"/>
                      <w:szCs w:val="21"/>
                      <w:highlight w:val="none"/>
                    </w:rPr>
                  </w:pPr>
                </w:p>
              </w:tc>
              <w:tc>
                <w:tcPr>
                  <w:tcW w:w="1566" w:type="dxa"/>
                  <w:tcBorders>
                    <w:tl2br w:val="nil"/>
                    <w:tr2bl w:val="nil"/>
                  </w:tcBorders>
                  <w:shd w:val="clear" w:color="auto" w:fill="auto"/>
                  <w:vAlign w:val="center"/>
                </w:tcPr>
                <w:p w14:paraId="415F72F2">
                  <w:pPr>
                    <w:pStyle w:val="9"/>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Cs w:val="21"/>
                      <w:highlight w:val="none"/>
                      <w:lang w:val="en-US" w:eastAsia="zh-CN"/>
                    </w:rPr>
                    <w:t>1-2层砖瓦结构，临近井场建筑物面朝</w:t>
                  </w:r>
                  <w:r>
                    <w:rPr>
                      <w:rFonts w:hint="eastAsia" w:ascii="Times New Roman" w:hAnsi="Times New Roman"/>
                      <w:color w:val="auto"/>
                      <w:szCs w:val="21"/>
                      <w:highlight w:val="none"/>
                      <w:lang w:val="en-US" w:eastAsia="zh-CN"/>
                    </w:rPr>
                    <w:t>南</w:t>
                  </w:r>
                </w:p>
              </w:tc>
            </w:tr>
          </w:tbl>
          <w:p w14:paraId="645E75E6">
            <w:pPr>
              <w:spacing w:line="360" w:lineRule="auto"/>
              <w:ind w:firstLine="482" w:firstLineChars="200"/>
              <w:rPr>
                <w:rFonts w:hint="default" w:ascii="Times New Roman" w:eastAsia="宋体"/>
                <w:b/>
                <w:bCs/>
                <w:snapToGrid w:val="0"/>
                <w:color w:val="auto"/>
                <w:kern w:val="0"/>
                <w:sz w:val="24"/>
                <w:szCs w:val="28"/>
                <w:highlight w:val="none"/>
                <w:lang w:val="en-US" w:eastAsia="zh-CN"/>
              </w:rPr>
            </w:pPr>
            <w:r>
              <w:rPr>
                <w:rFonts w:hint="eastAsia" w:ascii="Times New Roman"/>
                <w:b/>
                <w:bCs/>
                <w:snapToGrid w:val="0"/>
                <w:color w:val="auto"/>
                <w:kern w:val="0"/>
                <w:sz w:val="24"/>
                <w:szCs w:val="28"/>
                <w:highlight w:val="none"/>
                <w:lang w:val="en-US" w:eastAsia="zh-CN"/>
              </w:rPr>
              <w:t>3、生态环境</w:t>
            </w:r>
          </w:p>
          <w:p w14:paraId="7860FB7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olor w:val="auto"/>
                <w:lang w:val="en-US" w:eastAsia="zh-CN"/>
              </w:rPr>
            </w:pPr>
            <w:r>
              <w:rPr>
                <w:rFonts w:hint="eastAsia" w:ascii="Times New Roman"/>
                <w:snapToGrid w:val="0"/>
                <w:color w:val="auto"/>
                <w:kern w:val="0"/>
                <w:sz w:val="24"/>
                <w:szCs w:val="28"/>
                <w:highlight w:val="none"/>
                <w:lang w:val="en-US" w:eastAsia="zh-CN"/>
              </w:rPr>
              <w:t>本</w:t>
            </w:r>
            <w:r>
              <w:rPr>
                <w:rFonts w:hint="eastAsia" w:ascii="Times New Roman"/>
                <w:snapToGrid w:val="0"/>
                <w:color w:val="auto"/>
                <w:kern w:val="0"/>
                <w:sz w:val="24"/>
                <w:szCs w:val="28"/>
                <w:highlight w:val="none"/>
              </w:rPr>
              <w:t>项目</w:t>
            </w:r>
            <w:r>
              <w:rPr>
                <w:rFonts w:hint="eastAsia" w:ascii="Times New Roman"/>
                <w:snapToGrid w:val="0"/>
                <w:color w:val="auto"/>
                <w:kern w:val="0"/>
                <w:sz w:val="24"/>
                <w:szCs w:val="28"/>
                <w:highlight w:val="none"/>
                <w:lang w:val="en-US" w:eastAsia="zh-CN"/>
              </w:rPr>
              <w:t>各井场外</w:t>
            </w:r>
            <w:r>
              <w:rPr>
                <w:rFonts w:hint="eastAsia" w:ascii="Times New Roman"/>
                <w:snapToGrid w:val="0"/>
                <w:color w:val="auto"/>
                <w:kern w:val="0"/>
                <w:sz w:val="24"/>
                <w:szCs w:val="28"/>
                <w:highlight w:val="none"/>
              </w:rPr>
              <w:t>300m范围内</w:t>
            </w:r>
            <w:r>
              <w:rPr>
                <w:rFonts w:hint="eastAsia" w:ascii="Times New Roman"/>
                <w:snapToGrid w:val="0"/>
                <w:color w:val="auto"/>
                <w:kern w:val="0"/>
                <w:sz w:val="24"/>
                <w:szCs w:val="28"/>
                <w:highlight w:val="none"/>
                <w:lang w:val="en-US" w:eastAsia="zh-CN"/>
              </w:rPr>
              <w:t>生态环境保护目标主要为周边的</w:t>
            </w:r>
            <w:r>
              <w:rPr>
                <w:rFonts w:hint="eastAsia" w:ascii="Times New Roman"/>
                <w:snapToGrid w:val="0"/>
                <w:color w:val="auto"/>
                <w:kern w:val="0"/>
                <w:sz w:val="24"/>
                <w:szCs w:val="28"/>
                <w:highlight w:val="none"/>
              </w:rPr>
              <w:t>永久基本农田。</w:t>
            </w:r>
          </w:p>
        </w:tc>
      </w:tr>
      <w:tr w14:paraId="57198A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54" w:type="dxa"/>
            <w:noWrap w:val="0"/>
            <w:vAlign w:val="center"/>
          </w:tcPr>
          <w:p w14:paraId="2FF052F1">
            <w:pPr>
              <w:adjustRightInd w:val="0"/>
              <w:snapToGrid w:val="0"/>
              <w:jc w:val="center"/>
              <w:rPr>
                <w:rFonts w:ascii="Times New Roman" w:hAnsi="Times New Roman"/>
                <w:color w:val="auto"/>
                <w:kern w:val="0"/>
                <w:sz w:val="24"/>
              </w:rPr>
            </w:pPr>
            <w:r>
              <w:rPr>
                <w:rFonts w:ascii="Times New Roman" w:hAnsi="Times New Roman"/>
                <w:color w:val="auto"/>
                <w:kern w:val="0"/>
                <w:sz w:val="24"/>
              </w:rPr>
              <w:t>评价</w:t>
            </w:r>
          </w:p>
          <w:p w14:paraId="1F5C912E">
            <w:pPr>
              <w:adjustRightInd w:val="0"/>
              <w:snapToGrid w:val="0"/>
              <w:jc w:val="center"/>
              <w:rPr>
                <w:rFonts w:ascii="Times New Roman" w:hAnsi="Times New Roman"/>
                <w:color w:val="auto"/>
                <w:kern w:val="0"/>
                <w:szCs w:val="21"/>
              </w:rPr>
            </w:pPr>
            <w:r>
              <w:rPr>
                <w:rFonts w:ascii="Times New Roman" w:hAnsi="Times New Roman"/>
                <w:color w:val="auto"/>
                <w:kern w:val="0"/>
                <w:sz w:val="24"/>
              </w:rPr>
              <w:t>标准</w:t>
            </w:r>
          </w:p>
        </w:tc>
        <w:tc>
          <w:tcPr>
            <w:tcW w:w="8068" w:type="dxa"/>
            <w:noWrap w:val="0"/>
            <w:vAlign w:val="center"/>
          </w:tcPr>
          <w:p w14:paraId="788DF38C">
            <w:pPr>
              <w:widowControl/>
              <w:spacing w:line="360" w:lineRule="auto"/>
              <w:jc w:val="left"/>
              <w:rPr>
                <w:rFonts w:ascii="Times New Roman" w:hAnsi="Times New Roman"/>
                <w:color w:val="auto"/>
                <w:highlight w:val="none"/>
              </w:rPr>
            </w:pPr>
            <w:r>
              <w:rPr>
                <w:rFonts w:ascii="Times New Roman" w:hAnsi="Times New Roman"/>
                <w:b/>
                <w:bCs/>
                <w:color w:val="auto"/>
                <w:kern w:val="0"/>
                <w:sz w:val="24"/>
                <w:highlight w:val="none"/>
              </w:rPr>
              <w:t>一、环境质量标准</w:t>
            </w:r>
          </w:p>
          <w:p w14:paraId="4D0AD87B">
            <w:pPr>
              <w:spacing w:line="360" w:lineRule="auto"/>
              <w:ind w:firstLine="480" w:firstLineChars="200"/>
              <w:rPr>
                <w:rFonts w:ascii="Times New Roman" w:hAnsi="Times New Roman"/>
                <w:snapToGrid w:val="0"/>
                <w:color w:val="auto"/>
                <w:kern w:val="0"/>
                <w:sz w:val="24"/>
                <w:highlight w:val="none"/>
              </w:rPr>
            </w:pPr>
            <w:r>
              <w:rPr>
                <w:rFonts w:ascii="Times New Roman" w:hAnsi="Times New Roman"/>
                <w:color w:val="auto"/>
                <w:sz w:val="24"/>
                <w:highlight w:val="none"/>
              </w:rPr>
              <w:t>1、</w:t>
            </w:r>
            <w:r>
              <w:rPr>
                <w:rFonts w:ascii="Times New Roman"/>
                <w:snapToGrid w:val="0"/>
                <w:color w:val="auto"/>
                <w:kern w:val="0"/>
                <w:sz w:val="24"/>
                <w:szCs w:val="28"/>
                <w:highlight w:val="none"/>
              </w:rPr>
              <w:t>评价区域地表水淮河、茨淮新河、泥河</w:t>
            </w:r>
            <w:r>
              <w:rPr>
                <w:rFonts w:hint="eastAsia" w:ascii="Times New Roman"/>
                <w:snapToGrid w:val="0"/>
                <w:color w:val="auto"/>
                <w:kern w:val="0"/>
                <w:sz w:val="24"/>
                <w:szCs w:val="28"/>
                <w:highlight w:val="none"/>
              </w:rPr>
              <w:t>、利民新河</w:t>
            </w:r>
            <w:r>
              <w:rPr>
                <w:rFonts w:hint="eastAsia" w:ascii="Times New Roman"/>
                <w:snapToGrid w:val="0"/>
                <w:color w:val="auto"/>
                <w:kern w:val="0"/>
                <w:sz w:val="24"/>
                <w:szCs w:val="28"/>
                <w:highlight w:val="none"/>
                <w:lang w:eastAsia="zh-CN"/>
              </w:rPr>
              <w:t>、</w:t>
            </w:r>
            <w:r>
              <w:rPr>
                <w:rFonts w:hint="eastAsia" w:ascii="Times New Roman"/>
                <w:snapToGrid w:val="0"/>
                <w:color w:val="auto"/>
                <w:kern w:val="0"/>
                <w:sz w:val="24"/>
                <w:szCs w:val="28"/>
                <w:highlight w:val="none"/>
                <w:lang w:val="en-US" w:eastAsia="zh-CN"/>
              </w:rPr>
              <w:t>小黑河、西四支渠</w:t>
            </w:r>
            <w:r>
              <w:rPr>
                <w:rFonts w:ascii="Times New Roman"/>
                <w:snapToGrid w:val="0"/>
                <w:color w:val="auto"/>
                <w:kern w:val="0"/>
                <w:sz w:val="24"/>
                <w:szCs w:val="28"/>
                <w:highlight w:val="none"/>
              </w:rPr>
              <w:t>执行《地表水环境质量标准》（</w:t>
            </w:r>
            <w:r>
              <w:rPr>
                <w:rFonts w:ascii="Times New Roman" w:hAnsi="Times New Roman"/>
                <w:snapToGrid w:val="0"/>
                <w:color w:val="auto"/>
                <w:kern w:val="0"/>
                <w:sz w:val="24"/>
                <w:szCs w:val="28"/>
                <w:highlight w:val="none"/>
              </w:rPr>
              <w:t>GB3838-2002</w:t>
            </w:r>
            <w:r>
              <w:rPr>
                <w:rFonts w:ascii="Times New Roman"/>
                <w:snapToGrid w:val="0"/>
                <w:color w:val="auto"/>
                <w:kern w:val="0"/>
                <w:sz w:val="24"/>
                <w:szCs w:val="28"/>
                <w:highlight w:val="none"/>
              </w:rPr>
              <w:t>）</w:t>
            </w:r>
            <w:r>
              <w:rPr>
                <w:rFonts w:ascii="Times New Roman" w:hAnsi="Times New Roman"/>
                <w:snapToGrid w:val="0"/>
                <w:color w:val="auto"/>
                <w:kern w:val="0"/>
                <w:sz w:val="24"/>
                <w:szCs w:val="28"/>
                <w:highlight w:val="none"/>
              </w:rPr>
              <w:t>Ⅲ</w:t>
            </w:r>
            <w:r>
              <w:rPr>
                <w:rFonts w:ascii="Times New Roman"/>
                <w:snapToGrid w:val="0"/>
                <w:color w:val="auto"/>
                <w:kern w:val="0"/>
                <w:sz w:val="24"/>
                <w:szCs w:val="28"/>
                <w:highlight w:val="none"/>
              </w:rPr>
              <w:t>类标准。</w:t>
            </w:r>
          </w:p>
          <w:p w14:paraId="4A46AC1A">
            <w:pPr>
              <w:keepNext/>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color w:val="auto"/>
                <w:szCs w:val="21"/>
                <w:lang w:val="en-US" w:eastAsia="zh-CN"/>
              </w:rPr>
            </w:pPr>
            <w:r>
              <w:rPr>
                <w:rFonts w:hint="eastAsia" w:ascii="Times New Roman" w:hAnsi="Times New Roman"/>
                <w:b/>
                <w:color w:val="auto"/>
                <w:szCs w:val="21"/>
                <w:lang w:val="en-US" w:eastAsia="zh-CN"/>
              </w:rPr>
              <w:t>表3-8  水环境质量标准  单位：mg/L（pH除外）</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2180"/>
              <w:gridCol w:w="755"/>
              <w:gridCol w:w="957"/>
              <w:gridCol w:w="997"/>
              <w:gridCol w:w="1042"/>
              <w:gridCol w:w="902"/>
            </w:tblGrid>
            <w:tr w14:paraId="6029C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exact"/>
                <w:jc w:val="center"/>
              </w:trPr>
              <w:tc>
                <w:tcPr>
                  <w:tcW w:w="643" w:type="pct"/>
                  <w:noWrap/>
                  <w:vAlign w:val="center"/>
                </w:tcPr>
                <w:p w14:paraId="015FCC2F">
                  <w:pPr>
                    <w:widowControl/>
                    <w:jc w:val="center"/>
                    <w:rPr>
                      <w:rFonts w:ascii="Times New Roman" w:hAnsi="Times New Roman"/>
                      <w:color w:val="auto"/>
                      <w:szCs w:val="21"/>
                      <w:highlight w:val="none"/>
                    </w:rPr>
                  </w:pPr>
                  <w:r>
                    <w:rPr>
                      <w:rFonts w:ascii="Times New Roman"/>
                      <w:color w:val="auto"/>
                      <w:szCs w:val="21"/>
                      <w:highlight w:val="none"/>
                    </w:rPr>
                    <w:t>评价</w:t>
                  </w:r>
                </w:p>
                <w:p w14:paraId="7085110D">
                  <w:pPr>
                    <w:widowControl/>
                    <w:jc w:val="center"/>
                    <w:rPr>
                      <w:rFonts w:ascii="Times New Roman" w:hAnsi="Times New Roman"/>
                      <w:color w:val="auto"/>
                      <w:szCs w:val="21"/>
                      <w:highlight w:val="none"/>
                    </w:rPr>
                  </w:pPr>
                  <w:r>
                    <w:rPr>
                      <w:rFonts w:ascii="Times New Roman"/>
                      <w:color w:val="auto"/>
                      <w:szCs w:val="21"/>
                      <w:highlight w:val="none"/>
                    </w:rPr>
                    <w:t>水体</w:t>
                  </w:r>
                </w:p>
              </w:tc>
              <w:tc>
                <w:tcPr>
                  <w:tcW w:w="1389" w:type="pct"/>
                  <w:noWrap/>
                  <w:vAlign w:val="center"/>
                </w:tcPr>
                <w:p w14:paraId="73586F56">
                  <w:pPr>
                    <w:widowControl/>
                    <w:jc w:val="center"/>
                    <w:rPr>
                      <w:rFonts w:ascii="Times New Roman" w:hAnsi="Times New Roman"/>
                      <w:color w:val="auto"/>
                      <w:szCs w:val="21"/>
                      <w:highlight w:val="none"/>
                    </w:rPr>
                  </w:pPr>
                  <w:r>
                    <w:rPr>
                      <w:rFonts w:ascii="Times New Roman"/>
                      <w:color w:val="auto"/>
                      <w:szCs w:val="21"/>
                      <w:highlight w:val="none"/>
                    </w:rPr>
                    <w:t>标准</w:t>
                  </w:r>
                </w:p>
              </w:tc>
              <w:tc>
                <w:tcPr>
                  <w:tcW w:w="481" w:type="pct"/>
                  <w:noWrap/>
                  <w:vAlign w:val="center"/>
                </w:tcPr>
                <w:p w14:paraId="1DBD5B07">
                  <w:pPr>
                    <w:widowControl/>
                    <w:jc w:val="center"/>
                    <w:rPr>
                      <w:rFonts w:ascii="Times New Roman" w:hAnsi="Times New Roman"/>
                      <w:color w:val="auto"/>
                      <w:szCs w:val="21"/>
                      <w:highlight w:val="none"/>
                    </w:rPr>
                  </w:pPr>
                  <w:r>
                    <w:rPr>
                      <w:rFonts w:ascii="Times New Roman" w:hAnsi="Times New Roman"/>
                      <w:color w:val="auto"/>
                      <w:szCs w:val="21"/>
                      <w:highlight w:val="none"/>
                    </w:rPr>
                    <w:t>pH</w:t>
                  </w:r>
                </w:p>
              </w:tc>
              <w:tc>
                <w:tcPr>
                  <w:tcW w:w="610" w:type="pct"/>
                  <w:noWrap/>
                  <w:vAlign w:val="center"/>
                </w:tcPr>
                <w:p w14:paraId="26D124CB">
                  <w:pPr>
                    <w:widowControl/>
                    <w:jc w:val="center"/>
                    <w:rPr>
                      <w:rFonts w:ascii="Times New Roman" w:hAnsi="Times New Roman"/>
                      <w:color w:val="auto"/>
                      <w:szCs w:val="21"/>
                      <w:highlight w:val="none"/>
                    </w:rPr>
                  </w:pPr>
                  <w:r>
                    <w:rPr>
                      <w:rFonts w:ascii="Times New Roman" w:hAnsi="Times New Roman"/>
                      <w:color w:val="auto"/>
                      <w:szCs w:val="21"/>
                      <w:highlight w:val="none"/>
                    </w:rPr>
                    <w:t>COD</w:t>
                  </w:r>
                </w:p>
              </w:tc>
              <w:tc>
                <w:tcPr>
                  <w:tcW w:w="635" w:type="pct"/>
                  <w:noWrap/>
                  <w:vAlign w:val="center"/>
                </w:tcPr>
                <w:p w14:paraId="2B7D87F0">
                  <w:pPr>
                    <w:widowControl/>
                    <w:jc w:val="center"/>
                    <w:rPr>
                      <w:rFonts w:ascii="Times New Roman" w:hAnsi="Times New Roman"/>
                      <w:color w:val="auto"/>
                      <w:szCs w:val="21"/>
                      <w:highlight w:val="none"/>
                    </w:rPr>
                  </w:pPr>
                  <w:r>
                    <w:rPr>
                      <w:rFonts w:ascii="Times New Roman" w:hAnsi="Times New Roman"/>
                      <w:color w:val="auto"/>
                      <w:szCs w:val="21"/>
                      <w:highlight w:val="none"/>
                    </w:rPr>
                    <w:t>BOD</w:t>
                  </w:r>
                  <w:r>
                    <w:rPr>
                      <w:rFonts w:ascii="Times New Roman" w:hAnsi="Times New Roman"/>
                      <w:color w:val="auto"/>
                      <w:szCs w:val="21"/>
                      <w:highlight w:val="none"/>
                      <w:vertAlign w:val="subscript"/>
                    </w:rPr>
                    <w:t>5</w:t>
                  </w:r>
                </w:p>
              </w:tc>
              <w:tc>
                <w:tcPr>
                  <w:tcW w:w="664" w:type="pct"/>
                  <w:noWrap/>
                  <w:vAlign w:val="center"/>
                </w:tcPr>
                <w:p w14:paraId="45628F34">
                  <w:pPr>
                    <w:widowControl/>
                    <w:jc w:val="center"/>
                    <w:rPr>
                      <w:rFonts w:ascii="Times New Roman" w:hAnsi="Times New Roman"/>
                      <w:color w:val="auto"/>
                      <w:szCs w:val="21"/>
                      <w:highlight w:val="none"/>
                    </w:rPr>
                  </w:pPr>
                  <w:bookmarkStart w:id="9" w:name="_Toc226167590"/>
                  <w:bookmarkStart w:id="10" w:name="_Toc225846357"/>
                  <w:bookmarkStart w:id="11" w:name="_Toc4092"/>
                  <w:bookmarkStart w:id="12" w:name="_Toc31879"/>
                  <w:bookmarkStart w:id="13" w:name="_Toc183433375"/>
                  <w:r>
                    <w:rPr>
                      <w:rFonts w:ascii="Times New Roman" w:hAnsi="Times New Roman"/>
                      <w:color w:val="auto"/>
                      <w:szCs w:val="21"/>
                      <w:highlight w:val="none"/>
                    </w:rPr>
                    <w:t>NH</w:t>
                  </w:r>
                  <w:r>
                    <w:rPr>
                      <w:rFonts w:ascii="Times New Roman" w:hAnsi="Times New Roman"/>
                      <w:color w:val="auto"/>
                      <w:szCs w:val="21"/>
                      <w:highlight w:val="none"/>
                      <w:vertAlign w:val="subscript"/>
                    </w:rPr>
                    <w:t>3</w:t>
                  </w:r>
                  <w:r>
                    <w:rPr>
                      <w:rFonts w:ascii="Times New Roman" w:hAnsi="Times New Roman"/>
                      <w:color w:val="auto"/>
                      <w:szCs w:val="21"/>
                      <w:highlight w:val="none"/>
                    </w:rPr>
                    <w:t>-N</w:t>
                  </w:r>
                  <w:bookmarkEnd w:id="9"/>
                  <w:bookmarkEnd w:id="10"/>
                  <w:bookmarkEnd w:id="11"/>
                  <w:bookmarkEnd w:id="12"/>
                  <w:bookmarkEnd w:id="13"/>
                </w:p>
              </w:tc>
              <w:tc>
                <w:tcPr>
                  <w:tcW w:w="574" w:type="pct"/>
                  <w:noWrap/>
                  <w:vAlign w:val="center"/>
                </w:tcPr>
                <w:p w14:paraId="22E147C1">
                  <w:pPr>
                    <w:widowControl/>
                    <w:jc w:val="center"/>
                    <w:rPr>
                      <w:rFonts w:ascii="Times New Roman" w:hAnsi="Times New Roman"/>
                      <w:color w:val="auto"/>
                      <w:szCs w:val="21"/>
                      <w:highlight w:val="none"/>
                    </w:rPr>
                  </w:pPr>
                  <w:r>
                    <w:rPr>
                      <w:rFonts w:ascii="Times New Roman"/>
                      <w:color w:val="auto"/>
                      <w:szCs w:val="21"/>
                      <w:highlight w:val="none"/>
                    </w:rPr>
                    <w:t>石油类</w:t>
                  </w:r>
                </w:p>
              </w:tc>
            </w:tr>
            <w:tr w14:paraId="316D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exact"/>
                <w:jc w:val="center"/>
              </w:trPr>
              <w:tc>
                <w:tcPr>
                  <w:tcW w:w="643" w:type="pct"/>
                  <w:noWrap/>
                  <w:vAlign w:val="center"/>
                </w:tcPr>
                <w:p w14:paraId="783754DF">
                  <w:pPr>
                    <w:widowControl/>
                    <w:jc w:val="center"/>
                    <w:rPr>
                      <w:rFonts w:ascii="Times New Roman" w:hAnsi="Times New Roman"/>
                      <w:color w:val="auto"/>
                      <w:szCs w:val="21"/>
                      <w:highlight w:val="none"/>
                    </w:rPr>
                  </w:pPr>
                  <w:r>
                    <w:rPr>
                      <w:rFonts w:ascii="Times New Roman"/>
                      <w:color w:val="auto"/>
                      <w:szCs w:val="21"/>
                      <w:highlight w:val="none"/>
                    </w:rPr>
                    <w:t>淮河、茨淮新河、泥河</w:t>
                  </w:r>
                  <w:r>
                    <w:rPr>
                      <w:rFonts w:hint="eastAsia"/>
                      <w:color w:val="auto"/>
                      <w:highlight w:val="none"/>
                    </w:rPr>
                    <w:t>、利民新河</w:t>
                  </w:r>
                </w:p>
              </w:tc>
              <w:tc>
                <w:tcPr>
                  <w:tcW w:w="1389" w:type="pct"/>
                  <w:noWrap/>
                  <w:vAlign w:val="center"/>
                </w:tcPr>
                <w:p w14:paraId="1EBE279C">
                  <w:pPr>
                    <w:widowControl/>
                    <w:jc w:val="center"/>
                    <w:rPr>
                      <w:rFonts w:ascii="Times New Roman" w:hAnsi="Times New Roman"/>
                      <w:color w:val="auto"/>
                      <w:szCs w:val="21"/>
                      <w:highlight w:val="none"/>
                    </w:rPr>
                  </w:pPr>
                  <w:r>
                    <w:rPr>
                      <w:rFonts w:ascii="Times New Roman"/>
                      <w:snapToGrid w:val="0"/>
                      <w:color w:val="auto"/>
                      <w:kern w:val="0"/>
                      <w:szCs w:val="21"/>
                      <w:highlight w:val="none"/>
                    </w:rPr>
                    <w:t>《地表水环境质量标准》（</w:t>
                  </w:r>
                  <w:r>
                    <w:rPr>
                      <w:rFonts w:ascii="Times New Roman" w:hAnsi="Times New Roman"/>
                      <w:snapToGrid w:val="0"/>
                      <w:color w:val="auto"/>
                      <w:kern w:val="0"/>
                      <w:szCs w:val="21"/>
                      <w:highlight w:val="none"/>
                    </w:rPr>
                    <w:t>GB3838-2002</w:t>
                  </w:r>
                  <w:r>
                    <w:rPr>
                      <w:rFonts w:ascii="Times New Roman"/>
                      <w:snapToGrid w:val="0"/>
                      <w:color w:val="auto"/>
                      <w:kern w:val="0"/>
                      <w:szCs w:val="21"/>
                      <w:highlight w:val="none"/>
                    </w:rPr>
                    <w:t>）</w:t>
                  </w:r>
                  <w:r>
                    <w:rPr>
                      <w:rFonts w:ascii="Times New Roman" w:hAnsi="Times New Roman"/>
                      <w:snapToGrid w:val="0"/>
                      <w:color w:val="auto"/>
                      <w:kern w:val="0"/>
                      <w:szCs w:val="21"/>
                      <w:highlight w:val="none"/>
                    </w:rPr>
                    <w:t>Ⅲ</w:t>
                  </w:r>
                  <w:r>
                    <w:rPr>
                      <w:rFonts w:ascii="Times New Roman"/>
                      <w:snapToGrid w:val="0"/>
                      <w:color w:val="auto"/>
                      <w:kern w:val="0"/>
                      <w:szCs w:val="21"/>
                      <w:highlight w:val="none"/>
                    </w:rPr>
                    <w:t>类标准</w:t>
                  </w:r>
                </w:p>
              </w:tc>
              <w:tc>
                <w:tcPr>
                  <w:tcW w:w="481" w:type="pct"/>
                  <w:noWrap/>
                  <w:vAlign w:val="center"/>
                </w:tcPr>
                <w:p w14:paraId="01741689">
                  <w:pPr>
                    <w:widowControl/>
                    <w:jc w:val="center"/>
                    <w:rPr>
                      <w:rFonts w:ascii="Times New Roman" w:hAnsi="Times New Roman"/>
                      <w:color w:val="auto"/>
                      <w:szCs w:val="21"/>
                      <w:highlight w:val="none"/>
                    </w:rPr>
                  </w:pPr>
                  <w:r>
                    <w:rPr>
                      <w:rFonts w:ascii="Times New Roman" w:hAnsi="Times New Roman"/>
                      <w:color w:val="auto"/>
                      <w:szCs w:val="21"/>
                      <w:highlight w:val="none"/>
                    </w:rPr>
                    <w:t>6-9</w:t>
                  </w:r>
                </w:p>
              </w:tc>
              <w:tc>
                <w:tcPr>
                  <w:tcW w:w="610" w:type="pct"/>
                  <w:noWrap/>
                  <w:vAlign w:val="center"/>
                </w:tcPr>
                <w:p w14:paraId="1D176D63">
                  <w:pPr>
                    <w:widowControl/>
                    <w:jc w:val="center"/>
                    <w:rPr>
                      <w:rFonts w:ascii="Times New Roman" w:hAnsi="Times New Roman"/>
                      <w:color w:val="auto"/>
                      <w:szCs w:val="21"/>
                      <w:highlight w:val="none"/>
                    </w:rPr>
                  </w:pPr>
                  <w:r>
                    <w:rPr>
                      <w:rFonts w:ascii="Times New Roman" w:hAnsi="Times New Roman"/>
                      <w:color w:val="auto"/>
                      <w:szCs w:val="21"/>
                      <w:highlight w:val="none"/>
                    </w:rPr>
                    <w:t>20</w:t>
                  </w:r>
                </w:p>
              </w:tc>
              <w:tc>
                <w:tcPr>
                  <w:tcW w:w="635" w:type="pct"/>
                  <w:noWrap/>
                  <w:vAlign w:val="center"/>
                </w:tcPr>
                <w:p w14:paraId="6F5D89CD">
                  <w:pPr>
                    <w:widowControl/>
                    <w:jc w:val="center"/>
                    <w:rPr>
                      <w:rFonts w:ascii="Times New Roman" w:hAnsi="Times New Roman"/>
                      <w:color w:val="auto"/>
                      <w:szCs w:val="21"/>
                      <w:highlight w:val="none"/>
                    </w:rPr>
                  </w:pPr>
                  <w:r>
                    <w:rPr>
                      <w:rFonts w:ascii="Times New Roman" w:hAnsi="Times New Roman"/>
                      <w:color w:val="auto"/>
                      <w:szCs w:val="21"/>
                      <w:highlight w:val="none"/>
                    </w:rPr>
                    <w:t>4</w:t>
                  </w:r>
                </w:p>
              </w:tc>
              <w:tc>
                <w:tcPr>
                  <w:tcW w:w="664" w:type="pct"/>
                  <w:noWrap/>
                  <w:vAlign w:val="center"/>
                </w:tcPr>
                <w:p w14:paraId="0BDCB75B">
                  <w:pPr>
                    <w:widowControl/>
                    <w:jc w:val="center"/>
                    <w:rPr>
                      <w:rFonts w:ascii="Times New Roman" w:hAnsi="Times New Roman"/>
                      <w:color w:val="auto"/>
                      <w:szCs w:val="21"/>
                      <w:highlight w:val="none"/>
                    </w:rPr>
                  </w:pPr>
                  <w:r>
                    <w:rPr>
                      <w:rFonts w:ascii="Times New Roman" w:hAnsi="Times New Roman"/>
                      <w:color w:val="auto"/>
                      <w:szCs w:val="21"/>
                      <w:highlight w:val="none"/>
                    </w:rPr>
                    <w:t>1</w:t>
                  </w:r>
                </w:p>
              </w:tc>
              <w:tc>
                <w:tcPr>
                  <w:tcW w:w="574" w:type="pct"/>
                  <w:noWrap/>
                  <w:vAlign w:val="center"/>
                </w:tcPr>
                <w:p w14:paraId="56A60AC6">
                  <w:pPr>
                    <w:widowControl/>
                    <w:jc w:val="center"/>
                    <w:rPr>
                      <w:rFonts w:ascii="Times New Roman" w:hAnsi="Times New Roman"/>
                      <w:color w:val="auto"/>
                      <w:szCs w:val="21"/>
                      <w:highlight w:val="none"/>
                    </w:rPr>
                  </w:pPr>
                  <w:r>
                    <w:rPr>
                      <w:rFonts w:ascii="Times New Roman" w:hAnsi="Times New Roman"/>
                      <w:color w:val="auto"/>
                      <w:szCs w:val="21"/>
                      <w:highlight w:val="none"/>
                    </w:rPr>
                    <w:t>0.05</w:t>
                  </w:r>
                </w:p>
              </w:tc>
            </w:tr>
          </w:tbl>
          <w:p w14:paraId="131FFD15">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2、建设项目环境空气评价范围内的区域属于空气质量二类功能区。SO</w:t>
            </w:r>
            <w:r>
              <w:rPr>
                <w:rFonts w:ascii="Times New Roman" w:hAnsi="Times New Roman"/>
                <w:color w:val="auto"/>
                <w:sz w:val="24"/>
                <w:highlight w:val="none"/>
                <w:vertAlign w:val="subscript"/>
              </w:rPr>
              <w:t>2</w:t>
            </w:r>
            <w:r>
              <w:rPr>
                <w:rFonts w:ascii="Times New Roman" w:hAnsi="Times New Roman"/>
                <w:color w:val="auto"/>
                <w:sz w:val="24"/>
                <w:highlight w:val="none"/>
              </w:rPr>
              <w:t>、NO</w:t>
            </w:r>
            <w:r>
              <w:rPr>
                <w:rFonts w:ascii="Times New Roman" w:hAnsi="Times New Roman"/>
                <w:color w:val="auto"/>
                <w:sz w:val="24"/>
                <w:highlight w:val="none"/>
                <w:vertAlign w:val="subscript"/>
              </w:rPr>
              <w:t>2</w:t>
            </w:r>
            <w:r>
              <w:rPr>
                <w:rFonts w:ascii="Times New Roman" w:hAnsi="Times New Roman"/>
                <w:color w:val="auto"/>
                <w:sz w:val="24"/>
                <w:highlight w:val="none"/>
              </w:rPr>
              <w:t>、PM</w:t>
            </w:r>
            <w:r>
              <w:rPr>
                <w:rFonts w:ascii="Times New Roman" w:hAnsi="Times New Roman"/>
                <w:color w:val="auto"/>
                <w:sz w:val="24"/>
                <w:highlight w:val="none"/>
                <w:vertAlign w:val="subscript"/>
              </w:rPr>
              <w:t>10</w:t>
            </w:r>
            <w:r>
              <w:rPr>
                <w:rFonts w:ascii="Times New Roman" w:hAnsi="Times New Roman"/>
                <w:color w:val="auto"/>
                <w:sz w:val="24"/>
                <w:highlight w:val="none"/>
              </w:rPr>
              <w:t>、PM</w:t>
            </w:r>
            <w:r>
              <w:rPr>
                <w:rFonts w:ascii="Times New Roman" w:hAnsi="Times New Roman"/>
                <w:color w:val="auto"/>
                <w:sz w:val="24"/>
                <w:highlight w:val="none"/>
                <w:vertAlign w:val="subscript"/>
              </w:rPr>
              <w:t xml:space="preserve"> 2.5</w:t>
            </w:r>
            <w:r>
              <w:rPr>
                <w:rFonts w:ascii="Times New Roman" w:hAnsi="Times New Roman"/>
                <w:color w:val="auto"/>
                <w:sz w:val="24"/>
                <w:highlight w:val="none"/>
              </w:rPr>
              <w:t>、CO、O</w:t>
            </w:r>
            <w:r>
              <w:rPr>
                <w:rFonts w:ascii="Times New Roman" w:hAnsi="Times New Roman"/>
                <w:color w:val="auto"/>
                <w:sz w:val="24"/>
                <w:highlight w:val="none"/>
                <w:vertAlign w:val="subscript"/>
              </w:rPr>
              <w:t>3</w:t>
            </w:r>
            <w:r>
              <w:rPr>
                <w:rFonts w:ascii="Times New Roman" w:hAnsi="Times New Roman"/>
                <w:color w:val="auto"/>
                <w:sz w:val="24"/>
                <w:highlight w:val="none"/>
              </w:rPr>
              <w:t>执行</w:t>
            </w:r>
            <w:r>
              <w:rPr>
                <w:rFonts w:ascii="Times New Roman" w:hAnsi="Times New Roman"/>
                <w:color w:val="auto"/>
                <w:sz w:val="24"/>
              </w:rPr>
              <w:t>《环境空气质量标准》（GB3095-2012）</w:t>
            </w:r>
            <w:r>
              <w:rPr>
                <w:rStyle w:val="24"/>
                <w:rFonts w:hint="eastAsia" w:ascii="Times New Roman" w:hAnsi="Times New Roman"/>
                <w:color w:val="auto"/>
                <w:kern w:val="0"/>
                <w:sz w:val="24"/>
                <w:szCs w:val="24"/>
                <w:lang w:val="en-US" w:eastAsia="zh-CN"/>
              </w:rPr>
              <w:t>及其2018年修改单</w:t>
            </w:r>
            <w:r>
              <w:rPr>
                <w:rFonts w:ascii="Times New Roman" w:hAnsi="Times New Roman"/>
                <w:color w:val="auto"/>
                <w:sz w:val="24"/>
              </w:rPr>
              <w:t>中的二级标准，具体标准值详见下表</w:t>
            </w:r>
            <w:r>
              <w:rPr>
                <w:rFonts w:ascii="Times New Roman" w:hAnsi="Times New Roman"/>
                <w:color w:val="auto"/>
                <w:sz w:val="24"/>
                <w:highlight w:val="none"/>
              </w:rPr>
              <w:t>：</w:t>
            </w:r>
          </w:p>
          <w:p w14:paraId="4FAFB972">
            <w:pPr>
              <w:keepNext/>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color w:val="auto"/>
                <w:szCs w:val="21"/>
                <w:lang w:val="en-US" w:eastAsia="zh-CN"/>
              </w:rPr>
            </w:pPr>
            <w:r>
              <w:rPr>
                <w:rFonts w:hint="eastAsia" w:ascii="Times New Roman" w:hAnsi="Times New Roman"/>
                <w:b/>
                <w:color w:val="auto"/>
                <w:szCs w:val="21"/>
                <w:lang w:val="en-US" w:eastAsia="zh-CN"/>
              </w:rPr>
              <w:t>表3-9  环境空气质量标准</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835"/>
              <w:gridCol w:w="1490"/>
              <w:gridCol w:w="3185"/>
            </w:tblGrid>
            <w:tr w14:paraId="2DB11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847" w:type="pct"/>
                  <w:noWrap/>
                  <w:vAlign w:val="center"/>
                </w:tcPr>
                <w:p w14:paraId="7E8B905D">
                  <w:pPr>
                    <w:jc w:val="center"/>
                    <w:rPr>
                      <w:rFonts w:ascii="Times New Roman" w:hAnsi="Times New Roman"/>
                      <w:color w:val="auto"/>
                      <w:szCs w:val="21"/>
                      <w:highlight w:val="none"/>
                    </w:rPr>
                  </w:pPr>
                  <w:r>
                    <w:rPr>
                      <w:rFonts w:ascii="Times New Roman" w:hAnsi="Times New Roman"/>
                      <w:color w:val="auto"/>
                      <w:szCs w:val="21"/>
                      <w:highlight w:val="none"/>
                    </w:rPr>
                    <w:t>污染物名称</w:t>
                  </w:r>
                </w:p>
              </w:tc>
              <w:tc>
                <w:tcPr>
                  <w:tcW w:w="1170" w:type="pct"/>
                  <w:noWrap/>
                  <w:vAlign w:val="center"/>
                </w:tcPr>
                <w:p w14:paraId="4B2E4276">
                  <w:pPr>
                    <w:jc w:val="center"/>
                    <w:rPr>
                      <w:rFonts w:ascii="Times New Roman" w:hAnsi="Times New Roman"/>
                      <w:color w:val="auto"/>
                      <w:szCs w:val="21"/>
                      <w:highlight w:val="none"/>
                    </w:rPr>
                  </w:pPr>
                  <w:r>
                    <w:rPr>
                      <w:rFonts w:ascii="Times New Roman" w:hAnsi="Times New Roman"/>
                      <w:color w:val="auto"/>
                      <w:szCs w:val="21"/>
                      <w:highlight w:val="none"/>
                    </w:rPr>
                    <w:t>取值时间</w:t>
                  </w:r>
                </w:p>
              </w:tc>
              <w:tc>
                <w:tcPr>
                  <w:tcW w:w="950" w:type="pct"/>
                  <w:noWrap/>
                  <w:vAlign w:val="center"/>
                </w:tcPr>
                <w:p w14:paraId="48B87A50">
                  <w:pPr>
                    <w:jc w:val="center"/>
                    <w:rPr>
                      <w:rFonts w:ascii="Times New Roman" w:hAnsi="Times New Roman"/>
                      <w:color w:val="auto"/>
                      <w:szCs w:val="21"/>
                      <w:highlight w:val="none"/>
                    </w:rPr>
                  </w:pPr>
                  <w:r>
                    <w:rPr>
                      <w:rFonts w:ascii="Times New Roman" w:hAnsi="Times New Roman"/>
                      <w:color w:val="auto"/>
                      <w:szCs w:val="21"/>
                      <w:highlight w:val="none"/>
                    </w:rPr>
                    <w:t>浓度限值</w:t>
                  </w:r>
                </w:p>
              </w:tc>
              <w:tc>
                <w:tcPr>
                  <w:tcW w:w="2031" w:type="pct"/>
                  <w:noWrap/>
                  <w:vAlign w:val="center"/>
                </w:tcPr>
                <w:p w14:paraId="766F7A3B">
                  <w:pPr>
                    <w:jc w:val="center"/>
                    <w:rPr>
                      <w:rFonts w:ascii="Times New Roman" w:hAnsi="Times New Roman"/>
                      <w:color w:val="auto"/>
                      <w:szCs w:val="21"/>
                      <w:highlight w:val="none"/>
                    </w:rPr>
                  </w:pPr>
                  <w:r>
                    <w:rPr>
                      <w:rFonts w:ascii="Times New Roman" w:hAnsi="Times New Roman"/>
                      <w:color w:val="auto"/>
                      <w:szCs w:val="21"/>
                      <w:highlight w:val="none"/>
                    </w:rPr>
                    <w:t>标准来源</w:t>
                  </w:r>
                </w:p>
              </w:tc>
            </w:tr>
            <w:tr w14:paraId="16324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restart"/>
                  <w:noWrap/>
                  <w:vAlign w:val="center"/>
                </w:tcPr>
                <w:p w14:paraId="7E4F9E23">
                  <w:pPr>
                    <w:jc w:val="center"/>
                    <w:rPr>
                      <w:rFonts w:ascii="Times New Roman" w:hAnsi="Times New Roman"/>
                      <w:color w:val="auto"/>
                      <w:szCs w:val="21"/>
                      <w:highlight w:val="none"/>
                      <w:vertAlign w:val="subscript"/>
                    </w:rPr>
                  </w:pPr>
                  <w:r>
                    <w:rPr>
                      <w:rFonts w:ascii="Times New Roman" w:hAnsi="Times New Roman"/>
                      <w:color w:val="auto"/>
                      <w:szCs w:val="21"/>
                      <w:highlight w:val="none"/>
                    </w:rPr>
                    <w:t>SO</w:t>
                  </w:r>
                  <w:r>
                    <w:rPr>
                      <w:rFonts w:ascii="Times New Roman" w:hAnsi="Times New Roman"/>
                      <w:color w:val="auto"/>
                      <w:szCs w:val="21"/>
                      <w:highlight w:val="none"/>
                      <w:vertAlign w:val="subscript"/>
                    </w:rPr>
                    <w:t>2</w:t>
                  </w:r>
                </w:p>
              </w:tc>
              <w:tc>
                <w:tcPr>
                  <w:tcW w:w="1170" w:type="pct"/>
                  <w:noWrap/>
                  <w:vAlign w:val="center"/>
                </w:tcPr>
                <w:p w14:paraId="4F729D0D">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bidi="ar-SA"/>
                    </w:rPr>
                    <w:t>年平均</w:t>
                  </w:r>
                </w:p>
              </w:tc>
              <w:tc>
                <w:tcPr>
                  <w:tcW w:w="950" w:type="pct"/>
                  <w:noWrap/>
                  <w:vAlign w:val="center"/>
                </w:tcPr>
                <w:p w14:paraId="7AFFCAC5">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bidi="ar-SA"/>
                    </w:rPr>
                    <w:t>60</w:t>
                  </w:r>
                  <w:r>
                    <w:rPr>
                      <w:rFonts w:hint="default" w:ascii="Times New Roman" w:hAnsi="Times New Roman" w:eastAsia="宋体" w:cs="Times New Roman"/>
                      <w:color w:val="auto"/>
                      <w:spacing w:val="0"/>
                      <w:w w:val="100"/>
                      <w:position w:val="0"/>
                      <w:sz w:val="21"/>
                      <w:szCs w:val="21"/>
                      <w:highlight w:val="none"/>
                    </w:rPr>
                    <w:t>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restart"/>
                  <w:noWrap/>
                  <w:vAlign w:val="center"/>
                </w:tcPr>
                <w:p w14:paraId="6832FAD4">
                  <w:pPr>
                    <w:jc w:val="center"/>
                    <w:rPr>
                      <w:rFonts w:ascii="Times New Roman" w:hAnsi="Times New Roman"/>
                      <w:color w:val="auto"/>
                      <w:szCs w:val="21"/>
                      <w:highlight w:val="none"/>
                    </w:rPr>
                  </w:pPr>
                  <w:r>
                    <w:rPr>
                      <w:rFonts w:ascii="Times New Roman" w:hAnsi="Times New Roman"/>
                      <w:color w:val="auto"/>
                      <w:szCs w:val="21"/>
                      <w:highlight w:val="none"/>
                    </w:rPr>
                    <w:t>GB3095</w:t>
                  </w:r>
                  <w:r>
                    <w:rPr>
                      <w:rFonts w:hint="eastAsia" w:ascii="Times New Roman" w:hAnsi="Times New Roman"/>
                      <w:color w:val="auto"/>
                      <w:szCs w:val="21"/>
                      <w:highlight w:val="none"/>
                    </w:rPr>
                    <w:t>-</w:t>
                  </w:r>
                  <w:r>
                    <w:rPr>
                      <w:rFonts w:ascii="Times New Roman" w:hAnsi="Times New Roman"/>
                      <w:color w:val="auto"/>
                      <w:szCs w:val="21"/>
                      <w:highlight w:val="none"/>
                    </w:rPr>
                    <w:t>2012</w:t>
                  </w:r>
                </w:p>
                <w:p w14:paraId="06CD89F6">
                  <w:pPr>
                    <w:jc w:val="center"/>
                    <w:rPr>
                      <w:rFonts w:ascii="Times New Roman" w:hAnsi="Times New Roman"/>
                      <w:color w:val="auto"/>
                      <w:szCs w:val="21"/>
                      <w:highlight w:val="none"/>
                    </w:rPr>
                  </w:pPr>
                  <w:r>
                    <w:rPr>
                      <w:rFonts w:ascii="Times New Roman" w:hAnsi="Times New Roman"/>
                      <w:color w:val="auto"/>
                      <w:szCs w:val="21"/>
                      <w:highlight w:val="none"/>
                    </w:rPr>
                    <w:t>《环境空气质量标准》中二级标准限值</w:t>
                  </w:r>
                </w:p>
              </w:tc>
            </w:tr>
            <w:tr w14:paraId="31994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continue"/>
                  <w:noWrap/>
                  <w:vAlign w:val="center"/>
                </w:tcPr>
                <w:p w14:paraId="49B4448C">
                  <w:pPr>
                    <w:jc w:val="center"/>
                    <w:rPr>
                      <w:rFonts w:ascii="Times New Roman" w:hAnsi="Times New Roman"/>
                      <w:color w:val="auto"/>
                      <w:szCs w:val="21"/>
                      <w:highlight w:val="none"/>
                    </w:rPr>
                  </w:pPr>
                </w:p>
              </w:tc>
              <w:tc>
                <w:tcPr>
                  <w:tcW w:w="1170" w:type="pct"/>
                  <w:noWrap/>
                  <w:vAlign w:val="center"/>
                </w:tcPr>
                <w:p w14:paraId="145FA477">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24小时平均</w:t>
                  </w:r>
                </w:p>
              </w:tc>
              <w:tc>
                <w:tcPr>
                  <w:tcW w:w="950" w:type="pct"/>
                  <w:noWrap/>
                  <w:vAlign w:val="center"/>
                </w:tcPr>
                <w:p w14:paraId="14A7CCC4">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150µg/Nm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17719FAD">
                  <w:pPr>
                    <w:jc w:val="center"/>
                    <w:rPr>
                      <w:rFonts w:ascii="Times New Roman" w:hAnsi="Times New Roman"/>
                      <w:color w:val="auto"/>
                      <w:szCs w:val="21"/>
                      <w:highlight w:val="none"/>
                    </w:rPr>
                  </w:pPr>
                </w:p>
              </w:tc>
            </w:tr>
            <w:tr w14:paraId="08A1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continue"/>
                  <w:noWrap/>
                  <w:vAlign w:val="center"/>
                </w:tcPr>
                <w:p w14:paraId="4A4B16EB">
                  <w:pPr>
                    <w:jc w:val="center"/>
                    <w:rPr>
                      <w:rFonts w:ascii="Times New Roman" w:hAnsi="Times New Roman"/>
                      <w:color w:val="auto"/>
                      <w:szCs w:val="21"/>
                      <w:highlight w:val="none"/>
                    </w:rPr>
                  </w:pPr>
                </w:p>
              </w:tc>
              <w:tc>
                <w:tcPr>
                  <w:tcW w:w="1170" w:type="pct"/>
                  <w:noWrap/>
                  <w:vAlign w:val="center"/>
                </w:tcPr>
                <w:p w14:paraId="11B97BCF">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1小时平均</w:t>
                  </w:r>
                </w:p>
              </w:tc>
              <w:tc>
                <w:tcPr>
                  <w:tcW w:w="950" w:type="pct"/>
                  <w:noWrap/>
                  <w:vAlign w:val="center"/>
                </w:tcPr>
                <w:p w14:paraId="13CF631B">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500µg/Nm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7783715F">
                  <w:pPr>
                    <w:jc w:val="center"/>
                    <w:rPr>
                      <w:rFonts w:ascii="Times New Roman" w:hAnsi="Times New Roman"/>
                      <w:color w:val="auto"/>
                      <w:szCs w:val="21"/>
                      <w:highlight w:val="none"/>
                    </w:rPr>
                  </w:pPr>
                </w:p>
              </w:tc>
            </w:tr>
            <w:tr w14:paraId="7828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restart"/>
                  <w:noWrap/>
                  <w:vAlign w:val="center"/>
                </w:tcPr>
                <w:p w14:paraId="2F2B3C81">
                  <w:pPr>
                    <w:jc w:val="center"/>
                    <w:rPr>
                      <w:rFonts w:ascii="Times New Roman" w:hAnsi="Times New Roman"/>
                      <w:color w:val="auto"/>
                      <w:szCs w:val="21"/>
                      <w:highlight w:val="none"/>
                      <w:vertAlign w:val="subscript"/>
                    </w:rPr>
                  </w:pPr>
                  <w:r>
                    <w:rPr>
                      <w:rFonts w:ascii="Times New Roman" w:hAnsi="Times New Roman"/>
                      <w:color w:val="auto"/>
                      <w:szCs w:val="21"/>
                      <w:highlight w:val="none"/>
                    </w:rPr>
                    <w:t>NO</w:t>
                  </w:r>
                  <w:r>
                    <w:rPr>
                      <w:rFonts w:ascii="Times New Roman" w:hAnsi="Times New Roman"/>
                      <w:color w:val="auto"/>
                      <w:szCs w:val="21"/>
                      <w:highlight w:val="none"/>
                      <w:vertAlign w:val="subscript"/>
                    </w:rPr>
                    <w:t>2</w:t>
                  </w:r>
                </w:p>
              </w:tc>
              <w:tc>
                <w:tcPr>
                  <w:tcW w:w="1170" w:type="pct"/>
                  <w:noWrap/>
                  <w:vAlign w:val="center"/>
                </w:tcPr>
                <w:p w14:paraId="28BCEABF">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bidi="ar-SA"/>
                    </w:rPr>
                    <w:t>年平均</w:t>
                  </w:r>
                </w:p>
              </w:tc>
              <w:tc>
                <w:tcPr>
                  <w:tcW w:w="950" w:type="pct"/>
                  <w:noWrap/>
                  <w:vAlign w:val="center"/>
                </w:tcPr>
                <w:p w14:paraId="7286589B">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eastAsia" w:ascii="Times New Roman" w:hAnsi="Times New Roman" w:eastAsia="宋体" w:cs="Times New Roman"/>
                      <w:color w:val="auto"/>
                      <w:spacing w:val="0"/>
                      <w:w w:val="100"/>
                      <w:position w:val="0"/>
                      <w:sz w:val="21"/>
                      <w:szCs w:val="21"/>
                      <w:highlight w:val="none"/>
                      <w:lang w:val="en-US" w:eastAsia="zh-CN"/>
                    </w:rPr>
                    <w:t>40</w:t>
                  </w:r>
                  <w:r>
                    <w:rPr>
                      <w:rFonts w:hint="default" w:ascii="Times New Roman" w:hAnsi="Times New Roman" w:eastAsia="宋体" w:cs="Times New Roman"/>
                      <w:color w:val="auto"/>
                      <w:spacing w:val="0"/>
                      <w:w w:val="100"/>
                      <w:position w:val="0"/>
                      <w:sz w:val="21"/>
                      <w:szCs w:val="21"/>
                      <w:highlight w:val="none"/>
                    </w:rPr>
                    <w:t>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199805EE">
                  <w:pPr>
                    <w:jc w:val="center"/>
                    <w:rPr>
                      <w:rFonts w:ascii="Times New Roman" w:hAnsi="Times New Roman"/>
                      <w:color w:val="auto"/>
                      <w:szCs w:val="21"/>
                      <w:highlight w:val="none"/>
                    </w:rPr>
                  </w:pPr>
                </w:p>
              </w:tc>
            </w:tr>
            <w:tr w14:paraId="4D67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continue"/>
                  <w:noWrap/>
                  <w:vAlign w:val="center"/>
                </w:tcPr>
                <w:p w14:paraId="262F2458">
                  <w:pPr>
                    <w:jc w:val="center"/>
                    <w:rPr>
                      <w:rFonts w:ascii="Times New Roman" w:hAnsi="Times New Roman"/>
                      <w:color w:val="auto"/>
                      <w:szCs w:val="21"/>
                      <w:highlight w:val="none"/>
                    </w:rPr>
                  </w:pPr>
                </w:p>
              </w:tc>
              <w:tc>
                <w:tcPr>
                  <w:tcW w:w="1170" w:type="pct"/>
                  <w:noWrap/>
                  <w:vAlign w:val="center"/>
                </w:tcPr>
                <w:p w14:paraId="5FF4A788">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24小时平均</w:t>
                  </w:r>
                </w:p>
              </w:tc>
              <w:tc>
                <w:tcPr>
                  <w:tcW w:w="950" w:type="pct"/>
                  <w:noWrap/>
                  <w:vAlign w:val="center"/>
                </w:tcPr>
                <w:p w14:paraId="19EBC604">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80µg/Nm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10AED009">
                  <w:pPr>
                    <w:jc w:val="center"/>
                    <w:rPr>
                      <w:rFonts w:ascii="Times New Roman" w:hAnsi="Times New Roman"/>
                      <w:color w:val="auto"/>
                      <w:szCs w:val="21"/>
                      <w:highlight w:val="none"/>
                    </w:rPr>
                  </w:pPr>
                </w:p>
              </w:tc>
            </w:tr>
            <w:tr w14:paraId="63E6C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continue"/>
                  <w:noWrap/>
                  <w:vAlign w:val="center"/>
                </w:tcPr>
                <w:p w14:paraId="1B81876D">
                  <w:pPr>
                    <w:jc w:val="center"/>
                    <w:rPr>
                      <w:rFonts w:ascii="Times New Roman" w:hAnsi="Times New Roman"/>
                      <w:color w:val="auto"/>
                      <w:szCs w:val="21"/>
                      <w:highlight w:val="none"/>
                    </w:rPr>
                  </w:pPr>
                </w:p>
              </w:tc>
              <w:tc>
                <w:tcPr>
                  <w:tcW w:w="1170" w:type="pct"/>
                  <w:noWrap/>
                  <w:vAlign w:val="center"/>
                </w:tcPr>
                <w:p w14:paraId="7939E2FF">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1小时平均</w:t>
                  </w:r>
                </w:p>
              </w:tc>
              <w:tc>
                <w:tcPr>
                  <w:tcW w:w="950" w:type="pct"/>
                  <w:noWrap/>
                  <w:vAlign w:val="center"/>
                </w:tcPr>
                <w:p w14:paraId="3CC6496C">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200µg/Nm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5566CD81">
                  <w:pPr>
                    <w:jc w:val="center"/>
                    <w:rPr>
                      <w:rFonts w:ascii="Times New Roman" w:hAnsi="Times New Roman"/>
                      <w:color w:val="auto"/>
                      <w:szCs w:val="21"/>
                      <w:highlight w:val="none"/>
                    </w:rPr>
                  </w:pPr>
                </w:p>
              </w:tc>
            </w:tr>
            <w:tr w14:paraId="36734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restart"/>
                  <w:noWrap/>
                  <w:vAlign w:val="center"/>
                </w:tcPr>
                <w:p w14:paraId="26EF85B2">
                  <w:pPr>
                    <w:jc w:val="center"/>
                    <w:rPr>
                      <w:rFonts w:ascii="Times New Roman" w:hAnsi="Times New Roman"/>
                      <w:color w:val="auto"/>
                      <w:szCs w:val="21"/>
                      <w:highlight w:val="none"/>
                    </w:rPr>
                  </w:pPr>
                  <w:r>
                    <w:rPr>
                      <w:rFonts w:ascii="Times New Roman" w:hAnsi="Times New Roman"/>
                      <w:color w:val="auto"/>
                      <w:szCs w:val="21"/>
                      <w:highlight w:val="none"/>
                    </w:rPr>
                    <w:t>PM</w:t>
                  </w:r>
                  <w:r>
                    <w:rPr>
                      <w:rFonts w:ascii="Times New Roman" w:hAnsi="Times New Roman"/>
                      <w:color w:val="auto"/>
                      <w:szCs w:val="21"/>
                      <w:highlight w:val="none"/>
                      <w:vertAlign w:val="subscript"/>
                    </w:rPr>
                    <w:t>10</w:t>
                  </w:r>
                </w:p>
              </w:tc>
              <w:tc>
                <w:tcPr>
                  <w:tcW w:w="1170" w:type="pct"/>
                  <w:noWrap/>
                  <w:vAlign w:val="center"/>
                </w:tcPr>
                <w:p w14:paraId="4DE8D04F">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kern w:val="0"/>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bidi="ar-SA"/>
                    </w:rPr>
                    <w:t>年平均</w:t>
                  </w:r>
                </w:p>
              </w:tc>
              <w:tc>
                <w:tcPr>
                  <w:tcW w:w="950" w:type="pct"/>
                  <w:noWrap/>
                  <w:vAlign w:val="center"/>
                </w:tcPr>
                <w:p w14:paraId="778C4DF3">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eastAsia" w:ascii="Times New Roman" w:hAnsi="Times New Roman" w:eastAsia="宋体" w:cs="Times New Roman"/>
                      <w:color w:val="auto"/>
                      <w:spacing w:val="0"/>
                      <w:w w:val="100"/>
                      <w:position w:val="0"/>
                      <w:sz w:val="21"/>
                      <w:szCs w:val="21"/>
                      <w:highlight w:val="none"/>
                      <w:lang w:val="en-US" w:eastAsia="zh-CN"/>
                    </w:rPr>
                    <w:t>70</w:t>
                  </w:r>
                  <w:r>
                    <w:rPr>
                      <w:rFonts w:hint="default" w:ascii="Times New Roman" w:hAnsi="Times New Roman" w:eastAsia="宋体" w:cs="Times New Roman"/>
                      <w:color w:val="auto"/>
                      <w:spacing w:val="0"/>
                      <w:w w:val="100"/>
                      <w:position w:val="0"/>
                      <w:sz w:val="21"/>
                      <w:szCs w:val="21"/>
                      <w:highlight w:val="none"/>
                    </w:rPr>
                    <w:t>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32CB25BB">
                  <w:pPr>
                    <w:jc w:val="center"/>
                    <w:rPr>
                      <w:rFonts w:ascii="Times New Roman" w:hAnsi="Times New Roman"/>
                      <w:color w:val="auto"/>
                      <w:szCs w:val="21"/>
                      <w:highlight w:val="none"/>
                    </w:rPr>
                  </w:pPr>
                </w:p>
              </w:tc>
            </w:tr>
            <w:tr w14:paraId="42025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continue"/>
                  <w:noWrap/>
                  <w:vAlign w:val="center"/>
                </w:tcPr>
                <w:p w14:paraId="1C1102B8">
                  <w:pPr>
                    <w:jc w:val="center"/>
                    <w:rPr>
                      <w:rFonts w:ascii="Times New Roman" w:hAnsi="Times New Roman"/>
                      <w:color w:val="auto"/>
                      <w:szCs w:val="21"/>
                      <w:highlight w:val="none"/>
                    </w:rPr>
                  </w:pPr>
                </w:p>
              </w:tc>
              <w:tc>
                <w:tcPr>
                  <w:tcW w:w="1170" w:type="pct"/>
                  <w:noWrap/>
                  <w:vAlign w:val="center"/>
                </w:tcPr>
                <w:p w14:paraId="67C3E3F5">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kern w:val="0"/>
                      <w:szCs w:val="21"/>
                      <w:highlight w:val="none"/>
                    </w:rPr>
                  </w:pPr>
                  <w:r>
                    <w:rPr>
                      <w:rFonts w:hint="default" w:ascii="Times New Roman" w:hAnsi="Times New Roman" w:eastAsia="宋体" w:cs="Times New Roman"/>
                      <w:color w:val="auto"/>
                      <w:spacing w:val="0"/>
                      <w:w w:val="100"/>
                      <w:position w:val="0"/>
                      <w:sz w:val="21"/>
                      <w:szCs w:val="21"/>
                      <w:highlight w:val="none"/>
                    </w:rPr>
                    <w:t>24小时平均</w:t>
                  </w:r>
                </w:p>
              </w:tc>
              <w:tc>
                <w:tcPr>
                  <w:tcW w:w="950" w:type="pct"/>
                  <w:noWrap/>
                  <w:vAlign w:val="center"/>
                </w:tcPr>
                <w:p w14:paraId="6FBB0374">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150µg/Nm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5F781DFC">
                  <w:pPr>
                    <w:jc w:val="center"/>
                    <w:rPr>
                      <w:rFonts w:ascii="Times New Roman" w:hAnsi="Times New Roman"/>
                      <w:color w:val="auto"/>
                      <w:szCs w:val="21"/>
                      <w:highlight w:val="none"/>
                    </w:rPr>
                  </w:pPr>
                </w:p>
              </w:tc>
            </w:tr>
            <w:tr w14:paraId="1FB2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restart"/>
                  <w:noWrap/>
                  <w:vAlign w:val="center"/>
                </w:tcPr>
                <w:p w14:paraId="7EC9864D">
                  <w:pPr>
                    <w:jc w:val="center"/>
                    <w:rPr>
                      <w:rFonts w:ascii="Times New Roman" w:hAnsi="Times New Roman"/>
                      <w:color w:val="auto"/>
                      <w:highlight w:val="none"/>
                    </w:rPr>
                  </w:pPr>
                  <w:r>
                    <w:rPr>
                      <w:rFonts w:ascii="Times New Roman" w:hAnsi="Times New Roman"/>
                      <w:color w:val="auto"/>
                      <w:highlight w:val="none"/>
                    </w:rPr>
                    <w:t>PM</w:t>
                  </w:r>
                  <w:r>
                    <w:rPr>
                      <w:rFonts w:ascii="Times New Roman" w:hAnsi="Times New Roman"/>
                      <w:color w:val="auto"/>
                      <w:szCs w:val="21"/>
                      <w:highlight w:val="none"/>
                      <w:vertAlign w:val="subscript"/>
                    </w:rPr>
                    <w:t>2.5</w:t>
                  </w:r>
                </w:p>
              </w:tc>
              <w:tc>
                <w:tcPr>
                  <w:tcW w:w="1170" w:type="pct"/>
                  <w:noWrap/>
                  <w:vAlign w:val="center"/>
                </w:tcPr>
                <w:p w14:paraId="14322539">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kern w:val="0"/>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bidi="ar-SA"/>
                    </w:rPr>
                    <w:t>年平均</w:t>
                  </w:r>
                </w:p>
              </w:tc>
              <w:tc>
                <w:tcPr>
                  <w:tcW w:w="950" w:type="pct"/>
                  <w:noWrap/>
                  <w:vAlign w:val="center"/>
                </w:tcPr>
                <w:p w14:paraId="62CAA8E3">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eastAsia" w:ascii="Times New Roman" w:hAnsi="Times New Roman" w:eastAsia="宋体" w:cs="Times New Roman"/>
                      <w:color w:val="auto"/>
                      <w:spacing w:val="0"/>
                      <w:w w:val="100"/>
                      <w:position w:val="0"/>
                      <w:sz w:val="21"/>
                      <w:szCs w:val="21"/>
                      <w:highlight w:val="none"/>
                      <w:lang w:val="en-US" w:eastAsia="zh-CN"/>
                    </w:rPr>
                    <w:t>35</w:t>
                  </w:r>
                  <w:r>
                    <w:rPr>
                      <w:rFonts w:hint="default" w:ascii="Times New Roman" w:hAnsi="Times New Roman" w:eastAsia="宋体" w:cs="Times New Roman"/>
                      <w:color w:val="auto"/>
                      <w:spacing w:val="0"/>
                      <w:w w:val="100"/>
                      <w:position w:val="0"/>
                      <w:sz w:val="21"/>
                      <w:szCs w:val="21"/>
                      <w:highlight w:val="none"/>
                    </w:rPr>
                    <w:t>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7A440CF5">
                  <w:pPr>
                    <w:jc w:val="center"/>
                    <w:rPr>
                      <w:rFonts w:ascii="Times New Roman" w:hAnsi="Times New Roman"/>
                      <w:color w:val="auto"/>
                      <w:szCs w:val="21"/>
                      <w:highlight w:val="none"/>
                    </w:rPr>
                  </w:pPr>
                </w:p>
              </w:tc>
            </w:tr>
            <w:tr w14:paraId="7537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continue"/>
                  <w:noWrap/>
                  <w:vAlign w:val="center"/>
                </w:tcPr>
                <w:p w14:paraId="1941FE2C">
                  <w:pPr>
                    <w:jc w:val="center"/>
                    <w:rPr>
                      <w:rFonts w:ascii="Times New Roman" w:hAnsi="Times New Roman"/>
                      <w:color w:val="auto"/>
                      <w:highlight w:val="none"/>
                    </w:rPr>
                  </w:pPr>
                </w:p>
              </w:tc>
              <w:tc>
                <w:tcPr>
                  <w:tcW w:w="1170" w:type="pct"/>
                  <w:noWrap/>
                  <w:vAlign w:val="center"/>
                </w:tcPr>
                <w:p w14:paraId="3DCF2B7E">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kern w:val="0"/>
                      <w:szCs w:val="21"/>
                      <w:highlight w:val="none"/>
                    </w:rPr>
                  </w:pPr>
                  <w:r>
                    <w:rPr>
                      <w:rFonts w:hint="default" w:ascii="Times New Roman" w:hAnsi="Times New Roman" w:eastAsia="宋体" w:cs="Times New Roman"/>
                      <w:color w:val="auto"/>
                      <w:spacing w:val="0"/>
                      <w:w w:val="100"/>
                      <w:position w:val="0"/>
                      <w:sz w:val="21"/>
                      <w:szCs w:val="21"/>
                      <w:highlight w:val="none"/>
                    </w:rPr>
                    <w:t>24小时平均</w:t>
                  </w:r>
                </w:p>
              </w:tc>
              <w:tc>
                <w:tcPr>
                  <w:tcW w:w="950" w:type="pct"/>
                  <w:noWrap/>
                  <w:vAlign w:val="center"/>
                </w:tcPr>
                <w:p w14:paraId="0FB42244">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75µg/Nm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2FE778D0">
                  <w:pPr>
                    <w:jc w:val="center"/>
                    <w:rPr>
                      <w:rFonts w:ascii="Times New Roman" w:hAnsi="Times New Roman"/>
                      <w:color w:val="auto"/>
                      <w:szCs w:val="21"/>
                      <w:highlight w:val="none"/>
                    </w:rPr>
                  </w:pPr>
                </w:p>
              </w:tc>
            </w:tr>
            <w:tr w14:paraId="4E86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restart"/>
                  <w:noWrap/>
                  <w:vAlign w:val="center"/>
                </w:tcPr>
                <w:p w14:paraId="0CE29214">
                  <w:pPr>
                    <w:jc w:val="center"/>
                    <w:rPr>
                      <w:rFonts w:ascii="Times New Roman" w:hAnsi="Times New Roman"/>
                      <w:color w:val="auto"/>
                      <w:szCs w:val="21"/>
                      <w:highlight w:val="none"/>
                    </w:rPr>
                  </w:pPr>
                  <w:r>
                    <w:rPr>
                      <w:rFonts w:ascii="Times New Roman" w:hAnsi="Times New Roman"/>
                      <w:color w:val="auto"/>
                      <w:szCs w:val="21"/>
                      <w:highlight w:val="none"/>
                    </w:rPr>
                    <w:t>CO</w:t>
                  </w:r>
                </w:p>
              </w:tc>
              <w:tc>
                <w:tcPr>
                  <w:tcW w:w="1170" w:type="pct"/>
                  <w:noWrap/>
                  <w:vAlign w:val="center"/>
                </w:tcPr>
                <w:p w14:paraId="6B0AB35F">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kern w:val="0"/>
                      <w:szCs w:val="21"/>
                      <w:highlight w:val="none"/>
                    </w:rPr>
                  </w:pPr>
                  <w:r>
                    <w:rPr>
                      <w:rFonts w:hint="default" w:ascii="Times New Roman" w:hAnsi="Times New Roman" w:eastAsia="宋体" w:cs="Times New Roman"/>
                      <w:color w:val="auto"/>
                      <w:spacing w:val="0"/>
                      <w:w w:val="100"/>
                      <w:position w:val="0"/>
                      <w:sz w:val="21"/>
                      <w:szCs w:val="21"/>
                      <w:highlight w:val="none"/>
                    </w:rPr>
                    <w:t>24小时平均</w:t>
                  </w:r>
                </w:p>
              </w:tc>
              <w:tc>
                <w:tcPr>
                  <w:tcW w:w="950" w:type="pct"/>
                  <w:noWrap/>
                  <w:vAlign w:val="center"/>
                </w:tcPr>
                <w:p w14:paraId="149046DD">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4mg/m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2D3111D6">
                  <w:pPr>
                    <w:jc w:val="center"/>
                    <w:rPr>
                      <w:rFonts w:ascii="Times New Roman" w:hAnsi="Times New Roman"/>
                      <w:color w:val="auto"/>
                      <w:szCs w:val="21"/>
                      <w:highlight w:val="none"/>
                    </w:rPr>
                  </w:pPr>
                </w:p>
              </w:tc>
            </w:tr>
            <w:tr w14:paraId="276CE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continue"/>
                  <w:noWrap/>
                  <w:vAlign w:val="center"/>
                </w:tcPr>
                <w:p w14:paraId="19F58617">
                  <w:pPr>
                    <w:jc w:val="center"/>
                    <w:rPr>
                      <w:rFonts w:ascii="Times New Roman" w:hAnsi="Times New Roman"/>
                      <w:color w:val="auto"/>
                      <w:szCs w:val="21"/>
                      <w:highlight w:val="none"/>
                    </w:rPr>
                  </w:pPr>
                </w:p>
              </w:tc>
              <w:tc>
                <w:tcPr>
                  <w:tcW w:w="1170" w:type="pct"/>
                  <w:noWrap/>
                  <w:vAlign w:val="center"/>
                </w:tcPr>
                <w:p w14:paraId="245AC0DF">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kern w:val="0"/>
                      <w:szCs w:val="21"/>
                      <w:highlight w:val="none"/>
                    </w:rPr>
                  </w:pPr>
                  <w:r>
                    <w:rPr>
                      <w:rFonts w:hint="default" w:ascii="Times New Roman" w:hAnsi="Times New Roman" w:eastAsia="宋体" w:cs="Times New Roman"/>
                      <w:color w:val="auto"/>
                      <w:spacing w:val="0"/>
                      <w:w w:val="100"/>
                      <w:position w:val="0"/>
                      <w:sz w:val="21"/>
                      <w:szCs w:val="21"/>
                      <w:highlight w:val="none"/>
                    </w:rPr>
                    <w:t>1小时平均</w:t>
                  </w:r>
                </w:p>
              </w:tc>
              <w:tc>
                <w:tcPr>
                  <w:tcW w:w="950" w:type="pct"/>
                  <w:noWrap/>
                  <w:vAlign w:val="center"/>
                </w:tcPr>
                <w:p w14:paraId="0F806C01">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10mg/m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2C7D1302">
                  <w:pPr>
                    <w:jc w:val="center"/>
                    <w:rPr>
                      <w:rFonts w:ascii="Times New Roman" w:hAnsi="Times New Roman"/>
                      <w:color w:val="auto"/>
                      <w:szCs w:val="21"/>
                      <w:highlight w:val="none"/>
                    </w:rPr>
                  </w:pPr>
                </w:p>
              </w:tc>
            </w:tr>
            <w:tr w14:paraId="4C4D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restart"/>
                  <w:noWrap/>
                  <w:vAlign w:val="center"/>
                </w:tcPr>
                <w:p w14:paraId="0969DDCE">
                  <w:pPr>
                    <w:jc w:val="center"/>
                    <w:rPr>
                      <w:rFonts w:ascii="Times New Roman" w:hAnsi="Times New Roman"/>
                      <w:color w:val="auto"/>
                      <w:szCs w:val="21"/>
                      <w:highlight w:val="none"/>
                    </w:rPr>
                  </w:pPr>
                  <w:r>
                    <w:rPr>
                      <w:rFonts w:ascii="Times New Roman" w:hAnsi="Times New Roman"/>
                      <w:color w:val="auto"/>
                      <w:szCs w:val="21"/>
                      <w:highlight w:val="none"/>
                    </w:rPr>
                    <w:t>O</w:t>
                  </w:r>
                  <w:r>
                    <w:rPr>
                      <w:rFonts w:ascii="Times New Roman" w:hAnsi="Times New Roman"/>
                      <w:color w:val="auto"/>
                      <w:szCs w:val="21"/>
                      <w:highlight w:val="none"/>
                      <w:vertAlign w:val="subscript"/>
                    </w:rPr>
                    <w:t>3</w:t>
                  </w:r>
                </w:p>
              </w:tc>
              <w:tc>
                <w:tcPr>
                  <w:tcW w:w="1170" w:type="pct"/>
                  <w:noWrap/>
                  <w:vAlign w:val="center"/>
                </w:tcPr>
                <w:p w14:paraId="3D6EDADD">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kern w:val="0"/>
                      <w:szCs w:val="21"/>
                      <w:highlight w:val="none"/>
                    </w:rPr>
                  </w:pPr>
                  <w:r>
                    <w:rPr>
                      <w:rFonts w:hint="default" w:ascii="Times New Roman" w:hAnsi="Times New Roman" w:eastAsia="宋体" w:cs="Times New Roman"/>
                      <w:color w:val="auto"/>
                      <w:spacing w:val="0"/>
                      <w:w w:val="100"/>
                      <w:position w:val="0"/>
                      <w:sz w:val="21"/>
                      <w:szCs w:val="21"/>
                      <w:highlight w:val="none"/>
                    </w:rPr>
                    <w:t>日最大8小时平均</w:t>
                  </w:r>
                </w:p>
              </w:tc>
              <w:tc>
                <w:tcPr>
                  <w:tcW w:w="950" w:type="pct"/>
                  <w:noWrap/>
                  <w:vAlign w:val="center"/>
                </w:tcPr>
                <w:p w14:paraId="60CF1E82">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160µg/Nm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13D422F3">
                  <w:pPr>
                    <w:jc w:val="center"/>
                    <w:rPr>
                      <w:rFonts w:ascii="Times New Roman" w:hAnsi="Times New Roman"/>
                      <w:color w:val="auto"/>
                      <w:szCs w:val="21"/>
                      <w:highlight w:val="none"/>
                    </w:rPr>
                  </w:pPr>
                </w:p>
              </w:tc>
            </w:tr>
            <w:tr w14:paraId="4594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continue"/>
                  <w:noWrap/>
                  <w:vAlign w:val="center"/>
                </w:tcPr>
                <w:p w14:paraId="54062CA1">
                  <w:pPr>
                    <w:jc w:val="center"/>
                    <w:rPr>
                      <w:rFonts w:ascii="Times New Roman" w:hAnsi="Times New Roman"/>
                      <w:color w:val="auto"/>
                      <w:szCs w:val="21"/>
                      <w:highlight w:val="none"/>
                    </w:rPr>
                  </w:pPr>
                </w:p>
              </w:tc>
              <w:tc>
                <w:tcPr>
                  <w:tcW w:w="1170" w:type="pct"/>
                  <w:noWrap/>
                  <w:vAlign w:val="center"/>
                </w:tcPr>
                <w:p w14:paraId="0BEAF223">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kern w:val="0"/>
                      <w:szCs w:val="21"/>
                      <w:highlight w:val="none"/>
                    </w:rPr>
                  </w:pPr>
                  <w:r>
                    <w:rPr>
                      <w:rFonts w:hint="default" w:ascii="Times New Roman" w:hAnsi="Times New Roman" w:eastAsia="宋体" w:cs="Times New Roman"/>
                      <w:color w:val="auto"/>
                      <w:spacing w:val="0"/>
                      <w:w w:val="100"/>
                      <w:position w:val="0"/>
                      <w:sz w:val="21"/>
                      <w:szCs w:val="21"/>
                      <w:highlight w:val="none"/>
                    </w:rPr>
                    <w:t>1小时平均</w:t>
                  </w:r>
                </w:p>
              </w:tc>
              <w:tc>
                <w:tcPr>
                  <w:tcW w:w="950" w:type="pct"/>
                  <w:noWrap/>
                  <w:vAlign w:val="center"/>
                </w:tcPr>
                <w:p w14:paraId="4F57CD6E">
                  <w:pPr>
                    <w:pStyle w:val="5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200µg/Nm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60C01FE2">
                  <w:pPr>
                    <w:jc w:val="center"/>
                    <w:rPr>
                      <w:rFonts w:ascii="Times New Roman" w:hAnsi="Times New Roman"/>
                      <w:color w:val="auto"/>
                      <w:szCs w:val="21"/>
                      <w:highlight w:val="none"/>
                    </w:rPr>
                  </w:pPr>
                </w:p>
              </w:tc>
            </w:tr>
          </w:tbl>
          <w:p w14:paraId="09384054">
            <w:pPr>
              <w:spacing w:line="360" w:lineRule="auto"/>
              <w:ind w:firstLine="480" w:firstLineChars="200"/>
              <w:rPr>
                <w:rFonts w:ascii="Times New Roman" w:hAnsi="Times New Roman"/>
                <w:color w:val="auto"/>
              </w:rPr>
            </w:pPr>
            <w:r>
              <w:rPr>
                <w:rFonts w:hint="eastAsia" w:ascii="Times New Roman" w:hAnsi="Times New Roman"/>
                <w:color w:val="auto"/>
                <w:sz w:val="24"/>
              </w:rPr>
              <w:t>3、</w:t>
            </w:r>
            <w:r>
              <w:rPr>
                <w:rFonts w:hint="eastAsia" w:ascii="Times New Roman" w:hAnsi="Times New Roman"/>
                <w:color w:val="auto"/>
                <w:sz w:val="24"/>
                <w:lang w:val="en-US" w:eastAsia="zh-CN"/>
              </w:rPr>
              <w:t>根据《声环境功能区划分技术规范》（GB/T 15190-2014），相邻区域为1类声环境功能区，距离为50m±5m区域划分为4a类声环境功能区。本项目</w:t>
            </w:r>
            <w:r>
              <w:rPr>
                <w:rFonts w:hint="default" w:ascii="Times New Roman" w:hAnsi="Times New Roman"/>
                <w:color w:val="auto"/>
                <w:sz w:val="24"/>
                <w:lang w:val="en-US" w:eastAsia="zh-CN"/>
              </w:rPr>
              <w:t>N</w:t>
            </w:r>
            <w:r>
              <w:rPr>
                <w:rFonts w:hint="eastAsia" w:ascii="Times New Roman" w:hAnsi="Times New Roman"/>
                <w:color w:val="auto"/>
                <w:sz w:val="24"/>
                <w:lang w:val="en-US" w:eastAsia="zh-CN"/>
              </w:rPr>
              <w:t>1</w:t>
            </w:r>
            <w:r>
              <w:rPr>
                <w:rFonts w:hint="default" w:ascii="Times New Roman" w:hAnsi="Times New Roman"/>
                <w:color w:val="auto"/>
                <w:sz w:val="24"/>
              </w:rPr>
              <w:t>敏感点</w:t>
            </w:r>
            <w:r>
              <w:rPr>
                <w:rFonts w:hint="eastAsia" w:ascii="Times New Roman" w:hAnsi="Times New Roman"/>
                <w:color w:val="auto"/>
                <w:sz w:val="24"/>
                <w:lang w:val="en-US" w:eastAsia="zh-CN"/>
              </w:rPr>
              <w:t>距离S</w:t>
            </w:r>
            <w:r>
              <w:rPr>
                <w:rFonts w:hint="default" w:ascii="Times New Roman" w:hAnsi="Times New Roman" w:cs="Times New Roman"/>
                <w:color w:val="auto"/>
                <w:sz w:val="24"/>
                <w:szCs w:val="24"/>
                <w:lang w:val="en-US" w:eastAsia="zh-CN"/>
              </w:rPr>
              <w:t>312</w:t>
            </w:r>
            <w:r>
              <w:rPr>
                <w:rFonts w:hint="eastAsia" w:ascii="Times New Roman" w:hAnsi="Times New Roman" w:cs="Times New Roman"/>
                <w:color w:val="auto"/>
                <w:sz w:val="24"/>
                <w:szCs w:val="24"/>
                <w:lang w:val="en-US" w:eastAsia="zh-CN"/>
              </w:rPr>
              <w:t>（二级公路）40m</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故</w:t>
            </w:r>
            <w:r>
              <w:rPr>
                <w:rFonts w:hint="default" w:ascii="Times New Roman" w:hAnsi="Times New Roman" w:cs="Times New Roman"/>
                <w:color w:val="auto"/>
                <w:sz w:val="24"/>
                <w:szCs w:val="24"/>
                <w:lang w:val="en-US" w:eastAsia="zh-CN"/>
              </w:rPr>
              <w:t>执行</w:t>
            </w:r>
            <w:r>
              <w:rPr>
                <w:rFonts w:hint="default" w:ascii="Times New Roman" w:hAnsi="Times New Roman" w:cs="Times New Roman"/>
                <w:color w:val="auto"/>
                <w:sz w:val="24"/>
                <w:szCs w:val="24"/>
              </w:rPr>
              <w:t>《声环境质量标准》（GB3096-2008）</w:t>
            </w:r>
            <w:r>
              <w:rPr>
                <w:rFonts w:hint="default" w:ascii="Times New Roman" w:hAnsi="Times New Roman" w:cs="Times New Roman"/>
                <w:color w:val="auto"/>
                <w:sz w:val="24"/>
                <w:szCs w:val="24"/>
                <w:lang w:val="en-US" w:eastAsia="zh-CN"/>
              </w:rPr>
              <w:t>4a</w:t>
            </w:r>
            <w:r>
              <w:rPr>
                <w:rFonts w:hint="default" w:ascii="Times New Roman" w:hAnsi="Times New Roman" w:cs="Times New Roman"/>
                <w:color w:val="auto"/>
                <w:sz w:val="24"/>
                <w:szCs w:val="24"/>
              </w:rPr>
              <w:t>类标准</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其余</w:t>
            </w:r>
            <w:r>
              <w:rPr>
                <w:rFonts w:ascii="Times New Roman" w:hAnsi="Times New Roman"/>
                <w:color w:val="auto"/>
                <w:sz w:val="24"/>
              </w:rPr>
              <w:t>区域声环境执行《声环境质量标准》</w:t>
            </w:r>
            <w:r>
              <w:rPr>
                <w:rFonts w:hint="eastAsia" w:ascii="Times New Roman" w:hAnsi="Times New Roman"/>
                <w:color w:val="auto"/>
                <w:sz w:val="24"/>
                <w:lang w:eastAsia="zh-CN"/>
              </w:rPr>
              <w:t>（</w:t>
            </w:r>
            <w:r>
              <w:rPr>
                <w:rFonts w:ascii="Times New Roman" w:hAnsi="Times New Roman"/>
                <w:color w:val="auto"/>
                <w:sz w:val="24"/>
              </w:rPr>
              <w:t>GB3096-2008</w:t>
            </w:r>
            <w:r>
              <w:rPr>
                <w:rFonts w:hint="eastAsia" w:ascii="Times New Roman" w:hAnsi="Times New Roman"/>
                <w:color w:val="auto"/>
                <w:sz w:val="24"/>
                <w:lang w:eastAsia="zh-CN"/>
              </w:rPr>
              <w:t>）</w:t>
            </w:r>
            <w:r>
              <w:rPr>
                <w:rFonts w:ascii="Times New Roman" w:hAnsi="Times New Roman"/>
                <w:color w:val="auto"/>
                <w:sz w:val="24"/>
              </w:rPr>
              <w:t>1类标准</w:t>
            </w:r>
            <w:r>
              <w:rPr>
                <w:rFonts w:hint="eastAsia"/>
                <w:color w:val="auto"/>
                <w:lang w:val="en-US" w:eastAsia="zh-CN"/>
              </w:rPr>
              <w:t>。</w:t>
            </w:r>
          </w:p>
          <w:p w14:paraId="4D09A649">
            <w:pPr>
              <w:keepNext/>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color w:val="auto"/>
                <w:szCs w:val="21"/>
                <w:lang w:val="en-US" w:eastAsia="zh-CN"/>
              </w:rPr>
            </w:pPr>
            <w:r>
              <w:rPr>
                <w:rFonts w:hint="eastAsia" w:ascii="Times New Roman" w:hAnsi="Times New Roman"/>
                <w:b/>
                <w:color w:val="auto"/>
                <w:szCs w:val="21"/>
                <w:lang w:val="en-US" w:eastAsia="zh-CN"/>
              </w:rPr>
              <w:t>表3-10  声环境质量标准  单位：dB（A）</w:t>
            </w:r>
          </w:p>
          <w:tbl>
            <w:tblPr>
              <w:tblStyle w:val="2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381"/>
              <w:gridCol w:w="2700"/>
              <w:gridCol w:w="2755"/>
            </w:tblGrid>
            <w:tr w14:paraId="70CDAD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2381" w:type="dxa"/>
                  <w:noWrap w:val="0"/>
                  <w:vAlign w:val="center"/>
                </w:tcPr>
                <w:p w14:paraId="4766E32F">
                  <w:pPr>
                    <w:jc w:val="center"/>
                    <w:rPr>
                      <w:rFonts w:ascii="Times New Roman" w:hAnsi="Times New Roman"/>
                      <w:color w:val="auto"/>
                    </w:rPr>
                  </w:pPr>
                  <w:r>
                    <w:rPr>
                      <w:rFonts w:ascii="Times New Roman" w:hAnsi="Times New Roman"/>
                      <w:color w:val="auto"/>
                    </w:rPr>
                    <w:t>类别</w:t>
                  </w:r>
                </w:p>
              </w:tc>
              <w:tc>
                <w:tcPr>
                  <w:tcW w:w="2700" w:type="dxa"/>
                  <w:noWrap w:val="0"/>
                  <w:vAlign w:val="center"/>
                </w:tcPr>
                <w:p w14:paraId="45984DB9">
                  <w:pPr>
                    <w:jc w:val="center"/>
                    <w:rPr>
                      <w:rFonts w:ascii="Times New Roman" w:hAnsi="Times New Roman"/>
                      <w:color w:val="auto"/>
                    </w:rPr>
                  </w:pPr>
                  <w:r>
                    <w:rPr>
                      <w:rFonts w:ascii="Times New Roman" w:hAnsi="Times New Roman"/>
                      <w:color w:val="auto"/>
                    </w:rPr>
                    <w:t>昼间</w:t>
                  </w:r>
                </w:p>
              </w:tc>
              <w:tc>
                <w:tcPr>
                  <w:tcW w:w="2755" w:type="dxa"/>
                  <w:noWrap w:val="0"/>
                  <w:vAlign w:val="center"/>
                </w:tcPr>
                <w:p w14:paraId="57F239B3">
                  <w:pPr>
                    <w:jc w:val="center"/>
                    <w:rPr>
                      <w:rFonts w:ascii="Times New Roman" w:hAnsi="Times New Roman"/>
                      <w:color w:val="auto"/>
                    </w:rPr>
                  </w:pPr>
                  <w:r>
                    <w:rPr>
                      <w:rFonts w:ascii="Times New Roman" w:hAnsi="Times New Roman"/>
                      <w:color w:val="auto"/>
                    </w:rPr>
                    <w:t>夜间</w:t>
                  </w:r>
                </w:p>
              </w:tc>
            </w:tr>
            <w:tr w14:paraId="50159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2381" w:type="dxa"/>
                  <w:noWrap w:val="0"/>
                  <w:vAlign w:val="center"/>
                </w:tcPr>
                <w:p w14:paraId="77DC76A8">
                  <w:pPr>
                    <w:jc w:val="center"/>
                    <w:rPr>
                      <w:rFonts w:ascii="Times New Roman" w:hAnsi="Times New Roman"/>
                      <w:color w:val="auto"/>
                    </w:rPr>
                  </w:pPr>
                  <w:r>
                    <w:rPr>
                      <w:rFonts w:ascii="Times New Roman" w:hAnsi="Times New Roman"/>
                      <w:color w:val="auto"/>
                    </w:rPr>
                    <w:t>1类</w:t>
                  </w:r>
                </w:p>
              </w:tc>
              <w:tc>
                <w:tcPr>
                  <w:tcW w:w="2700" w:type="dxa"/>
                  <w:noWrap w:val="0"/>
                  <w:vAlign w:val="center"/>
                </w:tcPr>
                <w:p w14:paraId="07218150">
                  <w:pPr>
                    <w:jc w:val="center"/>
                    <w:rPr>
                      <w:rFonts w:ascii="Times New Roman" w:hAnsi="Times New Roman"/>
                      <w:color w:val="auto"/>
                    </w:rPr>
                  </w:pPr>
                  <w:r>
                    <w:rPr>
                      <w:rFonts w:ascii="Times New Roman" w:hAnsi="Times New Roman"/>
                      <w:color w:val="auto"/>
                    </w:rPr>
                    <w:t>55</w:t>
                  </w:r>
                </w:p>
              </w:tc>
              <w:tc>
                <w:tcPr>
                  <w:tcW w:w="2755" w:type="dxa"/>
                  <w:noWrap w:val="0"/>
                  <w:vAlign w:val="center"/>
                </w:tcPr>
                <w:p w14:paraId="7FF2B24C">
                  <w:pPr>
                    <w:jc w:val="center"/>
                    <w:rPr>
                      <w:rFonts w:ascii="Times New Roman" w:hAnsi="Times New Roman"/>
                      <w:color w:val="auto"/>
                    </w:rPr>
                  </w:pPr>
                  <w:r>
                    <w:rPr>
                      <w:rFonts w:ascii="Times New Roman" w:hAnsi="Times New Roman"/>
                      <w:color w:val="auto"/>
                    </w:rPr>
                    <w:t>45</w:t>
                  </w:r>
                </w:p>
              </w:tc>
            </w:tr>
            <w:tr w14:paraId="7DDD3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2381" w:type="dxa"/>
                  <w:noWrap w:val="0"/>
                  <w:vAlign w:val="center"/>
                </w:tcPr>
                <w:p w14:paraId="218AA4E4">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4a类</w:t>
                  </w:r>
                </w:p>
              </w:tc>
              <w:tc>
                <w:tcPr>
                  <w:tcW w:w="2700" w:type="dxa"/>
                  <w:noWrap w:val="0"/>
                  <w:vAlign w:val="center"/>
                </w:tcPr>
                <w:p w14:paraId="369131FC">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70</w:t>
                  </w:r>
                </w:p>
              </w:tc>
              <w:tc>
                <w:tcPr>
                  <w:tcW w:w="2755" w:type="dxa"/>
                  <w:noWrap w:val="0"/>
                  <w:vAlign w:val="center"/>
                </w:tcPr>
                <w:p w14:paraId="41469A33">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55</w:t>
                  </w:r>
                </w:p>
              </w:tc>
            </w:tr>
          </w:tbl>
          <w:p w14:paraId="7BA8355F">
            <w:pPr>
              <w:widowControl/>
              <w:spacing w:line="360" w:lineRule="auto"/>
              <w:jc w:val="left"/>
              <w:rPr>
                <w:rFonts w:ascii="Times New Roman" w:hAnsi="Times New Roman"/>
                <w:color w:val="auto"/>
              </w:rPr>
            </w:pPr>
            <w:r>
              <w:rPr>
                <w:rFonts w:ascii="Times New Roman" w:hAnsi="Times New Roman"/>
                <w:b/>
                <w:bCs/>
                <w:color w:val="auto"/>
                <w:kern w:val="0"/>
                <w:sz w:val="24"/>
                <w:lang w:bidi="ar"/>
              </w:rPr>
              <w:t>二、污染物排放标准</w:t>
            </w:r>
          </w:p>
          <w:p w14:paraId="7DE21FBC">
            <w:pPr>
              <w:spacing w:line="360" w:lineRule="auto"/>
              <w:ind w:firstLine="482" w:firstLineChars="200"/>
              <w:rPr>
                <w:rFonts w:ascii="Times New Roman" w:hAnsi="Times New Roman"/>
                <w:b/>
                <w:bCs/>
                <w:color w:val="auto"/>
                <w:sz w:val="24"/>
              </w:rPr>
            </w:pPr>
            <w:r>
              <w:rPr>
                <w:rFonts w:ascii="Times New Roman" w:hAnsi="Times New Roman"/>
                <w:b/>
                <w:bCs/>
                <w:color w:val="auto"/>
                <w:sz w:val="24"/>
              </w:rPr>
              <w:t>1、废水</w:t>
            </w:r>
          </w:p>
          <w:p w14:paraId="3D50F20F">
            <w:pPr>
              <w:spacing w:line="360" w:lineRule="auto"/>
              <w:ind w:firstLine="480" w:firstLineChars="200"/>
              <w:rPr>
                <w:rFonts w:ascii="Times New Roman" w:hAnsi="Times New Roman"/>
                <w:color w:val="auto"/>
                <w:sz w:val="24"/>
              </w:rPr>
            </w:pPr>
            <w:r>
              <w:rPr>
                <w:rFonts w:ascii="Times New Roman" w:hAnsi="Times New Roman"/>
                <w:color w:val="auto"/>
                <w:sz w:val="24"/>
              </w:rPr>
              <w:t>项目无生产性废水排放，主要为施工期人员的生活污水，</w:t>
            </w:r>
            <w:r>
              <w:rPr>
                <w:rFonts w:hint="eastAsia" w:ascii="Times New Roman" w:hAnsi="Times New Roman"/>
                <w:color w:val="auto"/>
                <w:sz w:val="24"/>
                <w:lang w:val="en-US" w:eastAsia="zh-CN"/>
              </w:rPr>
              <w:t>生活污水</w:t>
            </w:r>
            <w:r>
              <w:rPr>
                <w:rFonts w:ascii="Times New Roman" w:hAnsi="Times New Roman"/>
                <w:color w:val="auto"/>
                <w:sz w:val="24"/>
              </w:rPr>
              <w:t>经化粪池处理后，定期清掏用于当地农作物施肥。</w:t>
            </w:r>
          </w:p>
          <w:p w14:paraId="5B775ACB">
            <w:pPr>
              <w:spacing w:line="360" w:lineRule="auto"/>
              <w:ind w:firstLine="482" w:firstLineChars="200"/>
              <w:rPr>
                <w:rFonts w:ascii="Times New Roman" w:hAnsi="Times New Roman"/>
                <w:b/>
                <w:bCs/>
                <w:color w:val="auto"/>
                <w:sz w:val="24"/>
              </w:rPr>
            </w:pPr>
            <w:r>
              <w:rPr>
                <w:rFonts w:ascii="Times New Roman" w:hAnsi="Times New Roman"/>
                <w:b/>
                <w:bCs/>
                <w:color w:val="auto"/>
                <w:sz w:val="24"/>
              </w:rPr>
              <w:t>2、废气</w:t>
            </w:r>
          </w:p>
          <w:p w14:paraId="680CB6C5">
            <w:pPr>
              <w:spacing w:line="360" w:lineRule="auto"/>
              <w:ind w:firstLine="480" w:firstLineChars="200"/>
              <w:rPr>
                <w:rFonts w:ascii="Times New Roman" w:hAnsi="Times New Roman"/>
                <w:color w:val="auto"/>
                <w:sz w:val="24"/>
              </w:rPr>
            </w:pPr>
            <w:r>
              <w:rPr>
                <w:rFonts w:ascii="Times New Roman" w:hAnsi="Times New Roman" w:eastAsia="宋体" w:cs="Times New Roman"/>
                <w:color w:val="auto"/>
                <w:sz w:val="24"/>
                <w:szCs w:val="24"/>
              </w:rPr>
              <w:t>本项目施工期颗粒物执行</w:t>
            </w:r>
            <w:r>
              <w:rPr>
                <w:rFonts w:hint="eastAsia" w:ascii="Times New Roman" w:hAnsi="Times New Roman" w:eastAsia="宋体" w:cs="Times New Roman"/>
                <w:color w:val="auto"/>
                <w:sz w:val="24"/>
                <w:szCs w:val="24"/>
              </w:rPr>
              <w:t>安徽省《施工场地颗粒物排放标准》（</w:t>
            </w:r>
            <w:r>
              <w:rPr>
                <w:rFonts w:ascii="Times New Roman" w:hAnsi="Times New Roman" w:eastAsia="宋体" w:cs="Times New Roman"/>
                <w:color w:val="auto"/>
                <w:sz w:val="24"/>
                <w:szCs w:val="24"/>
              </w:rPr>
              <w:t>DB34/4811-2024</w:t>
            </w:r>
            <w:r>
              <w:rPr>
                <w:rFonts w:hint="eastAsia" w:ascii="Times New Roman" w:hAnsi="Times New Roman" w:eastAsia="宋体" w:cs="Times New Roman"/>
                <w:color w:val="auto"/>
                <w:sz w:val="24"/>
                <w:szCs w:val="24"/>
              </w:rPr>
              <w:t>）</w:t>
            </w:r>
            <w:r>
              <w:rPr>
                <w:rFonts w:hint="default" w:ascii="Times New Roman" w:hAnsi="Times New Roman" w:cs="Times New Roman"/>
                <w:color w:val="auto"/>
                <w:spacing w:val="0"/>
                <w:sz w:val="24"/>
                <w:highlight w:val="none"/>
              </w:rPr>
              <w:t>中厂界大气污染物无组织监控浓度限值</w:t>
            </w:r>
            <w:r>
              <w:rPr>
                <w:rFonts w:ascii="Times New Roman" w:hAnsi="Times New Roman" w:eastAsia="宋体" w:cs="Times New Roman"/>
                <w:color w:val="auto"/>
                <w:sz w:val="24"/>
                <w:szCs w:val="24"/>
              </w:rPr>
              <w:t>。</w:t>
            </w:r>
            <w:r>
              <w:rPr>
                <w:rFonts w:hint="eastAsia" w:ascii="Times New Roman" w:hAnsi="Times New Roman"/>
                <w:color w:val="auto"/>
                <w:sz w:val="24"/>
                <w:lang w:val="en-US" w:eastAsia="zh-CN"/>
              </w:rPr>
              <w:t>其他</w:t>
            </w:r>
            <w:r>
              <w:rPr>
                <w:rFonts w:ascii="Times New Roman" w:hAnsi="Times New Roman"/>
                <w:color w:val="auto"/>
                <w:sz w:val="24"/>
              </w:rPr>
              <w:t>废气执行《大气污染物综合排放标准》（GB16297-1996）中无组织排放监控浓度限值。具体标准值见下表。</w:t>
            </w:r>
          </w:p>
          <w:p w14:paraId="1F70E988">
            <w:pPr>
              <w:keepNext/>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color w:val="auto"/>
                <w:szCs w:val="21"/>
                <w:lang w:val="en-US" w:eastAsia="zh-CN"/>
              </w:rPr>
            </w:pPr>
            <w:r>
              <w:rPr>
                <w:rFonts w:hint="eastAsia" w:ascii="Times New Roman" w:hAnsi="Times New Roman"/>
                <w:b/>
                <w:color w:val="auto"/>
                <w:szCs w:val="21"/>
                <w:lang w:val="en-US" w:eastAsia="zh-CN"/>
              </w:rPr>
              <w:t>表3-11  安徽省《施工场地颗粒物排放标准》</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6"/>
              <w:gridCol w:w="1558"/>
              <w:gridCol w:w="2217"/>
              <w:gridCol w:w="2047"/>
            </w:tblGrid>
            <w:tr w14:paraId="6EC9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286" w:type="pct"/>
                  <w:vAlign w:val="center"/>
                </w:tcPr>
                <w:p w14:paraId="1D7F3676">
                  <w:pPr>
                    <w:jc w:val="center"/>
                    <w:rPr>
                      <w:rFonts w:ascii="Times New Roman" w:hAnsi="Times New Roman" w:cs="Times New Roman"/>
                      <w:bCs/>
                      <w:color w:val="auto"/>
                      <w:szCs w:val="21"/>
                    </w:rPr>
                  </w:pPr>
                  <w:r>
                    <w:rPr>
                      <w:rFonts w:ascii="Times New Roman" w:hAnsi="Times New Roman" w:cs="Times New Roman"/>
                      <w:bCs/>
                      <w:color w:val="auto"/>
                      <w:szCs w:val="21"/>
                    </w:rPr>
                    <w:t>污染物</w:t>
                  </w:r>
                </w:p>
              </w:tc>
              <w:tc>
                <w:tcPr>
                  <w:tcW w:w="2408" w:type="pct"/>
                  <w:gridSpan w:val="2"/>
                  <w:vAlign w:val="center"/>
                </w:tcPr>
                <w:p w14:paraId="087E0A48">
                  <w:pPr>
                    <w:jc w:val="center"/>
                    <w:rPr>
                      <w:rFonts w:ascii="Times New Roman" w:hAnsi="Times New Roman" w:cs="Times New Roman"/>
                      <w:bCs/>
                      <w:color w:val="auto"/>
                      <w:szCs w:val="21"/>
                    </w:rPr>
                  </w:pPr>
                  <w:r>
                    <w:rPr>
                      <w:rFonts w:ascii="Times New Roman" w:hAnsi="Times New Roman" w:cs="Times New Roman"/>
                      <w:bCs/>
                      <w:color w:val="auto"/>
                      <w:szCs w:val="21"/>
                    </w:rPr>
                    <w:t>监控点浓度限值（μg/m</w:t>
                  </w:r>
                  <w:r>
                    <w:rPr>
                      <w:rFonts w:ascii="Times New Roman" w:hAnsi="Times New Roman" w:cs="Times New Roman"/>
                      <w:bCs/>
                      <w:color w:val="auto"/>
                      <w:szCs w:val="21"/>
                      <w:vertAlign w:val="superscript"/>
                    </w:rPr>
                    <w:t>3</w:t>
                  </w:r>
                  <w:r>
                    <w:rPr>
                      <w:rFonts w:ascii="Times New Roman" w:hAnsi="Times New Roman" w:cs="Times New Roman"/>
                      <w:bCs/>
                      <w:color w:val="auto"/>
                      <w:szCs w:val="21"/>
                    </w:rPr>
                    <w:t>）</w:t>
                  </w:r>
                </w:p>
              </w:tc>
              <w:tc>
                <w:tcPr>
                  <w:tcW w:w="1306" w:type="pct"/>
                  <w:vAlign w:val="center"/>
                </w:tcPr>
                <w:p w14:paraId="739E6A77">
                  <w:pPr>
                    <w:jc w:val="center"/>
                    <w:rPr>
                      <w:rFonts w:ascii="Times New Roman" w:hAnsi="Times New Roman" w:cs="Times New Roman"/>
                      <w:bCs/>
                      <w:color w:val="auto"/>
                      <w:szCs w:val="21"/>
                    </w:rPr>
                  </w:pPr>
                  <w:r>
                    <w:rPr>
                      <w:rFonts w:ascii="Times New Roman" w:hAnsi="Times New Roman" w:cs="Times New Roman"/>
                      <w:bCs/>
                      <w:color w:val="auto"/>
                      <w:szCs w:val="21"/>
                    </w:rPr>
                    <w:t>备注</w:t>
                  </w:r>
                </w:p>
              </w:tc>
            </w:tr>
            <w:tr w14:paraId="1E96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286" w:type="pct"/>
                  <w:vMerge w:val="restart"/>
                  <w:vAlign w:val="center"/>
                </w:tcPr>
                <w:p w14:paraId="576C54E9">
                  <w:pPr>
                    <w:jc w:val="center"/>
                    <w:rPr>
                      <w:rFonts w:ascii="Times New Roman" w:hAnsi="Times New Roman" w:cs="Times New Roman"/>
                      <w:bCs/>
                      <w:color w:val="auto"/>
                      <w:szCs w:val="21"/>
                    </w:rPr>
                  </w:pPr>
                  <w:r>
                    <w:rPr>
                      <w:rFonts w:ascii="Times New Roman" w:hAnsi="Times New Roman" w:cs="Times New Roman"/>
                      <w:bCs/>
                      <w:color w:val="auto"/>
                      <w:szCs w:val="21"/>
                    </w:rPr>
                    <w:t>颗粒物</w:t>
                  </w:r>
                </w:p>
              </w:tc>
              <w:tc>
                <w:tcPr>
                  <w:tcW w:w="994" w:type="pct"/>
                  <w:vAlign w:val="center"/>
                </w:tcPr>
                <w:p w14:paraId="516CFCFC">
                  <w:pPr>
                    <w:jc w:val="center"/>
                    <w:rPr>
                      <w:rFonts w:ascii="Times New Roman" w:hAnsi="Times New Roman" w:cs="Times New Roman"/>
                      <w:bCs/>
                      <w:color w:val="auto"/>
                      <w:szCs w:val="21"/>
                    </w:rPr>
                  </w:pPr>
                  <w:r>
                    <w:rPr>
                      <w:rFonts w:hint="eastAsia" w:ascii="Times New Roman" w:hAnsi="Times New Roman" w:cs="Times New Roman"/>
                      <w:bCs/>
                      <w:color w:val="auto"/>
                      <w:szCs w:val="21"/>
                    </w:rPr>
                    <w:t>1000</w:t>
                  </w:r>
                </w:p>
              </w:tc>
              <w:tc>
                <w:tcPr>
                  <w:tcW w:w="1414" w:type="pct"/>
                  <w:vAlign w:val="center"/>
                </w:tcPr>
                <w:p w14:paraId="503F8E08">
                  <w:pPr>
                    <w:jc w:val="center"/>
                    <w:rPr>
                      <w:rFonts w:ascii="Times New Roman" w:hAnsi="Times New Roman" w:cs="Times New Roman"/>
                      <w:bCs/>
                      <w:color w:val="auto"/>
                      <w:szCs w:val="21"/>
                    </w:rPr>
                  </w:pPr>
                  <w:r>
                    <w:rPr>
                      <w:rFonts w:hint="eastAsia" w:ascii="Times New Roman" w:hAnsi="Times New Roman" w:cs="Times New Roman"/>
                      <w:bCs/>
                      <w:color w:val="auto"/>
                      <w:szCs w:val="21"/>
                    </w:rPr>
                    <w:t>超标次数≤1次/日</w:t>
                  </w:r>
                </w:p>
              </w:tc>
              <w:tc>
                <w:tcPr>
                  <w:tcW w:w="1306" w:type="pct"/>
                  <w:vMerge w:val="restart"/>
                  <w:vAlign w:val="center"/>
                </w:tcPr>
                <w:p w14:paraId="0A6EF0D7">
                  <w:pPr>
                    <w:jc w:val="center"/>
                    <w:rPr>
                      <w:rFonts w:ascii="Times New Roman" w:hAnsi="Times New Roman" w:cs="Times New Roman"/>
                      <w:bCs/>
                      <w:color w:val="auto"/>
                      <w:szCs w:val="21"/>
                    </w:rPr>
                  </w:pPr>
                  <w:r>
                    <w:rPr>
                      <w:rFonts w:hint="eastAsia" w:ascii="Times New Roman" w:hAnsi="Times New Roman" w:cs="Times New Roman"/>
                      <w:bCs/>
                      <w:color w:val="auto"/>
                      <w:szCs w:val="21"/>
                    </w:rPr>
                    <w:t>《施工场地颗粒物排放标准》（</w:t>
                  </w:r>
                  <w:r>
                    <w:rPr>
                      <w:rFonts w:ascii="Times New Roman" w:hAnsi="Times New Roman" w:cs="Times New Roman"/>
                      <w:bCs/>
                      <w:color w:val="auto"/>
                      <w:szCs w:val="21"/>
                    </w:rPr>
                    <w:t>DB34/4811-2024</w:t>
                  </w:r>
                  <w:r>
                    <w:rPr>
                      <w:rFonts w:hint="eastAsia" w:ascii="Times New Roman" w:hAnsi="Times New Roman" w:cs="Times New Roman"/>
                      <w:bCs/>
                      <w:color w:val="auto"/>
                      <w:szCs w:val="21"/>
                    </w:rPr>
                    <w:t>）</w:t>
                  </w:r>
                </w:p>
              </w:tc>
            </w:tr>
            <w:tr w14:paraId="1D88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86" w:type="pct"/>
                  <w:vMerge w:val="continue"/>
                  <w:vAlign w:val="center"/>
                </w:tcPr>
                <w:p w14:paraId="76E008AF">
                  <w:pPr>
                    <w:jc w:val="center"/>
                    <w:rPr>
                      <w:rFonts w:ascii="Times New Roman" w:hAnsi="Times New Roman" w:cs="Times New Roman"/>
                      <w:bCs/>
                      <w:color w:val="auto"/>
                      <w:szCs w:val="21"/>
                    </w:rPr>
                  </w:pPr>
                </w:p>
              </w:tc>
              <w:tc>
                <w:tcPr>
                  <w:tcW w:w="994" w:type="pct"/>
                  <w:vAlign w:val="center"/>
                </w:tcPr>
                <w:p w14:paraId="5E5523D3">
                  <w:pPr>
                    <w:jc w:val="center"/>
                    <w:rPr>
                      <w:rFonts w:ascii="Times New Roman" w:hAnsi="Times New Roman" w:cs="Times New Roman"/>
                      <w:bCs/>
                      <w:color w:val="auto"/>
                      <w:szCs w:val="21"/>
                    </w:rPr>
                  </w:pPr>
                  <w:r>
                    <w:rPr>
                      <w:rFonts w:hint="eastAsia" w:ascii="Times New Roman" w:hAnsi="Times New Roman" w:cs="Times New Roman"/>
                      <w:bCs/>
                      <w:color w:val="auto"/>
                      <w:szCs w:val="21"/>
                    </w:rPr>
                    <w:t>500</w:t>
                  </w:r>
                </w:p>
              </w:tc>
              <w:tc>
                <w:tcPr>
                  <w:tcW w:w="1414" w:type="pct"/>
                  <w:vAlign w:val="center"/>
                </w:tcPr>
                <w:p w14:paraId="25F2EB43">
                  <w:pPr>
                    <w:jc w:val="center"/>
                    <w:rPr>
                      <w:rFonts w:ascii="Times New Roman" w:hAnsi="Times New Roman" w:cs="Times New Roman"/>
                      <w:bCs/>
                      <w:color w:val="auto"/>
                      <w:szCs w:val="21"/>
                    </w:rPr>
                  </w:pPr>
                  <w:r>
                    <w:rPr>
                      <w:rFonts w:hint="eastAsia" w:ascii="Times New Roman" w:hAnsi="Times New Roman" w:cs="Times New Roman"/>
                      <w:bCs/>
                      <w:color w:val="auto"/>
                      <w:szCs w:val="21"/>
                    </w:rPr>
                    <w:t>超标次数≤6次/日</w:t>
                  </w:r>
                </w:p>
              </w:tc>
              <w:tc>
                <w:tcPr>
                  <w:tcW w:w="1306" w:type="pct"/>
                  <w:vMerge w:val="continue"/>
                  <w:vAlign w:val="center"/>
                </w:tcPr>
                <w:p w14:paraId="59ED3D1B">
                  <w:pPr>
                    <w:jc w:val="center"/>
                    <w:rPr>
                      <w:rFonts w:ascii="Times New Roman" w:hAnsi="Times New Roman" w:cs="Times New Roman"/>
                      <w:bCs/>
                      <w:color w:val="auto"/>
                      <w:szCs w:val="21"/>
                    </w:rPr>
                  </w:pPr>
                </w:p>
              </w:tc>
            </w:tr>
          </w:tbl>
          <w:p w14:paraId="1282DCB0">
            <w:pPr>
              <w:keepNext/>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color w:val="auto"/>
                <w:szCs w:val="21"/>
                <w:lang w:val="en-US" w:eastAsia="zh-CN"/>
              </w:rPr>
            </w:pPr>
            <w:r>
              <w:rPr>
                <w:rFonts w:hint="eastAsia" w:ascii="Times New Roman" w:hAnsi="Times New Roman"/>
                <w:b/>
                <w:color w:val="auto"/>
                <w:szCs w:val="21"/>
                <w:lang w:val="en-US" w:eastAsia="zh-CN"/>
              </w:rPr>
              <w:t>表3-12  大气污染物综合排放标准</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79"/>
              <w:gridCol w:w="2566"/>
              <w:gridCol w:w="1151"/>
              <w:gridCol w:w="2146"/>
            </w:tblGrid>
            <w:tr w14:paraId="2B8D00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1979" w:type="dxa"/>
                  <w:vMerge w:val="restart"/>
                  <w:noWrap w:val="0"/>
                  <w:vAlign w:val="center"/>
                </w:tcPr>
                <w:p w14:paraId="147FE431">
                  <w:pPr>
                    <w:jc w:val="center"/>
                    <w:rPr>
                      <w:rFonts w:ascii="Times New Roman" w:hAnsi="Times New Roman"/>
                      <w:bCs/>
                      <w:color w:val="auto"/>
                      <w:szCs w:val="21"/>
                    </w:rPr>
                  </w:pPr>
                  <w:r>
                    <w:rPr>
                      <w:rFonts w:ascii="Times New Roman" w:hAnsi="Times New Roman"/>
                      <w:bCs/>
                      <w:color w:val="auto"/>
                      <w:szCs w:val="21"/>
                    </w:rPr>
                    <w:t>污染物</w:t>
                  </w:r>
                </w:p>
              </w:tc>
              <w:tc>
                <w:tcPr>
                  <w:tcW w:w="3717" w:type="dxa"/>
                  <w:gridSpan w:val="2"/>
                  <w:noWrap w:val="0"/>
                  <w:vAlign w:val="center"/>
                </w:tcPr>
                <w:p w14:paraId="508ADF91">
                  <w:pPr>
                    <w:jc w:val="center"/>
                    <w:rPr>
                      <w:rFonts w:ascii="Times New Roman" w:hAnsi="Times New Roman"/>
                      <w:bCs/>
                      <w:color w:val="auto"/>
                      <w:szCs w:val="21"/>
                    </w:rPr>
                  </w:pPr>
                  <w:r>
                    <w:rPr>
                      <w:rFonts w:ascii="Times New Roman" w:hAnsi="Times New Roman"/>
                      <w:bCs/>
                      <w:color w:val="auto"/>
                      <w:szCs w:val="21"/>
                    </w:rPr>
                    <w:t>无组织排放监控浓度限值（mg/m</w:t>
                  </w:r>
                  <w:r>
                    <w:rPr>
                      <w:rFonts w:ascii="Times New Roman" w:hAnsi="Times New Roman"/>
                      <w:bCs/>
                      <w:color w:val="auto"/>
                      <w:szCs w:val="21"/>
                      <w:vertAlign w:val="superscript"/>
                    </w:rPr>
                    <w:t>3</w:t>
                  </w:r>
                  <w:r>
                    <w:rPr>
                      <w:rFonts w:ascii="Times New Roman" w:hAnsi="Times New Roman"/>
                      <w:bCs/>
                      <w:color w:val="auto"/>
                      <w:szCs w:val="21"/>
                    </w:rPr>
                    <w:t>）</w:t>
                  </w:r>
                </w:p>
              </w:tc>
              <w:tc>
                <w:tcPr>
                  <w:tcW w:w="2146" w:type="dxa"/>
                  <w:vMerge w:val="restart"/>
                  <w:noWrap w:val="0"/>
                  <w:vAlign w:val="center"/>
                </w:tcPr>
                <w:p w14:paraId="5484380D">
                  <w:pPr>
                    <w:jc w:val="center"/>
                    <w:rPr>
                      <w:rFonts w:ascii="Times New Roman" w:hAnsi="Times New Roman"/>
                      <w:color w:val="auto"/>
                      <w:szCs w:val="21"/>
                    </w:rPr>
                  </w:pPr>
                  <w:r>
                    <w:rPr>
                      <w:rFonts w:ascii="Times New Roman" w:hAnsi="Times New Roman"/>
                      <w:color w:val="auto"/>
                      <w:szCs w:val="21"/>
                    </w:rPr>
                    <w:t>备注</w:t>
                  </w:r>
                </w:p>
              </w:tc>
            </w:tr>
            <w:tr w14:paraId="1E96BC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8" w:hRule="atLeast"/>
                <w:jc w:val="center"/>
              </w:trPr>
              <w:tc>
                <w:tcPr>
                  <w:tcW w:w="1979" w:type="dxa"/>
                  <w:vMerge w:val="continue"/>
                  <w:noWrap w:val="0"/>
                  <w:vAlign w:val="center"/>
                </w:tcPr>
                <w:p w14:paraId="15176D10">
                  <w:pPr>
                    <w:jc w:val="center"/>
                    <w:rPr>
                      <w:rFonts w:ascii="Times New Roman" w:hAnsi="Times New Roman"/>
                      <w:color w:val="auto"/>
                      <w:szCs w:val="21"/>
                    </w:rPr>
                  </w:pPr>
                </w:p>
              </w:tc>
              <w:tc>
                <w:tcPr>
                  <w:tcW w:w="2566" w:type="dxa"/>
                  <w:noWrap w:val="0"/>
                  <w:vAlign w:val="center"/>
                </w:tcPr>
                <w:p w14:paraId="4FD58E77">
                  <w:pPr>
                    <w:jc w:val="center"/>
                    <w:rPr>
                      <w:rFonts w:ascii="Times New Roman" w:hAnsi="Times New Roman"/>
                      <w:bCs/>
                      <w:color w:val="auto"/>
                      <w:szCs w:val="21"/>
                    </w:rPr>
                  </w:pPr>
                  <w:r>
                    <w:rPr>
                      <w:rFonts w:ascii="Times New Roman" w:hAnsi="Times New Roman"/>
                      <w:bCs/>
                      <w:color w:val="auto"/>
                      <w:szCs w:val="21"/>
                    </w:rPr>
                    <w:t>监控点</w:t>
                  </w:r>
                </w:p>
              </w:tc>
              <w:tc>
                <w:tcPr>
                  <w:tcW w:w="1151" w:type="dxa"/>
                  <w:noWrap w:val="0"/>
                  <w:vAlign w:val="center"/>
                </w:tcPr>
                <w:p w14:paraId="24020574">
                  <w:pPr>
                    <w:jc w:val="center"/>
                    <w:rPr>
                      <w:rFonts w:ascii="Times New Roman" w:hAnsi="Times New Roman"/>
                      <w:bCs/>
                      <w:color w:val="auto"/>
                      <w:szCs w:val="21"/>
                    </w:rPr>
                  </w:pPr>
                  <w:r>
                    <w:rPr>
                      <w:rFonts w:ascii="Times New Roman" w:hAnsi="Times New Roman"/>
                      <w:bCs/>
                      <w:color w:val="auto"/>
                      <w:szCs w:val="21"/>
                    </w:rPr>
                    <w:t>浓度</w:t>
                  </w:r>
                </w:p>
              </w:tc>
              <w:tc>
                <w:tcPr>
                  <w:tcW w:w="2146" w:type="dxa"/>
                  <w:vMerge w:val="continue"/>
                  <w:noWrap w:val="0"/>
                  <w:vAlign w:val="center"/>
                </w:tcPr>
                <w:p w14:paraId="0A9C16E5">
                  <w:pPr>
                    <w:jc w:val="center"/>
                    <w:rPr>
                      <w:rFonts w:ascii="Times New Roman" w:hAnsi="Times New Roman"/>
                      <w:color w:val="auto"/>
                      <w:szCs w:val="21"/>
                    </w:rPr>
                  </w:pPr>
                </w:p>
              </w:tc>
            </w:tr>
            <w:tr w14:paraId="0FA0A0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1979" w:type="dxa"/>
                  <w:noWrap w:val="0"/>
                  <w:vAlign w:val="center"/>
                </w:tcPr>
                <w:p w14:paraId="14609765">
                  <w:pPr>
                    <w:jc w:val="center"/>
                    <w:rPr>
                      <w:rFonts w:ascii="Times New Roman" w:hAnsi="Times New Roman"/>
                      <w:color w:val="auto"/>
                      <w:szCs w:val="21"/>
                    </w:rPr>
                  </w:pPr>
                  <w:r>
                    <w:rPr>
                      <w:rFonts w:ascii="Times New Roman" w:hAnsi="Times New Roman"/>
                      <w:color w:val="auto"/>
                      <w:szCs w:val="21"/>
                    </w:rPr>
                    <w:t>SO</w:t>
                  </w:r>
                  <w:r>
                    <w:rPr>
                      <w:rFonts w:ascii="Times New Roman" w:hAnsi="Times New Roman"/>
                      <w:color w:val="auto"/>
                      <w:szCs w:val="21"/>
                      <w:vertAlign w:val="subscript"/>
                    </w:rPr>
                    <w:t>2</w:t>
                  </w:r>
                </w:p>
              </w:tc>
              <w:tc>
                <w:tcPr>
                  <w:tcW w:w="2566" w:type="dxa"/>
                  <w:vMerge w:val="restart"/>
                  <w:noWrap w:val="0"/>
                  <w:vAlign w:val="center"/>
                </w:tcPr>
                <w:p w14:paraId="738D1C5F">
                  <w:pPr>
                    <w:jc w:val="center"/>
                    <w:rPr>
                      <w:rFonts w:ascii="Times New Roman" w:hAnsi="Times New Roman"/>
                      <w:color w:val="auto"/>
                      <w:szCs w:val="21"/>
                    </w:rPr>
                  </w:pPr>
                  <w:r>
                    <w:rPr>
                      <w:rFonts w:ascii="Times New Roman" w:hAnsi="Times New Roman"/>
                      <w:color w:val="auto"/>
                      <w:szCs w:val="21"/>
                    </w:rPr>
                    <w:t>周界外浓度最高点</w:t>
                  </w:r>
                </w:p>
              </w:tc>
              <w:tc>
                <w:tcPr>
                  <w:tcW w:w="1151" w:type="dxa"/>
                  <w:noWrap w:val="0"/>
                  <w:vAlign w:val="center"/>
                </w:tcPr>
                <w:p w14:paraId="0E9B7C98">
                  <w:pPr>
                    <w:jc w:val="center"/>
                    <w:rPr>
                      <w:rFonts w:ascii="Times New Roman" w:hAnsi="Times New Roman"/>
                      <w:color w:val="auto"/>
                      <w:szCs w:val="21"/>
                    </w:rPr>
                  </w:pPr>
                  <w:r>
                    <w:rPr>
                      <w:rFonts w:ascii="Times New Roman" w:hAnsi="Times New Roman"/>
                      <w:color w:val="auto"/>
                      <w:szCs w:val="21"/>
                    </w:rPr>
                    <w:t>0.40</w:t>
                  </w:r>
                </w:p>
              </w:tc>
              <w:tc>
                <w:tcPr>
                  <w:tcW w:w="2146" w:type="dxa"/>
                  <w:vMerge w:val="restart"/>
                  <w:noWrap w:val="0"/>
                  <w:vAlign w:val="center"/>
                </w:tcPr>
                <w:p w14:paraId="091DF86F">
                  <w:pPr>
                    <w:jc w:val="center"/>
                    <w:rPr>
                      <w:rFonts w:ascii="Times New Roman" w:hAnsi="Times New Roman"/>
                      <w:color w:val="auto"/>
                      <w:szCs w:val="21"/>
                    </w:rPr>
                  </w:pPr>
                  <w:r>
                    <w:rPr>
                      <w:rFonts w:ascii="Times New Roman" w:hAnsi="Times New Roman"/>
                      <w:color w:val="auto"/>
                      <w:szCs w:val="21"/>
                    </w:rPr>
                    <w:t>《大气污染物综合排放标准》（GB16297-1996）</w:t>
                  </w:r>
                </w:p>
              </w:tc>
            </w:tr>
            <w:tr w14:paraId="62BF56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1979" w:type="dxa"/>
                  <w:noWrap w:val="0"/>
                  <w:vAlign w:val="center"/>
                </w:tcPr>
                <w:p w14:paraId="00570D84">
                  <w:pPr>
                    <w:jc w:val="center"/>
                    <w:rPr>
                      <w:rFonts w:ascii="Times New Roman" w:hAnsi="Times New Roman"/>
                      <w:color w:val="auto"/>
                      <w:szCs w:val="21"/>
                      <w:vertAlign w:val="subscript"/>
                    </w:rPr>
                  </w:pPr>
                  <w:r>
                    <w:rPr>
                      <w:rFonts w:ascii="Times New Roman" w:hAnsi="Times New Roman"/>
                      <w:color w:val="auto"/>
                      <w:szCs w:val="21"/>
                    </w:rPr>
                    <w:t>NO</w:t>
                  </w:r>
                  <w:r>
                    <w:rPr>
                      <w:rFonts w:ascii="Times New Roman" w:hAnsi="Times New Roman"/>
                      <w:color w:val="auto"/>
                      <w:szCs w:val="21"/>
                      <w:vertAlign w:val="subscript"/>
                    </w:rPr>
                    <w:t>x</w:t>
                  </w:r>
                </w:p>
              </w:tc>
              <w:tc>
                <w:tcPr>
                  <w:tcW w:w="2566" w:type="dxa"/>
                  <w:vMerge w:val="continue"/>
                  <w:noWrap w:val="0"/>
                  <w:vAlign w:val="center"/>
                </w:tcPr>
                <w:p w14:paraId="6E8DE3B6">
                  <w:pPr>
                    <w:jc w:val="center"/>
                    <w:rPr>
                      <w:rFonts w:ascii="Times New Roman" w:hAnsi="Times New Roman"/>
                      <w:color w:val="auto"/>
                      <w:szCs w:val="21"/>
                    </w:rPr>
                  </w:pPr>
                </w:p>
              </w:tc>
              <w:tc>
                <w:tcPr>
                  <w:tcW w:w="1151" w:type="dxa"/>
                  <w:noWrap w:val="0"/>
                  <w:vAlign w:val="center"/>
                </w:tcPr>
                <w:p w14:paraId="16610B88">
                  <w:pPr>
                    <w:jc w:val="center"/>
                    <w:rPr>
                      <w:rFonts w:ascii="Times New Roman" w:hAnsi="Times New Roman"/>
                      <w:color w:val="auto"/>
                      <w:szCs w:val="21"/>
                    </w:rPr>
                  </w:pPr>
                  <w:r>
                    <w:rPr>
                      <w:rFonts w:ascii="Times New Roman" w:hAnsi="Times New Roman"/>
                      <w:color w:val="auto"/>
                      <w:szCs w:val="21"/>
                    </w:rPr>
                    <w:t>0.12</w:t>
                  </w:r>
                </w:p>
              </w:tc>
              <w:tc>
                <w:tcPr>
                  <w:tcW w:w="2146" w:type="dxa"/>
                  <w:vMerge w:val="continue"/>
                  <w:noWrap w:val="0"/>
                  <w:vAlign w:val="center"/>
                </w:tcPr>
                <w:p w14:paraId="038AC72E">
                  <w:pPr>
                    <w:jc w:val="center"/>
                    <w:rPr>
                      <w:rFonts w:ascii="Times New Roman" w:hAnsi="Times New Roman"/>
                      <w:color w:val="auto"/>
                      <w:szCs w:val="21"/>
                    </w:rPr>
                  </w:pPr>
                </w:p>
              </w:tc>
            </w:tr>
          </w:tbl>
          <w:p w14:paraId="5EB83E6F">
            <w:pPr>
              <w:spacing w:line="360" w:lineRule="auto"/>
              <w:ind w:firstLine="482" w:firstLineChars="200"/>
              <w:rPr>
                <w:rFonts w:ascii="Times New Roman" w:hAnsi="Times New Roman"/>
                <w:b/>
                <w:bCs/>
                <w:color w:val="auto"/>
                <w:sz w:val="24"/>
              </w:rPr>
            </w:pPr>
            <w:r>
              <w:rPr>
                <w:rFonts w:ascii="Times New Roman" w:hAnsi="Times New Roman"/>
                <w:b/>
                <w:bCs/>
                <w:color w:val="auto"/>
                <w:sz w:val="24"/>
              </w:rPr>
              <w:t>3、噪声</w:t>
            </w:r>
          </w:p>
          <w:p w14:paraId="4BAF9A1F">
            <w:pPr>
              <w:spacing w:line="360" w:lineRule="auto"/>
              <w:ind w:firstLine="480" w:firstLineChars="200"/>
              <w:rPr>
                <w:rFonts w:ascii="Times New Roman" w:hAnsi="Times New Roman"/>
                <w:sz w:val="24"/>
              </w:rPr>
            </w:pPr>
            <w:r>
              <w:rPr>
                <w:rFonts w:ascii="Times New Roman" w:hAnsi="Times New Roman"/>
                <w:sz w:val="24"/>
              </w:rPr>
              <w:t>本项目实施是为了采掘面瓦斯抽采预先进行的钻前工程、钻井工程、复垦工程。</w:t>
            </w:r>
            <w:r>
              <w:rPr>
                <w:rFonts w:ascii="Times New Roman" w:hAnsi="Times New Roman"/>
                <w:color w:val="auto"/>
                <w:sz w:val="24"/>
              </w:rPr>
              <w:t>本项目的实施是</w:t>
            </w:r>
            <w:r>
              <w:rPr>
                <w:rFonts w:hint="eastAsia" w:ascii="Times New Roman" w:hAnsi="Times New Roman"/>
                <w:color w:val="auto"/>
                <w:sz w:val="24"/>
              </w:rPr>
              <w:t>为了优化煤矿采掘接续，满足矿井建设、生产的需求，本项目无运营期。</w:t>
            </w:r>
            <w:r>
              <w:rPr>
                <w:rFonts w:ascii="Times New Roman" w:hAnsi="Times New Roman"/>
                <w:color w:val="auto"/>
                <w:sz w:val="24"/>
              </w:rPr>
              <w:t>施工期</w:t>
            </w:r>
            <w:r>
              <w:rPr>
                <w:rFonts w:ascii="Times New Roman" w:hAnsi="Times New Roman"/>
                <w:sz w:val="24"/>
              </w:rPr>
              <w:t>噪声执行《建筑施工场界环境噪声排放标准》（GB12523‐2011）中标准限值，具体标准见下表：</w:t>
            </w:r>
          </w:p>
          <w:p w14:paraId="23817607">
            <w:pPr>
              <w:keepNext/>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color w:val="auto"/>
                <w:szCs w:val="21"/>
                <w:lang w:val="en-US" w:eastAsia="zh-CN"/>
              </w:rPr>
            </w:pPr>
            <w:r>
              <w:rPr>
                <w:rFonts w:hint="eastAsia" w:ascii="Times New Roman" w:hAnsi="Times New Roman"/>
                <w:b/>
                <w:color w:val="auto"/>
                <w:szCs w:val="21"/>
                <w:lang w:val="en-US" w:eastAsia="zh-CN"/>
              </w:rPr>
              <w:t>表3-13  建筑施工场界环境噪声排放标准  单位： dB(A)</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74"/>
              <w:gridCol w:w="2016"/>
              <w:gridCol w:w="2016"/>
            </w:tblGrid>
            <w:tr w14:paraId="77C0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atLeast"/>
                <w:jc w:val="center"/>
              </w:trPr>
              <w:tc>
                <w:tcPr>
                  <w:tcW w:w="3774" w:type="dxa"/>
                  <w:tcBorders>
                    <w:tl2br w:val="nil"/>
                    <w:tr2bl w:val="nil"/>
                  </w:tcBorders>
                  <w:noWrap/>
                  <w:vAlign w:val="center"/>
                </w:tcPr>
                <w:p w14:paraId="429B2ED8">
                  <w:pPr>
                    <w:jc w:val="center"/>
                    <w:rPr>
                      <w:rFonts w:ascii="Times New Roman" w:hAnsi="Times New Roman"/>
                      <w:bCs/>
                      <w:color w:val="auto"/>
                      <w:szCs w:val="21"/>
                      <w:highlight w:val="none"/>
                    </w:rPr>
                  </w:pPr>
                  <w:r>
                    <w:rPr>
                      <w:rFonts w:ascii="Times New Roman" w:hAnsi="Times New Roman"/>
                      <w:bCs/>
                      <w:color w:val="auto"/>
                      <w:szCs w:val="21"/>
                      <w:highlight w:val="none"/>
                    </w:rPr>
                    <w:t>标准类别</w:t>
                  </w:r>
                </w:p>
              </w:tc>
              <w:tc>
                <w:tcPr>
                  <w:tcW w:w="2016" w:type="dxa"/>
                  <w:tcBorders>
                    <w:tl2br w:val="nil"/>
                    <w:tr2bl w:val="nil"/>
                  </w:tcBorders>
                  <w:noWrap/>
                  <w:vAlign w:val="center"/>
                </w:tcPr>
                <w:p w14:paraId="6E3F5477">
                  <w:pPr>
                    <w:jc w:val="center"/>
                    <w:rPr>
                      <w:rFonts w:ascii="Times New Roman" w:hAnsi="Times New Roman"/>
                      <w:bCs/>
                      <w:color w:val="auto"/>
                      <w:szCs w:val="21"/>
                      <w:highlight w:val="none"/>
                    </w:rPr>
                  </w:pPr>
                  <w:r>
                    <w:rPr>
                      <w:rFonts w:ascii="Times New Roman" w:hAnsi="Times New Roman"/>
                      <w:bCs/>
                      <w:color w:val="auto"/>
                      <w:szCs w:val="21"/>
                      <w:highlight w:val="none"/>
                    </w:rPr>
                    <w:t>昼间</w:t>
                  </w:r>
                </w:p>
              </w:tc>
              <w:tc>
                <w:tcPr>
                  <w:tcW w:w="2016" w:type="dxa"/>
                  <w:tcBorders>
                    <w:tl2br w:val="nil"/>
                    <w:tr2bl w:val="nil"/>
                  </w:tcBorders>
                  <w:noWrap/>
                  <w:vAlign w:val="center"/>
                </w:tcPr>
                <w:p w14:paraId="25C3DD7B">
                  <w:pPr>
                    <w:jc w:val="center"/>
                    <w:rPr>
                      <w:rFonts w:ascii="Times New Roman" w:hAnsi="Times New Roman"/>
                      <w:bCs/>
                      <w:color w:val="auto"/>
                      <w:szCs w:val="21"/>
                      <w:highlight w:val="none"/>
                    </w:rPr>
                  </w:pPr>
                  <w:r>
                    <w:rPr>
                      <w:rFonts w:ascii="Times New Roman" w:hAnsi="Times New Roman"/>
                      <w:bCs/>
                      <w:color w:val="auto"/>
                      <w:szCs w:val="21"/>
                      <w:highlight w:val="none"/>
                    </w:rPr>
                    <w:t>夜间</w:t>
                  </w:r>
                </w:p>
              </w:tc>
            </w:tr>
            <w:tr w14:paraId="67C88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774" w:type="dxa"/>
                  <w:tcBorders>
                    <w:tl2br w:val="nil"/>
                    <w:tr2bl w:val="nil"/>
                  </w:tcBorders>
                  <w:noWrap/>
                  <w:vAlign w:val="center"/>
                </w:tcPr>
                <w:p w14:paraId="509FED04">
                  <w:pPr>
                    <w:jc w:val="center"/>
                    <w:rPr>
                      <w:rFonts w:ascii="Times New Roman" w:hAnsi="Times New Roman"/>
                      <w:bCs/>
                      <w:color w:val="auto"/>
                      <w:szCs w:val="21"/>
                      <w:highlight w:val="none"/>
                    </w:rPr>
                  </w:pPr>
                  <w:r>
                    <w:rPr>
                      <w:rFonts w:ascii="Times New Roman" w:hAnsi="Times New Roman"/>
                      <w:bCs/>
                      <w:color w:val="auto"/>
                      <w:szCs w:val="21"/>
                      <w:highlight w:val="none"/>
                    </w:rPr>
                    <w:t>《建筑施工场界环境噪声排放标准》（GB12523‐2011）</w:t>
                  </w:r>
                </w:p>
              </w:tc>
              <w:tc>
                <w:tcPr>
                  <w:tcW w:w="2016" w:type="dxa"/>
                  <w:tcBorders>
                    <w:tl2br w:val="nil"/>
                    <w:tr2bl w:val="nil"/>
                  </w:tcBorders>
                  <w:noWrap/>
                  <w:vAlign w:val="center"/>
                </w:tcPr>
                <w:p w14:paraId="54D58CFA">
                  <w:pPr>
                    <w:jc w:val="center"/>
                    <w:rPr>
                      <w:rFonts w:ascii="Times New Roman" w:hAnsi="Times New Roman"/>
                      <w:bCs/>
                      <w:color w:val="auto"/>
                      <w:szCs w:val="21"/>
                      <w:highlight w:val="none"/>
                    </w:rPr>
                  </w:pPr>
                  <w:r>
                    <w:rPr>
                      <w:rFonts w:ascii="Times New Roman" w:hAnsi="Times New Roman"/>
                      <w:bCs/>
                      <w:color w:val="auto"/>
                      <w:szCs w:val="21"/>
                      <w:highlight w:val="none"/>
                    </w:rPr>
                    <w:t>70</w:t>
                  </w:r>
                </w:p>
              </w:tc>
              <w:tc>
                <w:tcPr>
                  <w:tcW w:w="2016" w:type="dxa"/>
                  <w:tcBorders>
                    <w:tl2br w:val="nil"/>
                    <w:tr2bl w:val="nil"/>
                  </w:tcBorders>
                  <w:noWrap/>
                  <w:vAlign w:val="center"/>
                </w:tcPr>
                <w:p w14:paraId="01990454">
                  <w:pPr>
                    <w:jc w:val="center"/>
                    <w:rPr>
                      <w:rFonts w:ascii="Times New Roman" w:hAnsi="Times New Roman"/>
                      <w:bCs/>
                      <w:color w:val="auto"/>
                      <w:szCs w:val="21"/>
                      <w:highlight w:val="none"/>
                    </w:rPr>
                  </w:pPr>
                  <w:r>
                    <w:rPr>
                      <w:rFonts w:ascii="Times New Roman" w:hAnsi="Times New Roman"/>
                      <w:bCs/>
                      <w:color w:val="auto"/>
                      <w:szCs w:val="21"/>
                      <w:highlight w:val="none"/>
                    </w:rPr>
                    <w:t>55</w:t>
                  </w:r>
                </w:p>
              </w:tc>
            </w:tr>
          </w:tbl>
          <w:p w14:paraId="60460868">
            <w:pPr>
              <w:spacing w:line="360" w:lineRule="auto"/>
              <w:ind w:firstLine="482" w:firstLineChars="200"/>
              <w:rPr>
                <w:rFonts w:ascii="Times New Roman" w:hAnsi="Times New Roman"/>
                <w:b/>
                <w:bCs/>
                <w:color w:val="auto"/>
                <w:sz w:val="24"/>
                <w:highlight w:val="none"/>
              </w:rPr>
            </w:pPr>
            <w:r>
              <w:rPr>
                <w:rFonts w:ascii="Times New Roman" w:hAnsi="Times New Roman"/>
                <w:b/>
                <w:bCs/>
                <w:color w:val="auto"/>
                <w:sz w:val="24"/>
                <w:highlight w:val="none"/>
              </w:rPr>
              <w:t>4、固体废物</w:t>
            </w:r>
          </w:p>
          <w:p w14:paraId="1CB2A868">
            <w:pPr>
              <w:pStyle w:val="28"/>
              <w:adjustRightInd/>
              <w:spacing w:line="360" w:lineRule="auto"/>
              <w:ind w:firstLine="480" w:firstLineChars="200"/>
              <w:jc w:val="both"/>
              <w:rPr>
                <w:rFonts w:ascii="Times New Roman" w:hAnsi="Times New Roman"/>
                <w:color w:val="auto"/>
                <w:kern w:val="0"/>
                <w:szCs w:val="21"/>
              </w:rPr>
            </w:pPr>
            <w:r>
              <w:rPr>
                <w:rFonts w:ascii="Times New Roman" w:hAnsi="Times New Roman"/>
                <w:color w:val="auto"/>
                <w:highlight w:val="none"/>
              </w:rPr>
              <w:t>一般工业固废执行《一般工业固体废物贮存和填埋污染控制标准》（GB 18599-2020）</w:t>
            </w:r>
            <w:r>
              <w:rPr>
                <w:rFonts w:hint="eastAsia" w:ascii="Times New Roman" w:hAnsi="Times New Roman"/>
                <w:color w:val="auto"/>
                <w:highlight w:val="none"/>
              </w:rPr>
              <w:t>、《中华人民共和国固体废弃物污染环境防治法》</w:t>
            </w:r>
            <w:r>
              <w:rPr>
                <w:rFonts w:ascii="Times New Roman" w:hAnsi="Times New Roman"/>
                <w:color w:val="auto"/>
                <w:highlight w:val="none"/>
              </w:rPr>
              <w:t>；危险废物暂存执行《危险废物贮存污染控制标准》（GB18597-2023）和《中华人民共和国固体废弃物污染环境防治法》中的有关规定。</w:t>
            </w:r>
          </w:p>
        </w:tc>
      </w:tr>
      <w:tr w14:paraId="459074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54" w:hRule="atLeast"/>
          <w:jc w:val="center"/>
        </w:trPr>
        <w:tc>
          <w:tcPr>
            <w:tcW w:w="454" w:type="dxa"/>
            <w:noWrap w:val="0"/>
            <w:vAlign w:val="center"/>
          </w:tcPr>
          <w:p w14:paraId="305B94D4">
            <w:pPr>
              <w:adjustRightInd w:val="0"/>
              <w:snapToGrid w:val="0"/>
              <w:jc w:val="center"/>
              <w:rPr>
                <w:rFonts w:ascii="Times New Roman" w:hAnsi="Times New Roman"/>
                <w:color w:val="auto"/>
                <w:kern w:val="0"/>
                <w:sz w:val="24"/>
              </w:rPr>
            </w:pPr>
            <w:r>
              <w:rPr>
                <w:rFonts w:ascii="Times New Roman" w:hAnsi="Times New Roman"/>
                <w:color w:val="auto"/>
                <w:kern w:val="0"/>
                <w:sz w:val="24"/>
              </w:rPr>
              <w:t>其他</w:t>
            </w:r>
          </w:p>
        </w:tc>
        <w:tc>
          <w:tcPr>
            <w:tcW w:w="8068" w:type="dxa"/>
            <w:noWrap w:val="0"/>
            <w:vAlign w:val="center"/>
          </w:tcPr>
          <w:p w14:paraId="55F52DE5">
            <w:pPr>
              <w:spacing w:line="360" w:lineRule="auto"/>
              <w:ind w:firstLine="480" w:firstLineChars="200"/>
              <w:rPr>
                <w:rFonts w:ascii="Times New Roman" w:hAnsi="Times New Roman"/>
                <w:color w:val="auto"/>
              </w:rPr>
            </w:pPr>
            <w:r>
              <w:rPr>
                <w:rFonts w:ascii="Times New Roman" w:hAnsi="Times New Roman"/>
                <w:color w:val="auto"/>
                <w:sz w:val="24"/>
              </w:rPr>
              <w:t>本项目为M7472固体矿产地质勘查，施工期废气主要为汽车尾气、扬尘，运营期无废水排放，因此无需申请总量控制指标。</w:t>
            </w:r>
          </w:p>
        </w:tc>
      </w:tr>
    </w:tbl>
    <w:p w14:paraId="125CD476">
      <w:pPr>
        <w:bidi w:val="0"/>
        <w:rPr>
          <w:color w:val="auto"/>
        </w:rPr>
      </w:pPr>
    </w:p>
    <w:p w14:paraId="73230B58">
      <w:pPr>
        <w:pStyle w:val="19"/>
        <w:jc w:val="center"/>
        <w:outlineLvl w:val="0"/>
        <w:rPr>
          <w:rFonts w:ascii="Times New Roman" w:hAnsi="Times New Roman" w:eastAsia="黑体" w:cs="Times New Roman"/>
          <w:snapToGrid w:val="0"/>
          <w:color w:val="auto"/>
          <w:sz w:val="30"/>
          <w:szCs w:val="30"/>
        </w:rPr>
      </w:pPr>
      <w:r>
        <w:rPr>
          <w:rFonts w:ascii="Times New Roman" w:hAnsi="Times New Roman" w:eastAsia="黑体"/>
          <w:snapToGrid w:val="0"/>
          <w:color w:val="auto"/>
          <w:kern w:val="2"/>
          <w:sz w:val="36"/>
          <w:szCs w:val="36"/>
        </w:rPr>
        <w:br w:type="page"/>
      </w:r>
      <w:bookmarkStart w:id="14" w:name="_Toc17497"/>
      <w:r>
        <w:rPr>
          <w:rFonts w:ascii="Times New Roman" w:hAnsi="Times New Roman" w:eastAsia="黑体" w:cs="Times New Roman"/>
          <w:snapToGrid w:val="0"/>
          <w:color w:val="auto"/>
          <w:sz w:val="30"/>
          <w:szCs w:val="30"/>
        </w:rPr>
        <w:t>四、生态环境影响分析</w:t>
      </w:r>
      <w:bookmarkEnd w:id="14"/>
    </w:p>
    <w:tbl>
      <w:tblPr>
        <w:tblStyle w:val="20"/>
        <w:tblW w:w="87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146"/>
        <w:gridCol w:w="131"/>
      </w:tblGrid>
      <w:tr w14:paraId="2572D3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89" w:hRule="atLeast"/>
          <w:jc w:val="center"/>
        </w:trPr>
        <w:tc>
          <w:tcPr>
            <w:tcW w:w="456" w:type="dxa"/>
            <w:noWrap w:val="0"/>
            <w:tcMar>
              <w:left w:w="28" w:type="dxa"/>
              <w:right w:w="28" w:type="dxa"/>
            </w:tcMar>
            <w:vAlign w:val="center"/>
          </w:tcPr>
          <w:p w14:paraId="6C962E28">
            <w:pPr>
              <w:pStyle w:val="19"/>
              <w:adjustRightInd w:val="0"/>
              <w:snapToGrid w:val="0"/>
              <w:spacing w:before="0" w:beforeAutospacing="0" w:after="0" w:afterAutospacing="0"/>
              <w:jc w:val="center"/>
              <w:rPr>
                <w:rFonts w:ascii="Times New Roman" w:hAnsi="Times New Roman"/>
                <w:bCs/>
                <w:color w:val="auto"/>
                <w:sz w:val="24"/>
              </w:rPr>
            </w:pPr>
            <w:bookmarkStart w:id="15" w:name="_Hlk49796138"/>
            <w:r>
              <w:rPr>
                <w:rFonts w:ascii="Times New Roman" w:hAnsi="Times New Roman" w:cs="Times New Roman"/>
                <w:bCs/>
                <w:color w:val="auto"/>
                <w:spacing w:val="10"/>
                <w:kern w:val="2"/>
                <w:szCs w:val="24"/>
                <w:lang w:val="en-US" w:eastAsia="zh-CN"/>
              </w:rPr>
              <w:t>施工期生态环境影响分析</w:t>
            </w:r>
            <w:bookmarkEnd w:id="15"/>
          </w:p>
        </w:tc>
        <w:tc>
          <w:tcPr>
            <w:tcW w:w="8277" w:type="dxa"/>
            <w:gridSpan w:val="2"/>
            <w:noWrap w:val="0"/>
            <w:vAlign w:val="top"/>
          </w:tcPr>
          <w:p w14:paraId="3DA03874">
            <w:pPr>
              <w:widowControl/>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本项目拟建</w:t>
            </w:r>
            <w:r>
              <w:rPr>
                <w:rFonts w:hint="eastAsia" w:ascii="Times New Roman" w:hAnsi="Times New Roman"/>
                <w:bCs/>
                <w:color w:val="auto"/>
                <w:sz w:val="24"/>
                <w:highlight w:val="none"/>
                <w:lang w:val="en-US" w:eastAsia="zh-CN"/>
              </w:rPr>
              <w:t>3</w:t>
            </w:r>
            <w:r>
              <w:rPr>
                <w:rFonts w:hint="eastAsia" w:ascii="Times New Roman" w:hAnsi="Times New Roman"/>
                <w:bCs/>
                <w:color w:val="auto"/>
                <w:sz w:val="24"/>
                <w:highlight w:val="none"/>
                <w:lang w:eastAsia="zh-CN"/>
              </w:rPr>
              <w:t>口钻井</w:t>
            </w:r>
            <w:r>
              <w:rPr>
                <w:rFonts w:ascii="Times New Roman" w:hAnsi="Times New Roman"/>
                <w:bCs/>
                <w:color w:val="auto"/>
                <w:sz w:val="24"/>
                <w:highlight w:val="none"/>
              </w:rPr>
              <w:t>，项目施工期约</w:t>
            </w:r>
            <w:r>
              <w:rPr>
                <w:rFonts w:hint="eastAsia" w:ascii="Times New Roman" w:hAnsi="Times New Roman"/>
                <w:bCs/>
                <w:color w:val="auto"/>
                <w:sz w:val="24"/>
                <w:highlight w:val="none"/>
                <w:lang w:val="en-US" w:eastAsia="zh-CN"/>
              </w:rPr>
              <w:t>6个月</w:t>
            </w:r>
            <w:r>
              <w:rPr>
                <w:rFonts w:ascii="Times New Roman" w:hAnsi="Times New Roman"/>
                <w:bCs/>
                <w:color w:val="auto"/>
                <w:sz w:val="24"/>
                <w:highlight w:val="none"/>
              </w:rPr>
              <w:t>，</w:t>
            </w:r>
            <w:r>
              <w:rPr>
                <w:rFonts w:hint="eastAsia" w:ascii="Times New Roman" w:hAnsi="Times New Roman"/>
                <w:bCs/>
                <w:color w:val="auto"/>
                <w:sz w:val="24"/>
                <w:highlight w:val="none"/>
              </w:rPr>
              <w:t>施工人员</w:t>
            </w:r>
            <w:r>
              <w:rPr>
                <w:rFonts w:hint="eastAsia" w:ascii="Times New Roman" w:hAnsi="Times New Roman"/>
                <w:bCs/>
                <w:color w:val="auto"/>
                <w:sz w:val="24"/>
                <w:highlight w:val="none"/>
                <w:lang w:val="en-US" w:eastAsia="zh-CN"/>
              </w:rPr>
              <w:t>36</w:t>
            </w:r>
            <w:r>
              <w:rPr>
                <w:rFonts w:hint="eastAsia" w:ascii="Times New Roman" w:hAnsi="Times New Roman"/>
                <w:bCs/>
                <w:color w:val="auto"/>
                <w:sz w:val="24"/>
                <w:highlight w:val="none"/>
              </w:rPr>
              <w:t>人，</w:t>
            </w:r>
            <w:r>
              <w:rPr>
                <w:rFonts w:ascii="Times New Roman" w:hAnsi="Times New Roman"/>
                <w:bCs/>
                <w:color w:val="auto"/>
                <w:sz w:val="24"/>
                <w:highlight w:val="none"/>
              </w:rPr>
              <w:t>项目井场区不设置施工营地，施工区不提供食宿。施工活动的主要环境影响为废气、废水、噪声以及固体废物。</w:t>
            </w:r>
          </w:p>
          <w:p w14:paraId="54C233F8">
            <w:pPr>
              <w:widowControl/>
              <w:spacing w:line="360" w:lineRule="auto"/>
              <w:ind w:firstLine="482" w:firstLineChars="200"/>
              <w:rPr>
                <w:rFonts w:ascii="Times New Roman" w:hAnsi="Times New Roman"/>
                <w:b/>
                <w:bCs/>
                <w:color w:val="auto"/>
                <w:sz w:val="24"/>
              </w:rPr>
            </w:pPr>
            <w:r>
              <w:rPr>
                <w:rFonts w:ascii="Times New Roman" w:hAnsi="Times New Roman"/>
                <w:b/>
                <w:bCs/>
                <w:color w:val="auto"/>
                <w:sz w:val="24"/>
              </w:rPr>
              <w:t>1、水污染环境影响</w:t>
            </w:r>
          </w:p>
          <w:p w14:paraId="74529721">
            <w:pPr>
              <w:widowControl/>
              <w:spacing w:line="360" w:lineRule="auto"/>
              <w:ind w:firstLine="480" w:firstLineChars="200"/>
              <w:rPr>
                <w:rFonts w:ascii="Times New Roman" w:hAnsi="Times New Roman"/>
                <w:b/>
                <w:color w:val="auto"/>
                <w:szCs w:val="21"/>
                <w:highlight w:val="none"/>
              </w:rPr>
            </w:pPr>
            <w:r>
              <w:rPr>
                <w:rFonts w:ascii="Times New Roman" w:hAnsi="Times New Roman"/>
                <w:color w:val="auto"/>
                <w:sz w:val="24"/>
                <w:highlight w:val="none"/>
              </w:rPr>
              <w:t>施工期生产废水主要来源于钻井过程中钻井泥浆废水，主要污染物为悬浮物、石油类、COD等。</w:t>
            </w:r>
            <w:r>
              <w:rPr>
                <w:rFonts w:hint="eastAsia" w:ascii="Times New Roman" w:hAnsi="Times New Roman"/>
                <w:color w:val="auto"/>
                <w:sz w:val="24"/>
                <w:highlight w:val="none"/>
                <w:lang w:val="en-US" w:eastAsia="zh-CN"/>
              </w:rPr>
              <w:t>各井场均设有一座泥浆池以及一座干化池，泥浆池</w:t>
            </w:r>
            <w:r>
              <w:rPr>
                <w:rFonts w:ascii="Times New Roman" w:hAnsi="Times New Roman"/>
                <w:color w:val="auto"/>
                <w:sz w:val="24"/>
                <w:highlight w:val="none"/>
              </w:rPr>
              <w:t>容积为</w:t>
            </w:r>
            <w:r>
              <w:rPr>
                <w:rFonts w:hint="eastAsia" w:ascii="Times New Roman" w:hAnsi="Times New Roman"/>
                <w:color w:val="auto"/>
                <w:sz w:val="24"/>
                <w:highlight w:val="none"/>
                <w:lang w:val="en-US" w:eastAsia="zh-CN"/>
              </w:rPr>
              <w:t>36</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w:t>
            </w:r>
            <w:r>
              <w:rPr>
                <w:rFonts w:hint="eastAsia" w:ascii="Times New Roman" w:hAnsi="Times New Roman"/>
                <w:color w:val="auto"/>
                <w:sz w:val="24"/>
                <w:highlight w:val="none"/>
                <w:lang w:val="en-US" w:eastAsia="zh-CN"/>
              </w:rPr>
              <w:t>3</w:t>
            </w:r>
            <w:r>
              <w:rPr>
                <w:rFonts w:ascii="Times New Roman" w:hAnsi="Times New Roman"/>
                <w:color w:val="auto"/>
                <w:sz w:val="24"/>
                <w:highlight w:val="none"/>
              </w:rPr>
              <w:t>m×</w:t>
            </w:r>
            <w:r>
              <w:rPr>
                <w:rFonts w:hint="eastAsia" w:ascii="Times New Roman" w:hAnsi="Times New Roman"/>
                <w:color w:val="auto"/>
                <w:sz w:val="24"/>
                <w:highlight w:val="none"/>
                <w:lang w:val="en-US" w:eastAsia="zh-CN"/>
              </w:rPr>
              <w:t>4</w:t>
            </w:r>
            <w:r>
              <w:rPr>
                <w:rFonts w:ascii="Times New Roman" w:hAnsi="Times New Roman"/>
                <w:color w:val="auto"/>
                <w:sz w:val="24"/>
                <w:highlight w:val="none"/>
              </w:rPr>
              <w:t>m×</w:t>
            </w:r>
            <w:r>
              <w:rPr>
                <w:rFonts w:hint="eastAsia" w:ascii="Times New Roman" w:hAnsi="Times New Roman"/>
                <w:color w:val="auto"/>
                <w:sz w:val="24"/>
                <w:highlight w:val="none"/>
                <w:lang w:val="en-US" w:eastAsia="zh-CN"/>
              </w:rPr>
              <w:t>3</w:t>
            </w:r>
            <w:r>
              <w:rPr>
                <w:rFonts w:ascii="Times New Roman" w:hAnsi="Times New Roman"/>
                <w:color w:val="auto"/>
                <w:sz w:val="24"/>
                <w:highlight w:val="none"/>
              </w:rPr>
              <w:t>m，</w:t>
            </w:r>
            <w:r>
              <w:rPr>
                <w:rFonts w:hint="eastAsia" w:ascii="Times New Roman" w:hAnsi="Times New Roman"/>
                <w:color w:val="auto"/>
                <w:sz w:val="24"/>
                <w:highlight w:val="none"/>
                <w:lang w:eastAsia="zh-CN"/>
              </w:rPr>
              <w:t>泥浆池</w:t>
            </w:r>
            <w:r>
              <w:rPr>
                <w:rFonts w:ascii="Times New Roman" w:hAnsi="Times New Roman"/>
                <w:color w:val="auto"/>
                <w:sz w:val="24"/>
                <w:highlight w:val="none"/>
              </w:rPr>
              <w:t>防渗参数为：等效粘土防渗层Mb≥6.0m，防渗系数≤10</w:t>
            </w:r>
            <w:r>
              <w:rPr>
                <w:rFonts w:ascii="Times New Roman" w:hAnsi="Times New Roman"/>
                <w:color w:val="auto"/>
                <w:sz w:val="24"/>
                <w:highlight w:val="none"/>
                <w:vertAlign w:val="superscript"/>
              </w:rPr>
              <w:t>-10</w:t>
            </w:r>
            <w:r>
              <w:rPr>
                <w:rFonts w:ascii="Times New Roman" w:hAnsi="Times New Roman"/>
                <w:color w:val="auto"/>
                <w:sz w:val="24"/>
                <w:highlight w:val="none"/>
              </w:rPr>
              <w:t>cm/s）</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干化池</w:t>
            </w:r>
            <w:r>
              <w:rPr>
                <w:rFonts w:ascii="Times New Roman" w:hAnsi="Times New Roman"/>
                <w:color w:val="auto"/>
                <w:sz w:val="24"/>
                <w:highlight w:val="none"/>
              </w:rPr>
              <w:t>容积为</w:t>
            </w:r>
            <w:r>
              <w:rPr>
                <w:rFonts w:hint="eastAsia" w:ascii="Times New Roman" w:hAnsi="Times New Roman"/>
                <w:color w:val="auto"/>
                <w:sz w:val="24"/>
                <w:highlight w:val="none"/>
                <w:lang w:val="en-US" w:eastAsia="zh-CN"/>
              </w:rPr>
              <w:t>36</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w:t>
            </w:r>
            <w:r>
              <w:rPr>
                <w:rFonts w:hint="eastAsia" w:ascii="Times New Roman" w:hAnsi="Times New Roman"/>
                <w:color w:val="auto"/>
                <w:sz w:val="24"/>
                <w:highlight w:val="none"/>
                <w:lang w:val="en-US" w:eastAsia="zh-CN"/>
              </w:rPr>
              <w:t>3</w:t>
            </w:r>
            <w:r>
              <w:rPr>
                <w:rFonts w:ascii="Times New Roman" w:hAnsi="Times New Roman"/>
                <w:color w:val="auto"/>
                <w:sz w:val="24"/>
                <w:highlight w:val="none"/>
              </w:rPr>
              <w:t>m×</w:t>
            </w:r>
            <w:r>
              <w:rPr>
                <w:rFonts w:hint="eastAsia" w:ascii="Times New Roman" w:hAnsi="Times New Roman"/>
                <w:color w:val="auto"/>
                <w:sz w:val="24"/>
                <w:highlight w:val="none"/>
                <w:lang w:val="en-US" w:eastAsia="zh-CN"/>
              </w:rPr>
              <w:t>4</w:t>
            </w:r>
            <w:r>
              <w:rPr>
                <w:rFonts w:ascii="Times New Roman" w:hAnsi="Times New Roman"/>
                <w:color w:val="auto"/>
                <w:sz w:val="24"/>
                <w:highlight w:val="none"/>
              </w:rPr>
              <w:t>m×</w:t>
            </w:r>
            <w:r>
              <w:rPr>
                <w:rFonts w:hint="eastAsia" w:ascii="Times New Roman" w:hAnsi="Times New Roman"/>
                <w:color w:val="auto"/>
                <w:sz w:val="24"/>
                <w:highlight w:val="none"/>
                <w:lang w:val="en-US" w:eastAsia="zh-CN"/>
              </w:rPr>
              <w:t>3</w:t>
            </w:r>
            <w:r>
              <w:rPr>
                <w:rFonts w:ascii="Times New Roman" w:hAnsi="Times New Roman"/>
                <w:color w:val="auto"/>
                <w:sz w:val="24"/>
                <w:highlight w:val="none"/>
              </w:rPr>
              <w:t>m，</w:t>
            </w:r>
            <w:r>
              <w:rPr>
                <w:rFonts w:hint="eastAsia" w:ascii="Times New Roman" w:hAnsi="Times New Roman"/>
                <w:color w:val="auto"/>
                <w:sz w:val="24"/>
                <w:highlight w:val="none"/>
                <w:lang w:eastAsia="zh-CN"/>
              </w:rPr>
              <w:t>泥浆池</w:t>
            </w:r>
            <w:r>
              <w:rPr>
                <w:rFonts w:ascii="Times New Roman" w:hAnsi="Times New Roman"/>
                <w:color w:val="auto"/>
                <w:sz w:val="24"/>
                <w:highlight w:val="none"/>
              </w:rPr>
              <w:t>防渗参数为：等效粘土防渗层Mb≥6.0m，防渗系数≤10</w:t>
            </w:r>
            <w:r>
              <w:rPr>
                <w:rFonts w:ascii="Times New Roman" w:hAnsi="Times New Roman"/>
                <w:color w:val="auto"/>
                <w:sz w:val="24"/>
                <w:highlight w:val="none"/>
                <w:vertAlign w:val="superscript"/>
              </w:rPr>
              <w:t>-10</w:t>
            </w:r>
            <w:r>
              <w:rPr>
                <w:rFonts w:ascii="Times New Roman" w:hAnsi="Times New Roman"/>
                <w:color w:val="auto"/>
                <w:sz w:val="24"/>
                <w:highlight w:val="none"/>
              </w:rPr>
              <w:t>cm/s）</w:t>
            </w:r>
            <w:r>
              <w:rPr>
                <w:rFonts w:hint="eastAsia" w:ascii="Times New Roman" w:hAnsi="Times New Roman"/>
                <w:color w:val="auto"/>
                <w:sz w:val="24"/>
                <w:highlight w:val="none"/>
                <w:lang w:eastAsia="zh-CN"/>
              </w:rPr>
              <w:t>。</w:t>
            </w:r>
            <w:r>
              <w:rPr>
                <w:rFonts w:ascii="Times New Roman" w:hAnsi="Times New Roman"/>
                <w:color w:val="auto"/>
                <w:sz w:val="24"/>
              </w:rPr>
              <w:t>本项目</w:t>
            </w:r>
            <w:r>
              <w:rPr>
                <w:rFonts w:hint="eastAsia" w:ascii="Times New Roman" w:hAnsi="Times New Roman"/>
                <w:color w:val="auto"/>
                <w:sz w:val="24"/>
                <w:lang w:val="en-US" w:eastAsia="zh-CN"/>
              </w:rPr>
              <w:t>泥浆配置采用</w:t>
            </w:r>
            <w:r>
              <w:rPr>
                <w:rFonts w:ascii="Times New Roman" w:hAnsi="Times New Roman"/>
                <w:color w:val="auto"/>
                <w:sz w:val="24"/>
              </w:rPr>
              <w:t>纤维素</w:t>
            </w:r>
            <w:r>
              <w:rPr>
                <w:rFonts w:hint="eastAsia" w:ascii="Times New Roman" w:hAnsi="Times New Roman"/>
                <w:color w:val="auto"/>
                <w:sz w:val="24"/>
                <w:lang w:eastAsia="zh-CN"/>
              </w:rPr>
              <w:t>、</w:t>
            </w:r>
            <w:r>
              <w:rPr>
                <w:rFonts w:hint="eastAsia" w:ascii="Times New Roman" w:hAnsi="Times New Roman"/>
                <w:color w:val="auto"/>
                <w:sz w:val="24"/>
                <w:lang w:val="en-US" w:eastAsia="zh-CN"/>
              </w:rPr>
              <w:t>腐殖酸等进行调配，泥浆固化剂主要成分为聚硅化合物，不含有毒有害物质，故本项目</w:t>
            </w:r>
            <w:r>
              <w:rPr>
                <w:rFonts w:ascii="Times New Roman" w:hAnsi="Times New Roman"/>
                <w:color w:val="auto"/>
                <w:sz w:val="24"/>
              </w:rPr>
              <w:t>泥浆干化后属于一般固废</w:t>
            </w:r>
            <w:r>
              <w:rPr>
                <w:rFonts w:ascii="Times New Roman" w:hAnsi="Times New Roman"/>
                <w:sz w:val="24"/>
              </w:rPr>
              <w:t>，</w:t>
            </w:r>
            <w:r>
              <w:rPr>
                <w:rFonts w:ascii="Times New Roman" w:hAnsi="Times New Roman"/>
                <w:color w:val="auto"/>
                <w:sz w:val="24"/>
                <w:highlight w:val="none"/>
              </w:rPr>
              <w:t>作为周边路基维护的建材使用。设备冲洗废水排入沉淀池循环使用。钻井期生产废水不外排，不会对周边地表水体产生影响；施工人员租住附近民房，项目井场人员用水量较少，</w:t>
            </w:r>
            <w:r>
              <w:rPr>
                <w:rFonts w:ascii="Times New Roman" w:hAnsi="Times New Roman"/>
                <w:bCs/>
                <w:color w:val="auto"/>
                <w:sz w:val="24"/>
                <w:highlight w:val="none"/>
              </w:rPr>
              <w:t>项目废水为生活污水，废水产生量相对较少，废水水质简单，结合建设项目所在区域暂无集中式污水处理厂集中处理，</w:t>
            </w:r>
            <w:r>
              <w:rPr>
                <w:rFonts w:hint="eastAsia" w:ascii="Times New Roman" w:hAnsi="Times New Roman"/>
                <w:bCs/>
                <w:color w:val="auto"/>
                <w:sz w:val="24"/>
                <w:highlight w:val="none"/>
              </w:rPr>
              <w:t>经场地化粪池预处理后，</w:t>
            </w:r>
            <w:r>
              <w:rPr>
                <w:rFonts w:ascii="Times New Roman" w:hAnsi="Times New Roman"/>
                <w:bCs/>
                <w:color w:val="auto"/>
                <w:sz w:val="24"/>
                <w:highlight w:val="none"/>
              </w:rPr>
              <w:t>最终用于周边农田施肥，不外排，对当地地表水环境影响较小，在当地环境可接受范围内。</w:t>
            </w:r>
          </w:p>
          <w:p w14:paraId="6DF5F254">
            <w:pPr>
              <w:widowControl/>
              <w:spacing w:line="360" w:lineRule="auto"/>
              <w:ind w:firstLine="482" w:firstLineChars="200"/>
              <w:rPr>
                <w:rFonts w:ascii="Times New Roman" w:hAnsi="Times New Roman"/>
                <w:b/>
                <w:bCs/>
                <w:color w:val="auto"/>
                <w:kern w:val="0"/>
                <w:sz w:val="24"/>
                <w:lang w:bidi="ar"/>
              </w:rPr>
            </w:pPr>
            <w:r>
              <w:rPr>
                <w:rFonts w:ascii="Times New Roman" w:hAnsi="Times New Roman"/>
                <w:b/>
                <w:bCs/>
                <w:color w:val="auto"/>
                <w:sz w:val="24"/>
              </w:rPr>
              <w:t>2、</w:t>
            </w:r>
            <w:r>
              <w:rPr>
                <w:rFonts w:ascii="Times New Roman" w:hAnsi="Times New Roman"/>
                <w:b/>
                <w:bCs/>
                <w:color w:val="auto"/>
                <w:kern w:val="0"/>
                <w:sz w:val="24"/>
                <w:lang w:bidi="ar"/>
              </w:rPr>
              <w:t>大气污染环境影响</w:t>
            </w:r>
          </w:p>
          <w:p w14:paraId="51D0F26A">
            <w:pPr>
              <w:pStyle w:val="28"/>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施工期大气环境影响主要来源于施工扬尘与车辆尾气。淮南市为PM</w:t>
            </w:r>
            <w:r>
              <w:rPr>
                <w:rFonts w:ascii="Times New Roman" w:hAnsi="Times New Roman"/>
                <w:color w:val="auto"/>
                <w:highlight w:val="none"/>
                <w:vertAlign w:val="subscript"/>
              </w:rPr>
              <w:t>2.5</w:t>
            </w:r>
            <w:r>
              <w:rPr>
                <w:rFonts w:ascii="Times New Roman" w:hAnsi="Times New Roman"/>
                <w:color w:val="auto"/>
                <w:highlight w:val="none"/>
              </w:rPr>
              <w:t>超标地区，施工时若不采取有效的防治措施，会对区域大气环境造成威胁。</w:t>
            </w:r>
          </w:p>
          <w:p w14:paraId="54EF72B0">
            <w:pPr>
              <w:pStyle w:val="28"/>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（1）扬尘</w:t>
            </w:r>
          </w:p>
          <w:p w14:paraId="357A32C5">
            <w:pPr>
              <w:pStyle w:val="28"/>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扬尘主要来自施工现场堆场、运输车辆、施工机械作业过程中扬起的灰尘。根据经验数据，在风速为1.2m/s～2.4m/s情况下，土方和灰土的堆放、装卸、运输、施工时距离50～150m处下风方向粉尘浓度为0.5～1.5mg/m</w:t>
            </w:r>
            <w:r>
              <w:rPr>
                <w:rFonts w:ascii="Times New Roman" w:hAnsi="Times New Roman"/>
                <w:color w:val="auto"/>
                <w:highlight w:val="none"/>
                <w:vertAlign w:val="superscript"/>
              </w:rPr>
              <w:t>3</w:t>
            </w:r>
            <w:r>
              <w:rPr>
                <w:rFonts w:ascii="Times New Roman" w:hAnsi="Times New Roman"/>
                <w:color w:val="auto"/>
                <w:highlight w:val="none"/>
              </w:rPr>
              <w:t>，通常情况下，影响范围在100m以内。项目所在区域的年平均风速为2.3m/s，风速小，产生的扬尘量小，同时在易产尘施工点采取湿式作业、堆场采取篷布遮盖或表面洒水抑尘等抑尘措施、厂区道路采取定点洒水等措施，每天洒水4～5次进行抑尘，可有效降低扬尘产生量，并可将颗粒物污染距离缩小到20～50m范围。钻前工程施工时间很短，完成后影响即可消失，无长期影响，对区域环境影响小。</w:t>
            </w:r>
          </w:p>
          <w:p w14:paraId="3D295159">
            <w:pPr>
              <w:pStyle w:val="28"/>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rPr>
              <w:t>2</w:t>
            </w:r>
            <w:r>
              <w:rPr>
                <w:rFonts w:ascii="Times New Roman" w:hAnsi="Times New Roman"/>
                <w:color w:val="auto"/>
                <w:highlight w:val="none"/>
              </w:rPr>
              <w:t>）车辆尾气</w:t>
            </w:r>
          </w:p>
          <w:p w14:paraId="3CB75536">
            <w:pPr>
              <w:pStyle w:val="28"/>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施工车辆废气污染物主要是氮氧化物、一氧化碳，由于施工期车辆具有不确定性，且排放量较小、影响持续时间较短。故车辆排放的尾气对环境影响较小。</w:t>
            </w:r>
          </w:p>
          <w:p w14:paraId="1E3CFC42">
            <w:pPr>
              <w:pStyle w:val="5"/>
              <w:spacing w:line="360" w:lineRule="auto"/>
              <w:ind w:firstLine="482"/>
              <w:rPr>
                <w:rFonts w:ascii="Times New Roman" w:hAnsi="Times New Roman"/>
                <w:b/>
                <w:bCs/>
                <w:color w:val="auto"/>
                <w:sz w:val="24"/>
                <w:highlight w:val="none"/>
              </w:rPr>
            </w:pPr>
            <w:r>
              <w:rPr>
                <w:rFonts w:ascii="Times New Roman" w:hAnsi="Times New Roman"/>
                <w:b/>
                <w:bCs/>
                <w:color w:val="auto"/>
                <w:sz w:val="24"/>
                <w:highlight w:val="none"/>
              </w:rPr>
              <w:t>3、</w:t>
            </w:r>
            <w:r>
              <w:rPr>
                <w:rFonts w:ascii="Times New Roman" w:hAnsi="Times New Roman"/>
                <w:b/>
                <w:bCs/>
                <w:color w:val="auto"/>
                <w:kern w:val="0"/>
                <w:sz w:val="24"/>
                <w:highlight w:val="none"/>
              </w:rPr>
              <w:t>噪声污染环境影响分析</w:t>
            </w:r>
          </w:p>
          <w:p w14:paraId="4A325F82">
            <w:pPr>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本项目</w:t>
            </w:r>
            <w:r>
              <w:rPr>
                <w:rFonts w:hint="eastAsia" w:ascii="Times New Roman" w:hAnsi="Times New Roman"/>
                <w:bCs/>
                <w:color w:val="auto"/>
                <w:sz w:val="24"/>
                <w:highlight w:val="none"/>
              </w:rPr>
              <w:t>夜间不施工，仅对昼间进行预测</w:t>
            </w:r>
            <w:r>
              <w:rPr>
                <w:rFonts w:hint="eastAsia" w:ascii="Times New Roman" w:hAnsi="Times New Roman"/>
                <w:bCs/>
                <w:color w:val="auto"/>
                <w:sz w:val="24"/>
                <w:highlight w:val="none"/>
                <w:lang w:eastAsia="zh-CN"/>
              </w:rPr>
              <w:t>。</w:t>
            </w:r>
            <w:r>
              <w:rPr>
                <w:rFonts w:ascii="Times New Roman" w:hAnsi="Times New Roman"/>
                <w:bCs/>
                <w:color w:val="auto"/>
                <w:sz w:val="24"/>
                <w:highlight w:val="none"/>
              </w:rPr>
              <w:t>主要噪声源来自于钻机等机械设备运行时产生</w:t>
            </w:r>
            <w:r>
              <w:rPr>
                <w:rFonts w:hint="eastAsia" w:ascii="Times New Roman" w:hAnsi="Times New Roman"/>
                <w:bCs/>
                <w:color w:val="auto"/>
                <w:sz w:val="24"/>
                <w:highlight w:val="none"/>
                <w:lang w:eastAsia="zh-CN"/>
              </w:rPr>
              <w:t>，</w:t>
            </w:r>
            <w:r>
              <w:rPr>
                <w:rFonts w:ascii="Times New Roman" w:hAnsi="Times New Roman"/>
                <w:bCs/>
                <w:color w:val="auto"/>
                <w:sz w:val="24"/>
                <w:highlight w:val="none"/>
              </w:rPr>
              <w:t>本项目噪声预测结果如下：</w:t>
            </w:r>
          </w:p>
          <w:p w14:paraId="6768F390">
            <w:pPr>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根据项目设备声源特征和声学环境的特点，同时根据业主提供资料，视设备声源为点源，声场为半自由声场，依据《环境影响评价技术导则声环境》</w:t>
            </w:r>
            <w:r>
              <w:rPr>
                <w:rFonts w:ascii="Times New Roman" w:hAnsi="Times New Roman"/>
                <w:color w:val="auto"/>
                <w:kern w:val="24"/>
                <w:sz w:val="24"/>
                <w:highlight w:val="none"/>
              </w:rPr>
              <w:t>（HJ2.4</w:t>
            </w:r>
            <w:r>
              <w:rPr>
                <w:rFonts w:hint="eastAsia" w:ascii="Times New Roman" w:hAnsi="Times New Roman"/>
                <w:color w:val="auto"/>
                <w:kern w:val="24"/>
                <w:sz w:val="24"/>
                <w:highlight w:val="none"/>
              </w:rPr>
              <w:t>-</w:t>
            </w:r>
            <w:r>
              <w:rPr>
                <w:rFonts w:ascii="Times New Roman" w:hAnsi="Times New Roman"/>
                <w:color w:val="auto"/>
                <w:kern w:val="24"/>
                <w:sz w:val="24"/>
                <w:highlight w:val="none"/>
              </w:rPr>
              <w:t>2021）</w:t>
            </w:r>
            <w:r>
              <w:rPr>
                <w:rFonts w:ascii="Times New Roman" w:hAnsi="Times New Roman"/>
                <w:bCs/>
                <w:color w:val="auto"/>
                <w:sz w:val="24"/>
                <w:highlight w:val="none"/>
              </w:rPr>
              <w:t>，选用无指向性声源几何发散衰减预测模式预测厂界噪声。</w:t>
            </w:r>
          </w:p>
          <w:p w14:paraId="6872E991">
            <w:pPr>
              <w:adjustRightInd w:val="0"/>
              <w:snapToGrid w:val="0"/>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（1）点声源预测模式</w:t>
            </w:r>
          </w:p>
          <w:p w14:paraId="0134C77C">
            <w:pPr>
              <w:adjustRightInd w:val="0"/>
              <w:snapToGrid w:val="0"/>
              <w:spacing w:line="360" w:lineRule="auto"/>
              <w:ind w:firstLine="480" w:firstLineChars="200"/>
              <w:rPr>
                <w:rFonts w:hint="eastAsia" w:ascii="Times New Roman" w:hAnsi="Times New Roman" w:eastAsia="宋体"/>
                <w:bCs/>
                <w:color w:val="auto"/>
                <w:sz w:val="24"/>
                <w:highlight w:val="none"/>
                <w:lang w:eastAsia="zh-CN"/>
              </w:rPr>
            </w:pPr>
            <w:r>
              <w:rPr>
                <w:rFonts w:ascii="Times New Roman" w:hAnsi="Times New Roman"/>
                <w:bCs/>
                <w:color w:val="auto"/>
                <w:sz w:val="24"/>
                <w:highlight w:val="none"/>
              </w:rPr>
              <w:t>L A</w:t>
            </w:r>
            <w:r>
              <w:rPr>
                <w:rFonts w:hint="eastAsia" w:ascii="Times New Roman" w:hAnsi="Times New Roman"/>
                <w:bCs/>
                <w:color w:val="auto"/>
                <w:sz w:val="24"/>
                <w:highlight w:val="none"/>
                <w:lang w:eastAsia="zh-CN"/>
              </w:rPr>
              <w:t>（</w:t>
            </w:r>
            <w:r>
              <w:rPr>
                <w:rFonts w:ascii="Times New Roman" w:hAnsi="Times New Roman"/>
                <w:bCs/>
                <w:color w:val="auto"/>
                <w:sz w:val="24"/>
                <w:highlight w:val="none"/>
              </w:rPr>
              <w:t>r</w:t>
            </w:r>
            <w:r>
              <w:rPr>
                <w:rFonts w:hint="eastAsia" w:ascii="Times New Roman" w:hAnsi="Times New Roman"/>
                <w:bCs/>
                <w:color w:val="auto"/>
                <w:sz w:val="24"/>
                <w:highlight w:val="none"/>
                <w:lang w:eastAsia="zh-CN"/>
              </w:rPr>
              <w:t>）</w:t>
            </w:r>
            <w:r>
              <w:rPr>
                <w:rFonts w:ascii="Times New Roman" w:hAnsi="Times New Roman"/>
                <w:bCs/>
                <w:color w:val="auto"/>
                <w:sz w:val="24"/>
                <w:highlight w:val="none"/>
              </w:rPr>
              <w:t xml:space="preserve"> = L WA – 20lg </w:t>
            </w:r>
            <w:r>
              <w:rPr>
                <w:rFonts w:hint="eastAsia" w:ascii="Times New Roman" w:hAnsi="Times New Roman"/>
                <w:bCs/>
                <w:color w:val="auto"/>
                <w:sz w:val="24"/>
                <w:highlight w:val="none"/>
                <w:lang w:eastAsia="zh-CN"/>
              </w:rPr>
              <w:t>（</w:t>
            </w:r>
            <w:r>
              <w:rPr>
                <w:rFonts w:ascii="Times New Roman" w:hAnsi="Times New Roman"/>
                <w:bCs/>
                <w:color w:val="auto"/>
                <w:sz w:val="24"/>
                <w:highlight w:val="none"/>
              </w:rPr>
              <w:t xml:space="preserve">r/r 0 </w:t>
            </w:r>
            <w:r>
              <w:rPr>
                <w:rFonts w:hint="eastAsia" w:ascii="Times New Roman" w:hAnsi="Times New Roman"/>
                <w:bCs/>
                <w:color w:val="auto"/>
                <w:sz w:val="24"/>
                <w:highlight w:val="none"/>
                <w:lang w:eastAsia="zh-CN"/>
              </w:rPr>
              <w:t>）</w:t>
            </w:r>
          </w:p>
          <w:p w14:paraId="414E9C2E">
            <w:pPr>
              <w:adjustRightInd w:val="0"/>
              <w:snapToGrid w:val="0"/>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式中：L A</w:t>
            </w:r>
            <w:r>
              <w:rPr>
                <w:rFonts w:hint="eastAsia" w:ascii="Times New Roman" w:hAnsi="Times New Roman"/>
                <w:bCs/>
                <w:color w:val="auto"/>
                <w:sz w:val="24"/>
                <w:highlight w:val="none"/>
                <w:lang w:eastAsia="zh-CN"/>
              </w:rPr>
              <w:t>（</w:t>
            </w:r>
            <w:r>
              <w:rPr>
                <w:rFonts w:ascii="Times New Roman" w:hAnsi="Times New Roman"/>
                <w:bCs/>
                <w:color w:val="auto"/>
                <w:sz w:val="24"/>
                <w:highlight w:val="none"/>
              </w:rPr>
              <w:t>r</w:t>
            </w:r>
            <w:r>
              <w:rPr>
                <w:rFonts w:hint="eastAsia" w:ascii="Times New Roman" w:hAnsi="Times New Roman"/>
                <w:bCs/>
                <w:color w:val="auto"/>
                <w:sz w:val="24"/>
                <w:highlight w:val="none"/>
                <w:lang w:eastAsia="zh-CN"/>
              </w:rPr>
              <w:t>）</w:t>
            </w:r>
            <w:r>
              <w:rPr>
                <w:rFonts w:ascii="Times New Roman" w:hAnsi="Times New Roman"/>
                <w:bCs/>
                <w:color w:val="auto"/>
                <w:sz w:val="24"/>
                <w:highlight w:val="none"/>
              </w:rPr>
              <w:t xml:space="preserve"> ——距噪声源 r 处的声级（dB</w:t>
            </w:r>
            <w:r>
              <w:rPr>
                <w:rFonts w:hint="eastAsia" w:ascii="Times New Roman" w:hAnsi="Times New Roman"/>
                <w:bCs/>
                <w:color w:val="auto"/>
                <w:sz w:val="24"/>
                <w:highlight w:val="none"/>
                <w:lang w:eastAsia="zh-CN"/>
              </w:rPr>
              <w:t>（</w:t>
            </w:r>
            <w:r>
              <w:rPr>
                <w:rFonts w:ascii="Times New Roman" w:hAnsi="Times New Roman"/>
                <w:bCs/>
                <w:color w:val="auto"/>
                <w:sz w:val="24"/>
                <w:highlight w:val="none"/>
              </w:rPr>
              <w:t>A</w:t>
            </w:r>
            <w:r>
              <w:rPr>
                <w:rFonts w:hint="eastAsia" w:ascii="Times New Roman" w:hAnsi="Times New Roman"/>
                <w:bCs/>
                <w:color w:val="auto"/>
                <w:sz w:val="24"/>
                <w:highlight w:val="none"/>
                <w:lang w:eastAsia="zh-CN"/>
              </w:rPr>
              <w:t>）</w:t>
            </w:r>
            <w:r>
              <w:rPr>
                <w:rFonts w:ascii="Times New Roman" w:hAnsi="Times New Roman"/>
                <w:bCs/>
                <w:color w:val="auto"/>
                <w:sz w:val="24"/>
                <w:highlight w:val="none"/>
              </w:rPr>
              <w:t>）；</w:t>
            </w:r>
          </w:p>
          <w:p w14:paraId="527F8127">
            <w:pPr>
              <w:adjustRightInd w:val="0"/>
              <w:snapToGrid w:val="0"/>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L WA ——点声源的 A 声级（dB</w:t>
            </w:r>
            <w:r>
              <w:rPr>
                <w:rFonts w:hint="eastAsia" w:ascii="Times New Roman" w:hAnsi="Times New Roman"/>
                <w:bCs/>
                <w:color w:val="auto"/>
                <w:sz w:val="24"/>
                <w:highlight w:val="none"/>
                <w:lang w:eastAsia="zh-CN"/>
              </w:rPr>
              <w:t>（</w:t>
            </w:r>
            <w:r>
              <w:rPr>
                <w:rFonts w:ascii="Times New Roman" w:hAnsi="Times New Roman"/>
                <w:bCs/>
                <w:color w:val="auto"/>
                <w:sz w:val="24"/>
                <w:highlight w:val="none"/>
              </w:rPr>
              <w:t>A</w:t>
            </w:r>
            <w:r>
              <w:rPr>
                <w:rFonts w:hint="eastAsia" w:ascii="Times New Roman" w:hAnsi="Times New Roman"/>
                <w:bCs/>
                <w:color w:val="auto"/>
                <w:sz w:val="24"/>
                <w:highlight w:val="none"/>
                <w:lang w:eastAsia="zh-CN"/>
              </w:rPr>
              <w:t>）</w:t>
            </w:r>
            <w:r>
              <w:rPr>
                <w:rFonts w:ascii="Times New Roman" w:hAnsi="Times New Roman"/>
                <w:bCs/>
                <w:color w:val="auto"/>
                <w:sz w:val="24"/>
                <w:highlight w:val="none"/>
              </w:rPr>
              <w:t>）；</w:t>
            </w:r>
          </w:p>
          <w:p w14:paraId="7A7024A1">
            <w:pPr>
              <w:adjustRightInd w:val="0"/>
              <w:snapToGrid w:val="0"/>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r——预测点与声源之间的距离（m）；</w:t>
            </w:r>
          </w:p>
          <w:p w14:paraId="306FF34D">
            <w:pPr>
              <w:adjustRightInd w:val="0"/>
              <w:snapToGrid w:val="0"/>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r 0 ——参考处与声源之间的距离（m）；</w:t>
            </w:r>
          </w:p>
          <w:p w14:paraId="180EAF2F">
            <w:pPr>
              <w:adjustRightInd w:val="0"/>
              <w:snapToGrid w:val="0"/>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（2）多声源叠加模式式中：</w:t>
            </w:r>
          </w:p>
          <w:p w14:paraId="6E9B4DDD">
            <w:pPr>
              <w:adjustRightInd w:val="0"/>
              <w:snapToGrid w:val="0"/>
              <w:spacing w:line="360" w:lineRule="auto"/>
              <w:jc w:val="center"/>
              <w:rPr>
                <w:rFonts w:ascii="Times New Roman" w:hAnsi="Times New Roman"/>
                <w:color w:val="auto"/>
                <w:kern w:val="0"/>
                <w:sz w:val="24"/>
                <w:highlight w:val="none"/>
              </w:rPr>
            </w:pPr>
            <w:r>
              <w:rPr>
                <w:rFonts w:ascii="Times New Roman" w:hAnsi="Times New Roman"/>
                <w:color w:val="auto"/>
                <w:kern w:val="0"/>
                <w:sz w:val="24"/>
                <w:highlight w:val="none"/>
              </w:rPr>
              <w:drawing>
                <wp:inline distT="0" distB="0" distL="114300" distR="114300">
                  <wp:extent cx="1457325" cy="619125"/>
                  <wp:effectExtent l="0" t="0" r="9525" b="952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17"/>
                          <a:stretch>
                            <a:fillRect/>
                          </a:stretch>
                        </pic:blipFill>
                        <pic:spPr>
                          <a:xfrm>
                            <a:off x="0" y="0"/>
                            <a:ext cx="1457325" cy="619125"/>
                          </a:xfrm>
                          <a:prstGeom prst="rect">
                            <a:avLst/>
                          </a:prstGeom>
                          <a:noFill/>
                          <a:ln>
                            <a:noFill/>
                          </a:ln>
                        </pic:spPr>
                      </pic:pic>
                    </a:graphicData>
                  </a:graphic>
                </wp:inline>
              </w:drawing>
            </w:r>
          </w:p>
          <w:p w14:paraId="34CDCFE7">
            <w:pPr>
              <w:pStyle w:val="28"/>
              <w:spacing w:line="360" w:lineRule="auto"/>
              <w:ind w:firstLine="480" w:firstLineChars="200"/>
              <w:rPr>
                <w:rFonts w:ascii="Times New Roman" w:hAnsi="Times New Roman"/>
                <w:color w:val="auto"/>
                <w:highlight w:val="none"/>
              </w:rPr>
            </w:pPr>
            <w:r>
              <w:rPr>
                <w:rFonts w:ascii="Times New Roman" w:hAnsi="Times New Roman"/>
                <w:color w:val="auto"/>
                <w:highlight w:val="none"/>
              </w:rPr>
              <w:t>L 0 ——叠加后总声压级，dB</w:t>
            </w:r>
            <w:r>
              <w:rPr>
                <w:rFonts w:hint="eastAsia" w:ascii="Times New Roman" w:hAnsi="Times New Roman"/>
                <w:color w:val="auto"/>
                <w:highlight w:val="none"/>
                <w:lang w:eastAsia="zh-CN"/>
              </w:rPr>
              <w:t>（</w:t>
            </w:r>
            <w:r>
              <w:rPr>
                <w:rFonts w:ascii="Times New Roman" w:hAnsi="Times New Roman"/>
                <w:color w:val="auto"/>
                <w:highlight w:val="none"/>
              </w:rPr>
              <w:t>A</w:t>
            </w:r>
            <w:r>
              <w:rPr>
                <w:rFonts w:hint="eastAsia" w:ascii="Times New Roman" w:hAnsi="Times New Roman"/>
                <w:color w:val="auto"/>
                <w:highlight w:val="none"/>
                <w:lang w:eastAsia="zh-CN"/>
              </w:rPr>
              <w:t>）</w:t>
            </w:r>
            <w:r>
              <w:rPr>
                <w:rFonts w:ascii="Times New Roman" w:hAnsi="Times New Roman"/>
                <w:color w:val="auto"/>
                <w:highlight w:val="none"/>
              </w:rPr>
              <w:t>；</w:t>
            </w:r>
          </w:p>
          <w:p w14:paraId="4983F6C7">
            <w:pPr>
              <w:pStyle w:val="28"/>
              <w:spacing w:line="360" w:lineRule="auto"/>
              <w:ind w:firstLine="480" w:firstLineChars="200"/>
              <w:rPr>
                <w:rFonts w:ascii="Times New Roman" w:hAnsi="Times New Roman"/>
                <w:color w:val="auto"/>
                <w:highlight w:val="none"/>
              </w:rPr>
            </w:pPr>
            <w:r>
              <w:rPr>
                <w:rFonts w:ascii="Times New Roman" w:hAnsi="Times New Roman"/>
                <w:color w:val="auto"/>
                <w:highlight w:val="none"/>
              </w:rPr>
              <w:t>n——声源级数；</w:t>
            </w:r>
          </w:p>
          <w:p w14:paraId="01DA2162">
            <w:pPr>
              <w:pStyle w:val="28"/>
              <w:spacing w:line="360" w:lineRule="auto"/>
              <w:ind w:firstLine="480" w:firstLineChars="200"/>
              <w:rPr>
                <w:rFonts w:ascii="Times New Roman" w:hAnsi="Times New Roman"/>
                <w:color w:val="auto"/>
                <w:highlight w:val="none"/>
              </w:rPr>
            </w:pPr>
            <w:r>
              <w:rPr>
                <w:rFonts w:ascii="Times New Roman" w:hAnsi="Times New Roman"/>
                <w:color w:val="auto"/>
                <w:highlight w:val="none"/>
              </w:rPr>
              <w:t>Li——各声源对某点的声压值，dB</w:t>
            </w:r>
            <w:r>
              <w:rPr>
                <w:rFonts w:hint="eastAsia" w:ascii="Times New Roman" w:hAnsi="Times New Roman"/>
                <w:color w:val="auto"/>
                <w:highlight w:val="none"/>
                <w:lang w:eastAsia="zh-CN"/>
              </w:rPr>
              <w:t>（</w:t>
            </w:r>
            <w:r>
              <w:rPr>
                <w:rFonts w:ascii="Times New Roman" w:hAnsi="Times New Roman"/>
                <w:color w:val="auto"/>
                <w:highlight w:val="none"/>
              </w:rPr>
              <w:t>A</w:t>
            </w:r>
            <w:r>
              <w:rPr>
                <w:rFonts w:hint="eastAsia" w:ascii="Times New Roman" w:hAnsi="Times New Roman"/>
                <w:color w:val="auto"/>
                <w:highlight w:val="none"/>
                <w:lang w:eastAsia="zh-CN"/>
              </w:rPr>
              <w:t>）</w:t>
            </w:r>
            <w:r>
              <w:rPr>
                <w:rFonts w:ascii="Times New Roman" w:hAnsi="Times New Roman"/>
                <w:color w:val="auto"/>
                <w:highlight w:val="none"/>
              </w:rPr>
              <w:t>。</w:t>
            </w:r>
          </w:p>
          <w:p w14:paraId="45C95184">
            <w:pPr>
              <w:pStyle w:val="28"/>
              <w:spacing w:line="360" w:lineRule="auto"/>
              <w:ind w:firstLine="480" w:firstLineChars="200"/>
              <w:rPr>
                <w:rFonts w:ascii="Times New Roman" w:hAnsi="Times New Roman"/>
                <w:color w:val="auto"/>
                <w:highlight w:val="none"/>
              </w:rPr>
            </w:pPr>
            <w:r>
              <w:rPr>
                <w:rFonts w:ascii="Times New Roman" w:hAnsi="Times New Roman"/>
                <w:color w:val="auto"/>
                <w:highlight w:val="none"/>
              </w:rPr>
              <w:t>（3）预测结果分析</w:t>
            </w:r>
          </w:p>
          <w:p w14:paraId="6573C853">
            <w:pPr>
              <w:pStyle w:val="28"/>
              <w:spacing w:line="360" w:lineRule="auto"/>
              <w:ind w:firstLine="480" w:firstLineChars="200"/>
              <w:rPr>
                <w:rFonts w:ascii="Times New Roman" w:hAnsi="Times New Roman"/>
                <w:color w:val="auto"/>
                <w:highlight w:val="none"/>
              </w:rPr>
            </w:pPr>
            <w:r>
              <w:rPr>
                <w:rFonts w:ascii="宋体" w:hAnsi="Times New Roman"/>
                <w:color w:val="auto"/>
                <w:highlight w:val="none"/>
              </w:rPr>
              <w:t>①</w:t>
            </w:r>
            <w:r>
              <w:rPr>
                <w:rFonts w:ascii="Times New Roman" w:hAnsi="Times New Roman"/>
                <w:color w:val="auto"/>
                <w:highlight w:val="none"/>
              </w:rPr>
              <w:t>单台施工机械在满负荷工作时不同距离处的噪声级预测结果见下表。</w:t>
            </w:r>
          </w:p>
          <w:p w14:paraId="56CC6A7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b/>
                <w:color w:val="auto"/>
                <w:sz w:val="21"/>
                <w:szCs w:val="21"/>
                <w:highlight w:val="none"/>
              </w:rPr>
            </w:pPr>
            <w:r>
              <w:rPr>
                <w:rFonts w:ascii="Times New Roman" w:hAnsi="Times New Roman"/>
                <w:b/>
                <w:color w:val="auto"/>
                <w:sz w:val="21"/>
                <w:szCs w:val="21"/>
                <w:highlight w:val="none"/>
              </w:rPr>
              <w:t xml:space="preserve">表4-1 </w:t>
            </w:r>
            <w:r>
              <w:rPr>
                <w:rFonts w:hint="eastAsia" w:ascii="Times New Roman" w:hAnsi="Times New Roman"/>
                <w:b/>
                <w:color w:val="auto"/>
                <w:sz w:val="21"/>
                <w:szCs w:val="21"/>
                <w:highlight w:val="none"/>
                <w:lang w:val="en-US" w:eastAsia="zh-CN"/>
              </w:rPr>
              <w:t xml:space="preserve"> </w:t>
            </w:r>
            <w:r>
              <w:rPr>
                <w:rFonts w:ascii="Times New Roman" w:hAnsi="Times New Roman"/>
                <w:b/>
                <w:color w:val="auto"/>
                <w:sz w:val="21"/>
                <w:szCs w:val="21"/>
                <w:highlight w:val="none"/>
              </w:rPr>
              <w:t xml:space="preserve">工程各类噪声源不同距离处噪声值 </w:t>
            </w:r>
            <w:r>
              <w:rPr>
                <w:rFonts w:hint="eastAsia" w:ascii="Times New Roman" w:hAnsi="Times New Roman"/>
                <w:b/>
                <w:color w:val="auto"/>
                <w:sz w:val="21"/>
                <w:szCs w:val="21"/>
                <w:highlight w:val="none"/>
                <w:lang w:eastAsia="zh-CN"/>
              </w:rPr>
              <w:t>（</w:t>
            </w:r>
            <w:r>
              <w:rPr>
                <w:rFonts w:ascii="Times New Roman" w:hAnsi="Times New Roman"/>
                <w:b/>
                <w:color w:val="auto"/>
                <w:sz w:val="21"/>
                <w:szCs w:val="21"/>
                <w:highlight w:val="none"/>
              </w:rPr>
              <w:t>单位：dB</w:t>
            </w:r>
            <w:r>
              <w:rPr>
                <w:rFonts w:hint="eastAsia" w:ascii="Times New Roman" w:hAnsi="Times New Roman"/>
                <w:b/>
                <w:color w:val="auto"/>
                <w:sz w:val="21"/>
                <w:szCs w:val="21"/>
                <w:highlight w:val="none"/>
                <w:lang w:eastAsia="zh-CN"/>
              </w:rPr>
              <w:t>（</w:t>
            </w:r>
            <w:r>
              <w:rPr>
                <w:rFonts w:ascii="Times New Roman" w:hAnsi="Times New Roman"/>
                <w:b/>
                <w:color w:val="auto"/>
                <w:sz w:val="21"/>
                <w:szCs w:val="21"/>
                <w:highlight w:val="none"/>
              </w:rPr>
              <w:t>A</w:t>
            </w:r>
            <w:r>
              <w:rPr>
                <w:rFonts w:hint="eastAsia" w:ascii="Times New Roman" w:hAnsi="Times New Roman"/>
                <w:b/>
                <w:color w:val="auto"/>
                <w:sz w:val="21"/>
                <w:szCs w:val="21"/>
                <w:highlight w:val="none"/>
                <w:lang w:eastAsia="zh-CN"/>
              </w:rPr>
              <w:t>））</w:t>
            </w:r>
          </w:p>
          <w:tbl>
            <w:tblPr>
              <w:tblStyle w:val="20"/>
              <w:tblW w:w="5000" w:type="pct"/>
              <w:jc w:val="center"/>
              <w:tblLayout w:type="fixed"/>
              <w:tblCellMar>
                <w:top w:w="0" w:type="dxa"/>
                <w:left w:w="108" w:type="dxa"/>
                <w:bottom w:w="0" w:type="dxa"/>
                <w:right w:w="108" w:type="dxa"/>
              </w:tblCellMar>
            </w:tblPr>
            <w:tblGrid>
              <w:gridCol w:w="1590"/>
              <w:gridCol w:w="788"/>
              <w:gridCol w:w="788"/>
              <w:gridCol w:w="789"/>
              <w:gridCol w:w="789"/>
              <w:gridCol w:w="950"/>
              <w:gridCol w:w="789"/>
              <w:gridCol w:w="789"/>
              <w:gridCol w:w="789"/>
            </w:tblGrid>
            <w:tr w14:paraId="616F843D">
              <w:tblPrEx>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A4DB1">
                  <w:pPr>
                    <w:widowControl/>
                    <w:ind w:firstLine="360" w:firstLineChars="200"/>
                    <w:textAlignment w:val="center"/>
                    <w:rPr>
                      <w:rFonts w:ascii="Times New Roman" w:hAnsi="Times New Roman"/>
                      <w:color w:val="auto"/>
                      <w:sz w:val="18"/>
                      <w:szCs w:val="18"/>
                      <w:highlight w:val="none"/>
                    </w:rPr>
                  </w:pPr>
                  <w:r>
                    <w:rPr>
                      <w:rFonts w:hint="eastAsia" w:ascii="宋体" w:hAnsi="宋体" w:cs="宋体"/>
                      <w:color w:val="auto"/>
                      <w:kern w:val="0"/>
                      <w:sz w:val="18"/>
                      <w:szCs w:val="18"/>
                      <w:highlight w:val="none"/>
                    </w:rPr>
                    <w:t>声级</w:t>
                  </w:r>
                </w:p>
              </w:tc>
              <w:tc>
                <w:tcPr>
                  <w:tcW w:w="509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E9A1335">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测点距声源距离（</w:t>
                  </w:r>
                  <w:r>
                    <w:rPr>
                      <w:rFonts w:ascii="Times New Roman" w:hAnsi="Times New Roman"/>
                      <w:color w:val="auto"/>
                      <w:kern w:val="0"/>
                      <w:sz w:val="18"/>
                      <w:szCs w:val="18"/>
                      <w:highlight w:val="none"/>
                    </w:rPr>
                    <w:t>m</w:t>
                  </w:r>
                  <w:r>
                    <w:rPr>
                      <w:rFonts w:hint="eastAsia" w:ascii="宋体" w:hAnsi="宋体" w:cs="宋体"/>
                      <w:color w:val="auto"/>
                      <w:kern w:val="0"/>
                      <w:sz w:val="18"/>
                      <w:szCs w:val="18"/>
                      <w:highlight w:val="none"/>
                    </w:rPr>
                    <w:t>）</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96CB1">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达标距离（</w:t>
                  </w:r>
                  <w:r>
                    <w:rPr>
                      <w:rFonts w:ascii="Times New Roman" w:hAnsi="Times New Roman"/>
                      <w:color w:val="auto"/>
                      <w:kern w:val="0"/>
                      <w:sz w:val="18"/>
                      <w:szCs w:val="18"/>
                      <w:highlight w:val="none"/>
                    </w:rPr>
                    <w:t>m</w:t>
                  </w:r>
                  <w:r>
                    <w:rPr>
                      <w:rFonts w:hint="eastAsia" w:ascii="宋体" w:hAnsi="宋体" w:cs="宋体"/>
                      <w:color w:val="auto"/>
                      <w:kern w:val="0"/>
                      <w:sz w:val="18"/>
                      <w:szCs w:val="18"/>
                      <w:highlight w:val="none"/>
                    </w:rPr>
                    <w:t>）</w:t>
                  </w:r>
                </w:p>
              </w:tc>
            </w:tr>
            <w:tr w14:paraId="2F5755D6">
              <w:tblPrEx>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FC3C">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噪声源</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C2F9D">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ED5AC">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7477">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DA523">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7044C">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89</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6315B">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158</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A2845">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78A8">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昼间</w:t>
                  </w:r>
                </w:p>
              </w:tc>
            </w:tr>
            <w:tr w14:paraId="3076F327">
              <w:tblPrEx>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2148E">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钻机</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532A2">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0FAC4">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74.9</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23667">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70.0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FEFD1">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DA5BC">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1B3DC">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D8A5A">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45.0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FD876">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28</w:t>
                  </w:r>
                </w:p>
              </w:tc>
            </w:tr>
            <w:tr w14:paraId="6C9C008B">
              <w:tblPrEx>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A83AD">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泥浆泵</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399CF">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79C7A">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69.9</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31CA7">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65.0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3ED2E">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DEC1">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ABE96">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09E99">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52CEE">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16</w:t>
                  </w:r>
                </w:p>
              </w:tc>
            </w:tr>
            <w:tr w14:paraId="2590BBCC">
              <w:tblPrEx>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7DCB2">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绞车</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E6CA6">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4511">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69.9</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A0B13">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65.0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AFB25">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D4CBA">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8BC7F">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602F4">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73705">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16</w:t>
                  </w:r>
                </w:p>
              </w:tc>
            </w:tr>
            <w:tr w14:paraId="05CF1B0C">
              <w:tblPrEx>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858F3">
                  <w:pPr>
                    <w:widowControl/>
                    <w:jc w:val="center"/>
                    <w:textAlignment w:val="center"/>
                    <w:rPr>
                      <w:rFonts w:hint="eastAsia"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电动机</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FBA70">
                  <w:pPr>
                    <w:keepNext w:val="0"/>
                    <w:keepLines w:val="0"/>
                    <w:widowControl/>
                    <w:suppressLineNumbers w:val="0"/>
                    <w:jc w:val="center"/>
                    <w:textAlignment w:val="center"/>
                    <w:rPr>
                      <w:rFonts w:hint="default" w:ascii="Times New Roman" w:hAnsi="Times New Roman" w:eastAsia="宋体"/>
                      <w:color w:val="auto"/>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1384">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69.9</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222C4">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65.0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140E">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770A0">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6812E">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3632F">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10A01">
                  <w:pPr>
                    <w:widowControl/>
                    <w:jc w:val="center"/>
                    <w:textAlignment w:val="center"/>
                    <w:rPr>
                      <w:rFonts w:ascii="Times New Roman" w:hAnsi="Times New Roman" w:eastAsia="宋体" w:cs="Times New Roman"/>
                      <w:color w:val="auto"/>
                      <w:kern w:val="2"/>
                      <w:sz w:val="18"/>
                      <w:szCs w:val="18"/>
                      <w:highlight w:val="none"/>
                      <w:lang w:val="en-US" w:eastAsia="zh-CN" w:bidi="ar-SA"/>
                    </w:rPr>
                  </w:pPr>
                  <w:r>
                    <w:rPr>
                      <w:rFonts w:ascii="Times New Roman" w:hAnsi="Times New Roman"/>
                      <w:color w:val="auto"/>
                      <w:kern w:val="0"/>
                      <w:sz w:val="18"/>
                      <w:szCs w:val="18"/>
                      <w:highlight w:val="none"/>
                    </w:rPr>
                    <w:t>16</w:t>
                  </w:r>
                </w:p>
              </w:tc>
            </w:tr>
          </w:tbl>
          <w:p w14:paraId="06BF865F">
            <w:pPr>
              <w:pStyle w:val="28"/>
              <w:adjustRightInd/>
              <w:spacing w:line="360" w:lineRule="auto"/>
              <w:ind w:firstLine="480" w:firstLineChars="200"/>
              <w:rPr>
                <w:rFonts w:ascii="Times New Roman" w:hAnsi="Times New Roman"/>
                <w:color w:val="auto"/>
                <w:highlight w:val="none"/>
              </w:rPr>
            </w:pPr>
            <w:r>
              <w:rPr>
                <w:rFonts w:ascii="宋体" w:hAnsi="Times New Roman"/>
                <w:color w:val="auto"/>
                <w:highlight w:val="none"/>
              </w:rPr>
              <w:t>②</w:t>
            </w:r>
            <w:r>
              <w:rPr>
                <w:rFonts w:ascii="Times New Roman" w:hAnsi="Times New Roman"/>
                <w:color w:val="auto"/>
                <w:highlight w:val="none"/>
              </w:rPr>
              <w:t>多台施工机械同时作业时的噪声级预测结果见下表。</w:t>
            </w:r>
          </w:p>
          <w:p w14:paraId="12CCA1B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b/>
                <w:color w:val="auto"/>
                <w:sz w:val="21"/>
                <w:szCs w:val="21"/>
                <w:highlight w:val="none"/>
              </w:rPr>
            </w:pPr>
            <w:r>
              <w:rPr>
                <w:rFonts w:ascii="Times New Roman" w:hAnsi="Times New Roman"/>
                <w:b/>
                <w:color w:val="auto"/>
                <w:sz w:val="21"/>
                <w:szCs w:val="21"/>
                <w:highlight w:val="none"/>
              </w:rPr>
              <w:t xml:space="preserve">表4-2 </w:t>
            </w:r>
            <w:r>
              <w:rPr>
                <w:rFonts w:hint="eastAsia" w:ascii="Times New Roman" w:hAnsi="Times New Roman"/>
                <w:b/>
                <w:color w:val="auto"/>
                <w:sz w:val="21"/>
                <w:szCs w:val="21"/>
                <w:highlight w:val="none"/>
                <w:lang w:val="en-US" w:eastAsia="zh-CN"/>
              </w:rPr>
              <w:t xml:space="preserve"> </w:t>
            </w:r>
            <w:r>
              <w:rPr>
                <w:rFonts w:ascii="Times New Roman" w:hAnsi="Times New Roman"/>
                <w:b/>
                <w:color w:val="auto"/>
                <w:sz w:val="21"/>
                <w:szCs w:val="21"/>
                <w:highlight w:val="none"/>
              </w:rPr>
              <w:t>施工期噪声源组合在不同距离的噪声预测值 单位：dB （A）</w:t>
            </w:r>
          </w:p>
          <w:tbl>
            <w:tblPr>
              <w:tblStyle w:val="2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4"/>
              <w:gridCol w:w="593"/>
              <w:gridCol w:w="593"/>
              <w:gridCol w:w="593"/>
              <w:gridCol w:w="593"/>
              <w:gridCol w:w="593"/>
              <w:gridCol w:w="593"/>
              <w:gridCol w:w="593"/>
              <w:gridCol w:w="593"/>
              <w:gridCol w:w="593"/>
              <w:gridCol w:w="593"/>
              <w:gridCol w:w="619"/>
              <w:gridCol w:w="828"/>
            </w:tblGrid>
            <w:tr w14:paraId="1033B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674" w:type="dxa"/>
                  <w:vMerge w:val="restart"/>
                  <w:tcBorders>
                    <w:tl2br w:val="nil"/>
                    <w:tr2bl w:val="nil"/>
                  </w:tcBorders>
                  <w:shd w:val="clear" w:color="auto" w:fill="auto"/>
                  <w:vAlign w:val="center"/>
                </w:tcPr>
                <w:p w14:paraId="4C959DB9">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噪声源组合</w:t>
                  </w:r>
                </w:p>
              </w:tc>
              <w:tc>
                <w:tcPr>
                  <w:tcW w:w="6549" w:type="dxa"/>
                  <w:gridSpan w:val="11"/>
                  <w:tcBorders>
                    <w:tl2br w:val="nil"/>
                    <w:tr2bl w:val="nil"/>
                  </w:tcBorders>
                  <w:shd w:val="clear" w:color="auto" w:fill="auto"/>
                  <w:vAlign w:val="center"/>
                </w:tcPr>
                <w:p w14:paraId="1899A525">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测点距声源距离（</w:t>
                  </w:r>
                  <w:r>
                    <w:rPr>
                      <w:rFonts w:ascii="Times New Roman" w:hAnsi="Times New Roman"/>
                      <w:color w:val="auto"/>
                      <w:kern w:val="0"/>
                      <w:sz w:val="18"/>
                      <w:szCs w:val="18"/>
                      <w:highlight w:val="none"/>
                    </w:rPr>
                    <w:t>m</w:t>
                  </w:r>
                  <w:r>
                    <w:rPr>
                      <w:rFonts w:hint="eastAsia" w:ascii="宋体" w:hAnsi="宋体" w:cs="宋体"/>
                      <w:color w:val="auto"/>
                      <w:kern w:val="0"/>
                      <w:sz w:val="18"/>
                      <w:szCs w:val="18"/>
                      <w:highlight w:val="none"/>
                    </w:rPr>
                    <w:t>）</w:t>
                  </w:r>
                </w:p>
              </w:tc>
              <w:tc>
                <w:tcPr>
                  <w:tcW w:w="828" w:type="dxa"/>
                  <w:tcBorders>
                    <w:tl2br w:val="nil"/>
                    <w:tr2bl w:val="nil"/>
                  </w:tcBorders>
                  <w:shd w:val="clear" w:color="auto" w:fill="auto"/>
                  <w:vAlign w:val="center"/>
                </w:tcPr>
                <w:p w14:paraId="59892740">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达标距离</w:t>
                  </w:r>
                  <w:r>
                    <w:rPr>
                      <w:rFonts w:ascii="Times New Roman" w:hAnsi="Times New Roman"/>
                      <w:color w:val="auto"/>
                      <w:kern w:val="0"/>
                      <w:sz w:val="18"/>
                      <w:szCs w:val="18"/>
                      <w:highlight w:val="none"/>
                    </w:rPr>
                    <w:t>(m)</w:t>
                  </w:r>
                </w:p>
              </w:tc>
            </w:tr>
            <w:tr w14:paraId="1CDBB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674" w:type="dxa"/>
                  <w:vMerge w:val="continue"/>
                  <w:tcBorders>
                    <w:tl2br w:val="nil"/>
                    <w:tr2bl w:val="nil"/>
                  </w:tcBorders>
                  <w:shd w:val="clear" w:color="auto" w:fill="auto"/>
                  <w:vAlign w:val="center"/>
                </w:tcPr>
                <w:p w14:paraId="1AF01506">
                  <w:pPr>
                    <w:jc w:val="center"/>
                    <w:rPr>
                      <w:rFonts w:ascii="宋体" w:hAnsi="宋体" w:cs="宋体"/>
                      <w:color w:val="auto"/>
                      <w:sz w:val="18"/>
                      <w:szCs w:val="18"/>
                      <w:highlight w:val="none"/>
                    </w:rPr>
                  </w:pPr>
                </w:p>
              </w:tc>
              <w:tc>
                <w:tcPr>
                  <w:tcW w:w="593" w:type="dxa"/>
                  <w:tcBorders>
                    <w:tl2br w:val="nil"/>
                    <w:tr2bl w:val="nil"/>
                  </w:tcBorders>
                  <w:shd w:val="clear" w:color="auto" w:fill="auto"/>
                  <w:vAlign w:val="center"/>
                </w:tcPr>
                <w:p w14:paraId="002AC271">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5</w:t>
                  </w:r>
                </w:p>
              </w:tc>
              <w:tc>
                <w:tcPr>
                  <w:tcW w:w="593" w:type="dxa"/>
                  <w:tcBorders>
                    <w:tl2br w:val="nil"/>
                    <w:tr2bl w:val="nil"/>
                  </w:tcBorders>
                  <w:shd w:val="clear" w:color="auto" w:fill="auto"/>
                  <w:vAlign w:val="center"/>
                </w:tcPr>
                <w:p w14:paraId="4719C1F7">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20</w:t>
                  </w:r>
                </w:p>
              </w:tc>
              <w:tc>
                <w:tcPr>
                  <w:tcW w:w="593" w:type="dxa"/>
                  <w:tcBorders>
                    <w:tl2br w:val="nil"/>
                    <w:tr2bl w:val="nil"/>
                  </w:tcBorders>
                  <w:shd w:val="clear" w:color="auto" w:fill="auto"/>
                  <w:vAlign w:val="center"/>
                </w:tcPr>
                <w:p w14:paraId="71E34953">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40</w:t>
                  </w:r>
                </w:p>
              </w:tc>
              <w:tc>
                <w:tcPr>
                  <w:tcW w:w="593" w:type="dxa"/>
                  <w:tcBorders>
                    <w:tl2br w:val="nil"/>
                    <w:tr2bl w:val="nil"/>
                  </w:tcBorders>
                  <w:shd w:val="clear" w:color="auto" w:fill="auto"/>
                  <w:vAlign w:val="center"/>
                </w:tcPr>
                <w:p w14:paraId="3DC0621D">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100</w:t>
                  </w:r>
                </w:p>
              </w:tc>
              <w:tc>
                <w:tcPr>
                  <w:tcW w:w="593" w:type="dxa"/>
                  <w:tcBorders>
                    <w:tl2br w:val="nil"/>
                    <w:tr2bl w:val="nil"/>
                  </w:tcBorders>
                  <w:shd w:val="clear" w:color="auto" w:fill="auto"/>
                  <w:vAlign w:val="center"/>
                </w:tcPr>
                <w:p w14:paraId="6CD83A6A">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120</w:t>
                  </w:r>
                </w:p>
              </w:tc>
              <w:tc>
                <w:tcPr>
                  <w:tcW w:w="593" w:type="dxa"/>
                  <w:tcBorders>
                    <w:tl2br w:val="nil"/>
                    <w:tr2bl w:val="nil"/>
                  </w:tcBorders>
                  <w:shd w:val="clear" w:color="auto" w:fill="auto"/>
                  <w:vAlign w:val="center"/>
                </w:tcPr>
                <w:p w14:paraId="7939D3E9">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150</w:t>
                  </w:r>
                </w:p>
              </w:tc>
              <w:tc>
                <w:tcPr>
                  <w:tcW w:w="593" w:type="dxa"/>
                  <w:tcBorders>
                    <w:tl2br w:val="nil"/>
                    <w:tr2bl w:val="nil"/>
                  </w:tcBorders>
                  <w:shd w:val="clear" w:color="auto" w:fill="auto"/>
                  <w:vAlign w:val="center"/>
                </w:tcPr>
                <w:p w14:paraId="54248E04">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200</w:t>
                  </w:r>
                </w:p>
              </w:tc>
              <w:tc>
                <w:tcPr>
                  <w:tcW w:w="593" w:type="dxa"/>
                  <w:tcBorders>
                    <w:tl2br w:val="nil"/>
                    <w:tr2bl w:val="nil"/>
                  </w:tcBorders>
                  <w:shd w:val="clear" w:color="auto" w:fill="auto"/>
                  <w:vAlign w:val="center"/>
                </w:tcPr>
                <w:p w14:paraId="4F1DEEE9">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220</w:t>
                  </w:r>
                </w:p>
              </w:tc>
              <w:tc>
                <w:tcPr>
                  <w:tcW w:w="593" w:type="dxa"/>
                  <w:tcBorders>
                    <w:tl2br w:val="nil"/>
                    <w:tr2bl w:val="nil"/>
                  </w:tcBorders>
                  <w:shd w:val="clear" w:color="auto" w:fill="auto"/>
                  <w:vAlign w:val="center"/>
                </w:tcPr>
                <w:p w14:paraId="0FCDD2B9">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320</w:t>
                  </w:r>
                </w:p>
              </w:tc>
              <w:tc>
                <w:tcPr>
                  <w:tcW w:w="593" w:type="dxa"/>
                  <w:tcBorders>
                    <w:tl2br w:val="nil"/>
                    <w:tr2bl w:val="nil"/>
                  </w:tcBorders>
                  <w:shd w:val="clear" w:color="auto" w:fill="auto"/>
                  <w:vAlign w:val="center"/>
                </w:tcPr>
                <w:p w14:paraId="76AFC59E">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350</w:t>
                  </w:r>
                </w:p>
              </w:tc>
              <w:tc>
                <w:tcPr>
                  <w:tcW w:w="619" w:type="dxa"/>
                  <w:tcBorders>
                    <w:tl2br w:val="nil"/>
                    <w:tr2bl w:val="nil"/>
                  </w:tcBorders>
                  <w:shd w:val="clear" w:color="auto" w:fill="auto"/>
                  <w:vAlign w:val="center"/>
                </w:tcPr>
                <w:p w14:paraId="282F4277">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600</w:t>
                  </w:r>
                </w:p>
              </w:tc>
              <w:tc>
                <w:tcPr>
                  <w:tcW w:w="828" w:type="dxa"/>
                  <w:tcBorders>
                    <w:tl2br w:val="nil"/>
                    <w:tr2bl w:val="nil"/>
                  </w:tcBorders>
                  <w:shd w:val="clear" w:color="auto" w:fill="auto"/>
                  <w:vAlign w:val="center"/>
                </w:tcPr>
                <w:p w14:paraId="59B62E4C">
                  <w:pPr>
                    <w:widowControl/>
                    <w:jc w:val="center"/>
                    <w:textAlignment w:val="center"/>
                    <w:rPr>
                      <w:rFonts w:ascii="宋体" w:hAnsi="宋体" w:cs="宋体"/>
                      <w:b/>
                      <w:bCs/>
                      <w:color w:val="auto"/>
                      <w:sz w:val="18"/>
                      <w:szCs w:val="18"/>
                      <w:highlight w:val="none"/>
                    </w:rPr>
                  </w:pPr>
                  <w:r>
                    <w:rPr>
                      <w:rFonts w:hint="eastAsia" w:ascii="宋体" w:hAnsi="宋体" w:cs="宋体"/>
                      <w:b w:val="0"/>
                      <w:bCs w:val="0"/>
                      <w:color w:val="auto"/>
                      <w:kern w:val="0"/>
                      <w:sz w:val="18"/>
                      <w:szCs w:val="18"/>
                      <w:highlight w:val="none"/>
                    </w:rPr>
                    <w:t>昼间</w:t>
                  </w:r>
                </w:p>
              </w:tc>
            </w:tr>
            <w:tr w14:paraId="437DC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jc w:val="center"/>
              </w:trPr>
              <w:tc>
                <w:tcPr>
                  <w:tcW w:w="674" w:type="dxa"/>
                  <w:tcBorders>
                    <w:tl2br w:val="nil"/>
                    <w:tr2bl w:val="nil"/>
                  </w:tcBorders>
                  <w:shd w:val="clear" w:color="auto" w:fill="auto"/>
                  <w:vAlign w:val="center"/>
                </w:tcPr>
                <w:p w14:paraId="79211897">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钻井阶段（钻机、</w:t>
                  </w:r>
                  <w:r>
                    <w:rPr>
                      <w:rFonts w:hint="eastAsia" w:ascii="宋体" w:hAnsi="宋体" w:cs="宋体"/>
                      <w:color w:val="auto"/>
                      <w:kern w:val="0"/>
                      <w:sz w:val="18"/>
                      <w:szCs w:val="18"/>
                      <w:highlight w:val="none"/>
                      <w:lang w:val="en-US" w:eastAsia="zh-CN"/>
                    </w:rPr>
                    <w:t>泥浆泵、电动机</w:t>
                  </w:r>
                  <w:r>
                    <w:rPr>
                      <w:rFonts w:hint="eastAsia" w:ascii="宋体" w:hAnsi="宋体" w:cs="宋体"/>
                      <w:color w:val="auto"/>
                      <w:kern w:val="0"/>
                      <w:sz w:val="18"/>
                      <w:szCs w:val="18"/>
                      <w:highlight w:val="none"/>
                    </w:rPr>
                    <w:t>等）</w:t>
                  </w:r>
                </w:p>
              </w:tc>
              <w:tc>
                <w:tcPr>
                  <w:tcW w:w="593" w:type="dxa"/>
                  <w:tcBorders>
                    <w:tl2br w:val="nil"/>
                    <w:tr2bl w:val="nil"/>
                  </w:tcBorders>
                  <w:shd w:val="clear" w:color="auto" w:fill="auto"/>
                  <w:noWrap/>
                  <w:vAlign w:val="center"/>
                </w:tcPr>
                <w:p w14:paraId="4DC80FED">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87.9</w:t>
                  </w:r>
                </w:p>
              </w:tc>
              <w:tc>
                <w:tcPr>
                  <w:tcW w:w="593" w:type="dxa"/>
                  <w:tcBorders>
                    <w:tl2br w:val="nil"/>
                    <w:tr2bl w:val="nil"/>
                  </w:tcBorders>
                  <w:shd w:val="clear" w:color="auto" w:fill="auto"/>
                  <w:vAlign w:val="center"/>
                </w:tcPr>
                <w:p w14:paraId="72207627">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75.9</w:t>
                  </w:r>
                </w:p>
              </w:tc>
              <w:tc>
                <w:tcPr>
                  <w:tcW w:w="593" w:type="dxa"/>
                  <w:tcBorders>
                    <w:tl2br w:val="nil"/>
                    <w:tr2bl w:val="nil"/>
                  </w:tcBorders>
                  <w:shd w:val="clear" w:color="auto" w:fill="auto"/>
                  <w:vAlign w:val="center"/>
                </w:tcPr>
                <w:p w14:paraId="30A96654">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69.8</w:t>
                  </w:r>
                </w:p>
              </w:tc>
              <w:tc>
                <w:tcPr>
                  <w:tcW w:w="593" w:type="dxa"/>
                  <w:tcBorders>
                    <w:tl2br w:val="nil"/>
                    <w:tr2bl w:val="nil"/>
                  </w:tcBorders>
                  <w:shd w:val="clear" w:color="auto" w:fill="auto"/>
                  <w:vAlign w:val="center"/>
                </w:tcPr>
                <w:p w14:paraId="27D55C10">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61.9</w:t>
                  </w:r>
                </w:p>
              </w:tc>
              <w:tc>
                <w:tcPr>
                  <w:tcW w:w="593" w:type="dxa"/>
                  <w:tcBorders>
                    <w:tl2br w:val="nil"/>
                    <w:tr2bl w:val="nil"/>
                  </w:tcBorders>
                  <w:shd w:val="clear" w:color="auto" w:fill="auto"/>
                  <w:vAlign w:val="center"/>
                </w:tcPr>
                <w:p w14:paraId="76573FA9">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60.3</w:t>
                  </w:r>
                </w:p>
              </w:tc>
              <w:tc>
                <w:tcPr>
                  <w:tcW w:w="593" w:type="dxa"/>
                  <w:tcBorders>
                    <w:tl2br w:val="nil"/>
                    <w:tr2bl w:val="nil"/>
                  </w:tcBorders>
                  <w:shd w:val="clear" w:color="auto" w:fill="auto"/>
                  <w:vAlign w:val="center"/>
                </w:tcPr>
                <w:p w14:paraId="09672916">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58.4</w:t>
                  </w:r>
                </w:p>
              </w:tc>
              <w:tc>
                <w:tcPr>
                  <w:tcW w:w="593" w:type="dxa"/>
                  <w:tcBorders>
                    <w:tl2br w:val="nil"/>
                    <w:tr2bl w:val="nil"/>
                  </w:tcBorders>
                  <w:shd w:val="clear" w:color="auto" w:fill="auto"/>
                  <w:vAlign w:val="center"/>
                </w:tcPr>
                <w:p w14:paraId="19B4D463">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55.9</w:t>
                  </w:r>
                </w:p>
              </w:tc>
              <w:tc>
                <w:tcPr>
                  <w:tcW w:w="593" w:type="dxa"/>
                  <w:tcBorders>
                    <w:tl2br w:val="nil"/>
                    <w:tr2bl w:val="nil"/>
                  </w:tcBorders>
                  <w:shd w:val="clear" w:color="auto" w:fill="auto"/>
                  <w:vAlign w:val="center"/>
                </w:tcPr>
                <w:p w14:paraId="0C2CFD73">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55.0</w:t>
                  </w:r>
                </w:p>
              </w:tc>
              <w:tc>
                <w:tcPr>
                  <w:tcW w:w="593" w:type="dxa"/>
                  <w:tcBorders>
                    <w:tl2br w:val="nil"/>
                    <w:tr2bl w:val="nil"/>
                  </w:tcBorders>
                  <w:shd w:val="clear" w:color="auto" w:fill="auto"/>
                  <w:vAlign w:val="center"/>
                </w:tcPr>
                <w:p w14:paraId="7ABAC06D">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51.8</w:t>
                  </w:r>
                </w:p>
              </w:tc>
              <w:tc>
                <w:tcPr>
                  <w:tcW w:w="593" w:type="dxa"/>
                  <w:tcBorders>
                    <w:tl2br w:val="nil"/>
                    <w:tr2bl w:val="nil"/>
                  </w:tcBorders>
                  <w:shd w:val="clear" w:color="auto" w:fill="auto"/>
                  <w:vAlign w:val="center"/>
                </w:tcPr>
                <w:p w14:paraId="74FF880E">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51.0</w:t>
                  </w:r>
                </w:p>
              </w:tc>
              <w:tc>
                <w:tcPr>
                  <w:tcW w:w="619" w:type="dxa"/>
                  <w:tcBorders>
                    <w:tl2br w:val="nil"/>
                    <w:tr2bl w:val="nil"/>
                  </w:tcBorders>
                  <w:shd w:val="clear" w:color="auto" w:fill="auto"/>
                  <w:vAlign w:val="center"/>
                </w:tcPr>
                <w:p w14:paraId="46F44F83">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 xml:space="preserve">46.3 </w:t>
                  </w:r>
                </w:p>
              </w:tc>
              <w:tc>
                <w:tcPr>
                  <w:tcW w:w="828" w:type="dxa"/>
                  <w:tcBorders>
                    <w:tl2br w:val="nil"/>
                    <w:tr2bl w:val="nil"/>
                  </w:tcBorders>
                  <w:shd w:val="clear" w:color="auto" w:fill="auto"/>
                  <w:vAlign w:val="center"/>
                </w:tcPr>
                <w:p w14:paraId="7A20F45C">
                  <w:pPr>
                    <w:widowControl/>
                    <w:jc w:val="center"/>
                    <w:textAlignment w:val="center"/>
                    <w:rPr>
                      <w:rFonts w:ascii="Times New Roman" w:hAnsi="Times New Roman"/>
                      <w:b/>
                      <w:bCs/>
                      <w:color w:val="auto"/>
                      <w:sz w:val="18"/>
                      <w:szCs w:val="18"/>
                      <w:highlight w:val="none"/>
                    </w:rPr>
                  </w:pPr>
                  <w:r>
                    <w:rPr>
                      <w:rFonts w:ascii="Times New Roman" w:hAnsi="Times New Roman"/>
                      <w:b/>
                      <w:bCs/>
                      <w:color w:val="auto"/>
                      <w:kern w:val="0"/>
                      <w:sz w:val="18"/>
                      <w:szCs w:val="18"/>
                      <w:highlight w:val="none"/>
                    </w:rPr>
                    <w:t>40</w:t>
                  </w:r>
                </w:p>
              </w:tc>
            </w:tr>
          </w:tbl>
          <w:p w14:paraId="1F03E97F">
            <w:pPr>
              <w:pStyle w:val="28"/>
              <w:adjustRightInd/>
              <w:spacing w:line="360" w:lineRule="auto"/>
              <w:ind w:firstLine="480" w:firstLineChars="200"/>
              <w:jc w:val="both"/>
              <w:rPr>
                <w:rFonts w:ascii="Times New Roman" w:hAnsi="Times New Roman"/>
                <w:color w:val="auto"/>
                <w:highlight w:val="none"/>
              </w:rPr>
            </w:pPr>
            <w:r>
              <w:rPr>
                <w:rFonts w:hint="eastAsia" w:ascii="Times New Roman" w:hAnsi="Times New Roman"/>
                <w:color w:val="auto"/>
                <w:highlight w:val="none"/>
                <w:lang w:val="en-US" w:eastAsia="zh-CN"/>
              </w:rPr>
              <w:t>由上表可知，单台施工机械施工在28m处、多台施工机械同时施工时在40m处可达到《建筑施工场界环境噪声排放标准》（GB12523-2011）规定限值要求。根据现场踏勘，1#井场最近敏感目标为井场西侧的史圩孜，相距约30m，2#井场最近敏感目标为井场北侧的史圩孜，相距约40m，3#井场最近敏感目标为井场北侧的史圩孜，相距约205m。由此可见本项目井场夜间施工</w:t>
            </w:r>
            <w:r>
              <w:rPr>
                <w:rFonts w:ascii="Times New Roman" w:hAnsi="Times New Roman"/>
                <w:color w:val="auto"/>
                <w:highlight w:val="none"/>
              </w:rPr>
              <w:t>噪声</w:t>
            </w:r>
            <w:r>
              <w:rPr>
                <w:rFonts w:hint="eastAsia" w:ascii="Times New Roman" w:hAnsi="Times New Roman"/>
                <w:color w:val="auto"/>
                <w:highlight w:val="none"/>
                <w:lang w:val="en-US" w:eastAsia="zh-CN"/>
              </w:rPr>
              <w:t>对周边敏感目标</w:t>
            </w:r>
            <w:r>
              <w:rPr>
                <w:rFonts w:ascii="Times New Roman" w:hAnsi="Times New Roman"/>
                <w:color w:val="auto"/>
                <w:highlight w:val="none"/>
              </w:rPr>
              <w:t>影响</w:t>
            </w:r>
            <w:r>
              <w:rPr>
                <w:rFonts w:hint="eastAsia" w:ascii="Times New Roman" w:hAnsi="Times New Roman"/>
                <w:color w:val="auto"/>
                <w:highlight w:val="none"/>
              </w:rPr>
              <w:t>较</w:t>
            </w:r>
            <w:r>
              <w:rPr>
                <w:rFonts w:ascii="Times New Roman" w:hAnsi="Times New Roman"/>
                <w:color w:val="auto"/>
                <w:highlight w:val="none"/>
              </w:rPr>
              <w:t>大</w:t>
            </w:r>
            <w:r>
              <w:rPr>
                <w:rFonts w:hint="eastAsia" w:ascii="Times New Roman" w:hAnsi="Times New Roman"/>
                <w:color w:val="auto"/>
                <w:highlight w:val="none"/>
              </w:rPr>
              <w:t>，</w:t>
            </w:r>
            <w:r>
              <w:rPr>
                <w:rFonts w:hint="eastAsia" w:ascii="Times New Roman" w:hAnsi="Times New Roman"/>
                <w:color w:val="auto"/>
                <w:highlight w:val="none"/>
                <w:lang w:val="en-US" w:eastAsia="zh-CN"/>
              </w:rPr>
              <w:t>因此本项目要求施工单位禁止在夜间施工。鉴于各井场场界现状噪声无法达到上述标准限值，要求施工期设置移动式隔声屏障。该措施可实现15~30dB（A）的降噪效果，本次评价按25dB（A）取值，经治理后，施工场界昼间噪声可满足标准要求。</w:t>
            </w:r>
          </w:p>
          <w:p w14:paraId="21E958C7">
            <w:pPr>
              <w:pStyle w:val="28"/>
              <w:adjustRightInd/>
              <w:spacing w:line="360" w:lineRule="auto"/>
              <w:ind w:firstLine="480" w:firstLineChars="200"/>
              <w:jc w:val="both"/>
              <w:rPr>
                <w:rFonts w:hint="eastAsia" w:ascii="Times New Roman" w:hAnsi="Times New Roman"/>
                <w:color w:val="auto"/>
              </w:rPr>
            </w:pPr>
            <w:r>
              <w:rPr>
                <w:rFonts w:ascii="宋体" w:hAnsi="Times New Roman"/>
                <w:color w:val="auto"/>
              </w:rPr>
              <w:t>③</w:t>
            </w:r>
            <w:r>
              <w:rPr>
                <w:rFonts w:ascii="Times New Roman" w:hAnsi="Times New Roman"/>
                <w:color w:val="auto"/>
              </w:rPr>
              <w:t>多台施工机械同时作业时的</w:t>
            </w:r>
            <w:r>
              <w:rPr>
                <w:rFonts w:hint="eastAsia" w:ascii="Times New Roman" w:hAnsi="Times New Roman"/>
                <w:color w:val="auto"/>
              </w:rPr>
              <w:t>敏感点</w:t>
            </w:r>
            <w:r>
              <w:rPr>
                <w:rFonts w:ascii="Times New Roman" w:hAnsi="Times New Roman"/>
                <w:color w:val="auto"/>
              </w:rPr>
              <w:t>噪声级预测结果见下表</w:t>
            </w:r>
            <w:r>
              <w:rPr>
                <w:rFonts w:hint="eastAsia" w:ascii="Times New Roman" w:hAnsi="Times New Roman"/>
                <w:color w:val="auto"/>
              </w:rPr>
              <w:t>。</w:t>
            </w:r>
          </w:p>
          <w:p w14:paraId="1A43BBD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b/>
                <w:color w:val="auto"/>
                <w:sz w:val="21"/>
                <w:szCs w:val="21"/>
                <w:highlight w:val="none"/>
              </w:rPr>
            </w:pPr>
            <w:r>
              <w:rPr>
                <w:rFonts w:ascii="Times New Roman" w:hAnsi="Times New Roman"/>
                <w:b/>
                <w:color w:val="auto"/>
                <w:sz w:val="21"/>
                <w:szCs w:val="21"/>
                <w:highlight w:val="none"/>
              </w:rPr>
              <w:t>表4-</w:t>
            </w:r>
            <w:r>
              <w:rPr>
                <w:rFonts w:hint="eastAsia" w:ascii="Times New Roman" w:hAnsi="Times New Roman"/>
                <w:b/>
                <w:color w:val="auto"/>
                <w:sz w:val="21"/>
                <w:szCs w:val="21"/>
                <w:highlight w:val="none"/>
              </w:rPr>
              <w:t>3</w:t>
            </w:r>
            <w:r>
              <w:rPr>
                <w:rFonts w:hint="eastAsia" w:ascii="Times New Roman" w:hAnsi="Times New Roman"/>
                <w:b/>
                <w:color w:val="auto"/>
                <w:sz w:val="21"/>
                <w:szCs w:val="21"/>
                <w:highlight w:val="none"/>
                <w:lang w:val="en-US" w:eastAsia="zh-CN"/>
              </w:rPr>
              <w:t xml:space="preserve">  </w:t>
            </w:r>
            <w:r>
              <w:rPr>
                <w:rFonts w:hint="eastAsia" w:ascii="Times New Roman" w:hAnsi="Times New Roman"/>
                <w:b/>
                <w:color w:val="auto"/>
                <w:sz w:val="21"/>
                <w:szCs w:val="21"/>
                <w:highlight w:val="none"/>
              </w:rPr>
              <w:t>施工期</w:t>
            </w:r>
            <w:r>
              <w:rPr>
                <w:rFonts w:hint="eastAsia" w:ascii="Times New Roman" w:hAnsi="Times New Roman"/>
                <w:b/>
                <w:color w:val="auto"/>
                <w:sz w:val="21"/>
                <w:szCs w:val="21"/>
                <w:highlight w:val="none"/>
                <w:lang w:val="en-US" w:eastAsia="zh-CN"/>
              </w:rPr>
              <w:t>单项工程施工对</w:t>
            </w:r>
            <w:r>
              <w:rPr>
                <w:rFonts w:hint="eastAsia" w:ascii="Times New Roman" w:hAnsi="Times New Roman"/>
                <w:b/>
                <w:color w:val="auto"/>
                <w:sz w:val="21"/>
                <w:szCs w:val="21"/>
                <w:highlight w:val="none"/>
              </w:rPr>
              <w:t>环境敏感目标处</w:t>
            </w:r>
            <w:r>
              <w:rPr>
                <w:rFonts w:hint="eastAsia" w:ascii="Times New Roman" w:hAnsi="Times New Roman"/>
                <w:b/>
                <w:color w:val="auto"/>
                <w:sz w:val="21"/>
                <w:szCs w:val="21"/>
                <w:highlight w:val="none"/>
                <w:lang w:val="en-US" w:eastAsia="zh-CN"/>
              </w:rPr>
              <w:t>昼间</w:t>
            </w:r>
            <w:r>
              <w:rPr>
                <w:rFonts w:hint="eastAsia" w:ascii="Times New Roman" w:hAnsi="Times New Roman"/>
                <w:b/>
                <w:color w:val="auto"/>
                <w:sz w:val="21"/>
                <w:szCs w:val="21"/>
                <w:highlight w:val="none"/>
              </w:rPr>
              <w:t>噪声预测结果</w:t>
            </w:r>
            <w:r>
              <w:rPr>
                <w:rFonts w:ascii="Times New Roman" w:hAnsi="Times New Roman"/>
                <w:b/>
                <w:color w:val="auto"/>
                <w:sz w:val="21"/>
                <w:szCs w:val="21"/>
                <w:highlight w:val="none"/>
              </w:rPr>
              <w:t xml:space="preserve">  单位：dB （A）</w:t>
            </w:r>
          </w:p>
          <w:tbl>
            <w:tblPr>
              <w:tblStyle w:val="20"/>
              <w:tblW w:w="78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8"/>
              <w:gridCol w:w="480"/>
              <w:gridCol w:w="894"/>
              <w:gridCol w:w="775"/>
              <w:gridCol w:w="583"/>
              <w:gridCol w:w="683"/>
              <w:gridCol w:w="600"/>
              <w:gridCol w:w="677"/>
              <w:gridCol w:w="804"/>
              <w:gridCol w:w="730"/>
              <w:gridCol w:w="1166"/>
            </w:tblGrid>
            <w:tr w14:paraId="2EEBD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F6DE7">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Times New Roman" w:hAnsi="Times New Roman" w:eastAsia="宋体" w:cs="宋体"/>
                      <w:i w:val="0"/>
                      <w:iCs w:val="0"/>
                      <w:color w:val="auto"/>
                      <w:kern w:val="0"/>
                      <w:sz w:val="18"/>
                      <w:szCs w:val="18"/>
                      <w:u w:val="none"/>
                      <w:lang w:val="en-US" w:eastAsia="zh-CN" w:bidi="ar"/>
                    </w:rPr>
                    <w:t>保护目标名称</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49E74">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Times New Roman" w:hAnsi="Times New Roman" w:eastAsia="宋体" w:cs="宋体"/>
                      <w:i w:val="0"/>
                      <w:iCs w:val="0"/>
                      <w:color w:val="auto"/>
                      <w:kern w:val="0"/>
                      <w:sz w:val="18"/>
                      <w:szCs w:val="18"/>
                      <w:u w:val="none"/>
                      <w:lang w:val="en-US" w:eastAsia="zh-CN" w:bidi="ar"/>
                    </w:rPr>
                    <w:t>井场</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88170">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Times New Roman" w:hAnsi="Times New Roman" w:eastAsia="宋体" w:cs="宋体"/>
                      <w:i w:val="0"/>
                      <w:iCs w:val="0"/>
                      <w:color w:val="auto"/>
                      <w:kern w:val="0"/>
                      <w:sz w:val="18"/>
                      <w:szCs w:val="18"/>
                      <w:u w:val="none"/>
                      <w:lang w:val="en-US" w:eastAsia="zh-CN" w:bidi="ar"/>
                    </w:rPr>
                    <w:t>涉及工程内容</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1E05E">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Times New Roman" w:hAnsi="Times New Roman" w:eastAsia="宋体" w:cs="宋体"/>
                      <w:i w:val="0"/>
                      <w:iCs w:val="0"/>
                      <w:color w:val="auto"/>
                      <w:kern w:val="0"/>
                      <w:sz w:val="18"/>
                      <w:szCs w:val="18"/>
                      <w:u w:val="none"/>
                      <w:lang w:val="en-US" w:eastAsia="zh-CN" w:bidi="ar"/>
                    </w:rPr>
                    <w:t>最近距离（m）</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B0580">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Times New Roman" w:hAnsi="Times New Roman" w:eastAsia="宋体" w:cs="宋体"/>
                      <w:i w:val="0"/>
                      <w:iCs w:val="0"/>
                      <w:color w:val="auto"/>
                      <w:kern w:val="0"/>
                      <w:sz w:val="18"/>
                      <w:szCs w:val="18"/>
                      <w:u w:val="none"/>
                      <w:lang w:val="en-US" w:eastAsia="zh-CN" w:bidi="ar"/>
                    </w:rPr>
                    <w:t>贡献值</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5ACD9">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Times New Roman" w:hAnsi="Times New Roman" w:eastAsia="宋体" w:cs="宋体"/>
                      <w:i w:val="0"/>
                      <w:iCs w:val="0"/>
                      <w:color w:val="auto"/>
                      <w:kern w:val="0"/>
                      <w:sz w:val="18"/>
                      <w:szCs w:val="18"/>
                      <w:u w:val="none"/>
                      <w:lang w:val="en-US" w:eastAsia="zh-CN" w:bidi="ar"/>
                    </w:rPr>
                    <w:t>现状值</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06185">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Times New Roman" w:hAnsi="Times New Roman" w:eastAsia="宋体" w:cs="宋体"/>
                      <w:i w:val="0"/>
                      <w:iCs w:val="0"/>
                      <w:color w:val="auto"/>
                      <w:kern w:val="0"/>
                      <w:sz w:val="18"/>
                      <w:szCs w:val="18"/>
                      <w:u w:val="none"/>
                      <w:lang w:val="en-US" w:eastAsia="zh-CN" w:bidi="ar"/>
                    </w:rPr>
                    <w:t>预测结果</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D3D13">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Times New Roman" w:hAnsi="Times New Roman" w:eastAsia="宋体" w:cs="宋体"/>
                      <w:i w:val="0"/>
                      <w:iCs w:val="0"/>
                      <w:color w:val="auto"/>
                      <w:kern w:val="0"/>
                      <w:sz w:val="18"/>
                      <w:szCs w:val="18"/>
                      <w:u w:val="none"/>
                      <w:lang w:val="en-US" w:eastAsia="zh-CN" w:bidi="ar"/>
                    </w:rPr>
                    <w:t>降噪措施</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78D3F">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Times New Roman" w:hAnsi="Times New Roman" w:eastAsia="宋体" w:cs="宋体"/>
                      <w:i w:val="0"/>
                      <w:iCs w:val="0"/>
                      <w:color w:val="auto"/>
                      <w:kern w:val="0"/>
                      <w:sz w:val="18"/>
                      <w:szCs w:val="18"/>
                      <w:u w:val="none"/>
                      <w:lang w:val="en-US" w:eastAsia="zh-CN" w:bidi="ar"/>
                    </w:rPr>
                    <w:t>降噪后结果</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9B9C5">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Times New Roman" w:hAnsi="Times New Roman" w:eastAsia="宋体" w:cs="宋体"/>
                      <w:i w:val="0"/>
                      <w:iCs w:val="0"/>
                      <w:color w:val="auto"/>
                      <w:kern w:val="0"/>
                      <w:sz w:val="18"/>
                      <w:szCs w:val="18"/>
                      <w:u w:val="none"/>
                      <w:lang w:val="en-US" w:eastAsia="zh-CN" w:bidi="ar"/>
                    </w:rPr>
                    <w:t>降噪措施后是否达标</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FCB21">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Times New Roman" w:hAnsi="Times New Roman" w:eastAsia="宋体" w:cs="宋体"/>
                      <w:i w:val="0"/>
                      <w:iCs w:val="0"/>
                      <w:color w:val="auto"/>
                      <w:kern w:val="0"/>
                      <w:sz w:val="18"/>
                      <w:szCs w:val="18"/>
                      <w:u w:val="none"/>
                      <w:lang w:val="en-US" w:eastAsia="zh-CN" w:bidi="ar"/>
                    </w:rPr>
                    <w:t>现状值来源</w:t>
                  </w:r>
                </w:p>
              </w:tc>
            </w:tr>
            <w:tr w14:paraId="1D489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56CA1">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Times New Roman" w:hAnsi="Times New Roman" w:eastAsia="宋体" w:cs="宋体"/>
                      <w:i w:val="0"/>
                      <w:iCs w:val="0"/>
                      <w:color w:val="auto"/>
                      <w:kern w:val="0"/>
                      <w:sz w:val="18"/>
                      <w:szCs w:val="18"/>
                      <w:u w:val="none"/>
                      <w:lang w:val="en-US" w:eastAsia="zh-CN" w:bidi="ar"/>
                    </w:rPr>
                    <w:t>史圩孜</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8FA47">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Times New Roman" w:hAnsi="Times New Roman" w:cs="宋体"/>
                      <w:i w:val="0"/>
                      <w:iCs w:val="0"/>
                      <w:color w:val="auto"/>
                      <w:kern w:val="0"/>
                      <w:sz w:val="18"/>
                      <w:szCs w:val="18"/>
                      <w:u w:val="none"/>
                      <w:lang w:val="en-US" w:eastAsia="zh-CN" w:bidi="ar"/>
                    </w:rPr>
                    <w:t>1</w:t>
                  </w:r>
                  <w:r>
                    <w:rPr>
                      <w:rFonts w:hint="eastAsia" w:ascii="Times New Roman" w:hAnsi="Times New Roman" w:eastAsia="宋体" w:cs="宋体"/>
                      <w:i w:val="0"/>
                      <w:iCs w:val="0"/>
                      <w:color w:val="auto"/>
                      <w:kern w:val="0"/>
                      <w:sz w:val="18"/>
                      <w:szCs w:val="18"/>
                      <w:u w:val="none"/>
                      <w:lang w:val="en-US" w:eastAsia="zh-CN" w:bidi="ar"/>
                    </w:rPr>
                    <w:t>#井场</w:t>
                  </w:r>
                </w:p>
              </w:tc>
              <w:tc>
                <w:tcPr>
                  <w:tcW w:w="567" w:type="pct"/>
                  <w:vMerge w:val="restart"/>
                  <w:tcBorders>
                    <w:top w:val="single" w:color="000000" w:sz="4" w:space="0"/>
                    <w:left w:val="single" w:color="000000" w:sz="4" w:space="0"/>
                    <w:right w:val="single" w:color="000000" w:sz="4" w:space="0"/>
                  </w:tcBorders>
                  <w:shd w:val="clear" w:color="auto" w:fill="auto"/>
                  <w:vAlign w:val="center"/>
                </w:tcPr>
                <w:p w14:paraId="7D6BA3D3">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Times New Roman" w:hAnsi="Times New Roman" w:eastAsia="宋体" w:cs="宋体"/>
                      <w:i w:val="0"/>
                      <w:iCs w:val="0"/>
                      <w:color w:val="auto"/>
                      <w:kern w:val="0"/>
                      <w:sz w:val="18"/>
                      <w:szCs w:val="18"/>
                      <w:u w:val="none"/>
                      <w:lang w:val="en-US" w:eastAsia="zh-CN" w:bidi="ar"/>
                    </w:rPr>
                    <w:t>钻井阶段</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6AD17">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4F800">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72.3</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BF208">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32DCF">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72.3</w:t>
                  </w:r>
                </w:p>
              </w:tc>
              <w:tc>
                <w:tcPr>
                  <w:tcW w:w="4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8D94E8">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Times New Roman" w:hAnsi="Times New Roman" w:eastAsia="宋体" w:cs="宋体"/>
                      <w:i w:val="0"/>
                      <w:iCs w:val="0"/>
                      <w:color w:val="auto"/>
                      <w:kern w:val="0"/>
                      <w:sz w:val="18"/>
                      <w:szCs w:val="18"/>
                      <w:u w:val="none"/>
                      <w:lang w:val="en-US" w:eastAsia="zh-CN" w:bidi="ar"/>
                    </w:rPr>
                    <w:t>选用低噪声设备、减震、距离衰减、声屏障等措施，降噪25dB</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0A841">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47.3</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26C1">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达标</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F204A">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r>
                    <w:rPr>
                      <w:rFonts w:hint="default" w:ascii="Times New Roman" w:hAnsi="Times New Roman" w:eastAsia="宋体" w:cs="Times New Roman"/>
                      <w:i w:val="0"/>
                      <w:iCs w:val="0"/>
                      <w:color w:val="auto"/>
                      <w:kern w:val="0"/>
                      <w:sz w:val="18"/>
                      <w:szCs w:val="18"/>
                      <w:u w:val="none"/>
                      <w:lang w:val="en-US" w:eastAsia="zh-CN" w:bidi="ar"/>
                    </w:rPr>
                    <w:t>N2</w:t>
                  </w:r>
                  <w:r>
                    <w:rPr>
                      <w:rFonts w:hint="eastAsia" w:ascii="宋体" w:hAnsi="宋体" w:eastAsia="宋体" w:cs="宋体"/>
                      <w:i w:val="0"/>
                      <w:iCs w:val="0"/>
                      <w:color w:val="auto"/>
                      <w:kern w:val="0"/>
                      <w:sz w:val="18"/>
                      <w:szCs w:val="18"/>
                      <w:u w:val="none"/>
                      <w:lang w:val="en-US" w:eastAsia="zh-CN" w:bidi="ar"/>
                    </w:rPr>
                    <w:t>点位）</w:t>
                  </w:r>
                </w:p>
              </w:tc>
            </w:tr>
            <w:tr w14:paraId="73DDE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A4F8B">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Times New Roman" w:hAnsi="Times New Roman" w:eastAsia="宋体" w:cs="宋体"/>
                      <w:i w:val="0"/>
                      <w:iCs w:val="0"/>
                      <w:color w:val="auto"/>
                      <w:kern w:val="0"/>
                      <w:sz w:val="18"/>
                      <w:szCs w:val="18"/>
                      <w:u w:val="none"/>
                      <w:lang w:val="en-US" w:eastAsia="zh-CN" w:bidi="ar"/>
                    </w:rPr>
                    <w:t>史圩孜</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59D2D">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Times New Roman" w:hAnsi="Times New Roman" w:cs="宋体"/>
                      <w:i w:val="0"/>
                      <w:iCs w:val="0"/>
                      <w:color w:val="auto"/>
                      <w:kern w:val="0"/>
                      <w:sz w:val="18"/>
                      <w:szCs w:val="18"/>
                      <w:u w:val="none"/>
                      <w:lang w:val="en-US" w:eastAsia="zh-CN" w:bidi="ar"/>
                    </w:rPr>
                    <w:t>2</w:t>
                  </w:r>
                  <w:r>
                    <w:rPr>
                      <w:rFonts w:hint="eastAsia" w:ascii="Times New Roman" w:hAnsi="Times New Roman" w:eastAsia="宋体" w:cs="宋体"/>
                      <w:i w:val="0"/>
                      <w:iCs w:val="0"/>
                      <w:color w:val="auto"/>
                      <w:kern w:val="0"/>
                      <w:sz w:val="18"/>
                      <w:szCs w:val="18"/>
                      <w:u w:val="none"/>
                      <w:lang w:val="en-US" w:eastAsia="zh-CN" w:bidi="ar"/>
                    </w:rPr>
                    <w:t>#井场</w:t>
                  </w:r>
                </w:p>
              </w:tc>
              <w:tc>
                <w:tcPr>
                  <w:tcW w:w="567" w:type="pct"/>
                  <w:vMerge w:val="continue"/>
                  <w:tcBorders>
                    <w:left w:val="single" w:color="000000" w:sz="4" w:space="0"/>
                    <w:bottom w:val="single" w:color="000000" w:sz="4" w:space="0"/>
                    <w:right w:val="single" w:color="000000" w:sz="4" w:space="0"/>
                  </w:tcBorders>
                  <w:shd w:val="clear" w:color="auto" w:fill="auto"/>
                  <w:vAlign w:val="center"/>
                </w:tcPr>
                <w:p w14:paraId="379B64B7">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61171">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B5A46">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69.8</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48381">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E4286">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69.8</w:t>
                  </w: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E1C67">
                  <w:pPr>
                    <w:jc w:val="center"/>
                    <w:rPr>
                      <w:rFonts w:hint="eastAsia" w:ascii="Times New Roman" w:hAnsi="Times New Roman" w:eastAsia="宋体" w:cs="宋体"/>
                      <w:i w:val="0"/>
                      <w:iCs w:val="0"/>
                      <w:color w:val="auto"/>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D9088">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44.8</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5D650">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达标</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FDF10">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r>
                    <w:rPr>
                      <w:rFonts w:hint="default" w:ascii="Times New Roman" w:hAnsi="Times New Roman" w:eastAsia="宋体" w:cs="Times New Roman"/>
                      <w:i w:val="0"/>
                      <w:iCs w:val="0"/>
                      <w:color w:val="auto"/>
                      <w:kern w:val="0"/>
                      <w:sz w:val="18"/>
                      <w:szCs w:val="18"/>
                      <w:u w:val="none"/>
                      <w:lang w:val="en-US" w:eastAsia="zh-CN" w:bidi="ar"/>
                    </w:rPr>
                    <w:t>N1</w:t>
                  </w:r>
                  <w:r>
                    <w:rPr>
                      <w:rFonts w:hint="eastAsia" w:ascii="宋体" w:hAnsi="宋体" w:eastAsia="宋体" w:cs="宋体"/>
                      <w:i w:val="0"/>
                      <w:iCs w:val="0"/>
                      <w:color w:val="auto"/>
                      <w:kern w:val="0"/>
                      <w:sz w:val="18"/>
                      <w:szCs w:val="18"/>
                      <w:u w:val="none"/>
                      <w:lang w:val="en-US" w:eastAsia="zh-CN" w:bidi="ar"/>
                    </w:rPr>
                    <w:t>点位）</w:t>
                  </w:r>
                </w:p>
              </w:tc>
            </w:tr>
          </w:tbl>
          <w:p w14:paraId="7B8872D5">
            <w:pPr>
              <w:pStyle w:val="28"/>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ascii="Times New Roman" w:hAnsi="Times New Roman" w:eastAsia="宋体" w:cs="Times New Roman"/>
                <w:b w:val="0"/>
                <w:color w:val="auto"/>
                <w:sz w:val="24"/>
                <w:szCs w:val="24"/>
              </w:rPr>
            </w:pPr>
            <w:r>
              <w:rPr>
                <w:rFonts w:hint="eastAsia" w:ascii="Times New Roman" w:hAnsi="Times New Roman" w:eastAsia="宋体" w:cs="Times New Roman"/>
                <w:b w:val="0"/>
                <w:color w:val="auto"/>
                <w:sz w:val="24"/>
                <w:szCs w:val="24"/>
              </w:rPr>
              <w:t>④</w:t>
            </w:r>
            <w:r>
              <w:rPr>
                <w:rFonts w:ascii="Times New Roman" w:hAnsi="Times New Roman" w:eastAsia="宋体" w:cs="Times New Roman"/>
                <w:b w:val="0"/>
                <w:color w:val="auto"/>
                <w:sz w:val="24"/>
                <w:szCs w:val="24"/>
              </w:rPr>
              <w:t>多</w:t>
            </w:r>
            <w:r>
              <w:rPr>
                <w:rFonts w:hint="eastAsia" w:ascii="Times New Roman" w:hAnsi="Times New Roman" w:eastAsia="宋体" w:cs="Times New Roman"/>
                <w:b w:val="0"/>
                <w:color w:val="auto"/>
                <w:sz w:val="24"/>
                <w:szCs w:val="24"/>
                <w:lang w:val="en-US" w:eastAsia="zh-CN"/>
              </w:rPr>
              <w:t>个井场</w:t>
            </w:r>
            <w:r>
              <w:rPr>
                <w:rFonts w:ascii="Times New Roman" w:hAnsi="Times New Roman" w:eastAsia="宋体" w:cs="Times New Roman"/>
                <w:b w:val="0"/>
                <w:color w:val="auto"/>
                <w:sz w:val="24"/>
                <w:szCs w:val="24"/>
              </w:rPr>
              <w:t>同时作业时的</w:t>
            </w:r>
            <w:r>
              <w:rPr>
                <w:rFonts w:hint="eastAsia" w:ascii="Times New Roman" w:hAnsi="Times New Roman" w:eastAsia="宋体" w:cs="Times New Roman"/>
                <w:b w:val="0"/>
                <w:color w:val="auto"/>
                <w:sz w:val="24"/>
                <w:szCs w:val="24"/>
              </w:rPr>
              <w:t>敏感点</w:t>
            </w:r>
            <w:r>
              <w:rPr>
                <w:rFonts w:ascii="Times New Roman" w:hAnsi="Times New Roman" w:eastAsia="宋体" w:cs="Times New Roman"/>
                <w:b w:val="0"/>
                <w:color w:val="auto"/>
                <w:sz w:val="24"/>
                <w:szCs w:val="24"/>
              </w:rPr>
              <w:t>噪声级预测结果见下表</w:t>
            </w:r>
            <w:r>
              <w:rPr>
                <w:rFonts w:hint="eastAsia" w:ascii="Times New Roman" w:hAnsi="Times New Roman" w:eastAsia="宋体" w:cs="Times New Roman"/>
                <w:b w:val="0"/>
                <w:color w:val="auto"/>
                <w:sz w:val="24"/>
                <w:szCs w:val="24"/>
              </w:rPr>
              <w:t>。</w:t>
            </w:r>
          </w:p>
          <w:p w14:paraId="774193D7">
            <w:pPr>
              <w:pStyle w:val="5"/>
              <w:keepNext w:val="0"/>
              <w:keepLines w:val="0"/>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b w:val="0"/>
                <w:color w:val="auto"/>
                <w:sz w:val="24"/>
                <w:szCs w:val="24"/>
                <w:lang w:val="en-US" w:eastAsia="zh-CN"/>
              </w:rPr>
            </w:pPr>
            <w:r>
              <w:rPr>
                <w:rFonts w:hint="eastAsia" w:ascii="Times New Roman" w:hAnsi="Times New Roman" w:eastAsia="宋体" w:cs="Times New Roman"/>
                <w:b w:val="0"/>
                <w:color w:val="auto"/>
                <w:sz w:val="24"/>
                <w:szCs w:val="24"/>
              </w:rPr>
              <w:t>敏感点周边</w:t>
            </w:r>
            <w:r>
              <w:rPr>
                <w:rFonts w:hint="eastAsia" w:ascii="Times New Roman" w:hAnsi="Times New Roman" w:eastAsia="宋体" w:cs="Times New Roman"/>
                <w:b w:val="0"/>
                <w:color w:val="auto"/>
                <w:sz w:val="24"/>
                <w:szCs w:val="24"/>
                <w:lang w:val="en-US" w:eastAsia="zh-CN"/>
              </w:rPr>
              <w:t>考虑</w:t>
            </w:r>
            <w:r>
              <w:rPr>
                <w:rFonts w:hint="eastAsia" w:ascii="Times New Roman" w:hAnsi="Times New Roman" w:eastAsia="宋体" w:cs="Times New Roman"/>
                <w:b w:val="0"/>
                <w:color w:val="auto"/>
                <w:sz w:val="24"/>
                <w:szCs w:val="24"/>
              </w:rPr>
              <w:t>存在多个</w:t>
            </w:r>
            <w:r>
              <w:rPr>
                <w:rFonts w:hint="eastAsia" w:ascii="Times New Roman" w:hAnsi="Times New Roman" w:eastAsia="宋体" w:cs="Times New Roman"/>
                <w:b w:val="0"/>
                <w:color w:val="auto"/>
                <w:sz w:val="24"/>
                <w:szCs w:val="24"/>
                <w:lang w:val="en-US" w:eastAsia="zh-CN"/>
              </w:rPr>
              <w:t>井场同时施工</w:t>
            </w:r>
            <w:r>
              <w:rPr>
                <w:rFonts w:hint="eastAsia" w:ascii="Times New Roman" w:hAnsi="Times New Roman" w:eastAsia="宋体" w:cs="Times New Roman"/>
                <w:b w:val="0"/>
                <w:color w:val="auto"/>
                <w:sz w:val="24"/>
                <w:szCs w:val="24"/>
              </w:rPr>
              <w:t>，多个</w:t>
            </w:r>
            <w:r>
              <w:rPr>
                <w:rFonts w:hint="eastAsia" w:ascii="Times New Roman" w:hAnsi="Times New Roman" w:eastAsia="宋体" w:cs="Times New Roman"/>
                <w:b w:val="0"/>
                <w:color w:val="auto"/>
                <w:sz w:val="24"/>
                <w:szCs w:val="24"/>
                <w:lang w:val="en-US" w:eastAsia="zh-CN"/>
              </w:rPr>
              <w:t>井场</w:t>
            </w:r>
            <w:r>
              <w:rPr>
                <w:rFonts w:hint="eastAsia" w:ascii="Times New Roman" w:hAnsi="Times New Roman" w:eastAsia="宋体" w:cs="Times New Roman"/>
                <w:b w:val="0"/>
                <w:color w:val="auto"/>
                <w:sz w:val="24"/>
                <w:szCs w:val="24"/>
              </w:rPr>
              <w:t>产生的噪声都会对该敏感点产生影响，</w:t>
            </w:r>
            <w:r>
              <w:rPr>
                <w:rFonts w:hint="eastAsia" w:ascii="Times New Roman" w:hAnsi="Times New Roman" w:eastAsia="宋体" w:cs="Times New Roman"/>
                <w:b w:val="0"/>
                <w:color w:val="auto"/>
                <w:sz w:val="24"/>
                <w:szCs w:val="24"/>
                <w:lang w:val="en-US" w:eastAsia="zh-CN"/>
              </w:rPr>
              <w:t>由表4-3可知，钻井阶段对敏感点处噪声贡献值大。因此，</w:t>
            </w:r>
            <w:r>
              <w:rPr>
                <w:rFonts w:hint="eastAsia" w:ascii="Times New Roman" w:hAnsi="Times New Roman" w:eastAsia="宋体" w:cs="Times New Roman"/>
                <w:b w:val="0"/>
                <w:color w:val="auto"/>
                <w:sz w:val="24"/>
                <w:szCs w:val="24"/>
              </w:rPr>
              <w:t>本次</w:t>
            </w:r>
            <w:r>
              <w:rPr>
                <w:rFonts w:hint="eastAsia" w:ascii="Times New Roman" w:hAnsi="Times New Roman" w:eastAsia="宋体" w:cs="Times New Roman"/>
                <w:b w:val="0"/>
                <w:color w:val="auto"/>
                <w:sz w:val="24"/>
                <w:szCs w:val="24"/>
                <w:lang w:val="en-US" w:eastAsia="zh-CN"/>
              </w:rPr>
              <w:t>预测多个井场钻井阶段同时施工对敏感目标的叠加影响</w:t>
            </w:r>
            <w:r>
              <w:rPr>
                <w:rFonts w:hint="eastAsia" w:ascii="Times New Roman" w:hAnsi="Times New Roman" w:eastAsia="宋体" w:cs="Times New Roman"/>
                <w:b w:val="0"/>
                <w:color w:val="auto"/>
                <w:sz w:val="24"/>
                <w:szCs w:val="24"/>
              </w:rPr>
              <w:t>。</w:t>
            </w:r>
            <w:r>
              <w:rPr>
                <w:rFonts w:hint="eastAsia" w:ascii="Times New Roman" w:hAnsi="Times New Roman" w:eastAsia="宋体" w:cs="Times New Roman"/>
                <w:b w:val="0"/>
                <w:color w:val="auto"/>
                <w:sz w:val="24"/>
                <w:szCs w:val="24"/>
                <w:lang w:val="en-US" w:eastAsia="zh-CN"/>
              </w:rPr>
              <w:t>多个井场同时施工</w:t>
            </w:r>
            <w:r>
              <w:rPr>
                <w:rFonts w:hint="eastAsia" w:ascii="Times New Roman" w:hAnsi="Times New Roman" w:eastAsia="宋体" w:cs="Times New Roman"/>
                <w:b w:val="0"/>
                <w:color w:val="auto"/>
                <w:sz w:val="24"/>
                <w:szCs w:val="24"/>
              </w:rPr>
              <w:t>对各临近敏感点声环境影响预测结果见下表。</w:t>
            </w:r>
          </w:p>
          <w:p w14:paraId="575DF0B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b/>
                <w:color w:val="auto"/>
                <w:sz w:val="21"/>
                <w:szCs w:val="21"/>
                <w:highlight w:val="none"/>
              </w:rPr>
            </w:pPr>
            <w:r>
              <w:rPr>
                <w:rFonts w:ascii="Times New Roman" w:hAnsi="Times New Roman"/>
                <w:b/>
                <w:color w:val="auto"/>
                <w:sz w:val="21"/>
                <w:szCs w:val="21"/>
                <w:highlight w:val="none"/>
              </w:rPr>
              <w:t>表4-</w:t>
            </w:r>
            <w:r>
              <w:rPr>
                <w:rFonts w:hint="eastAsia" w:ascii="Times New Roman" w:hAnsi="Times New Roman"/>
                <w:b/>
                <w:color w:val="auto"/>
                <w:sz w:val="21"/>
                <w:szCs w:val="21"/>
                <w:highlight w:val="none"/>
                <w:lang w:val="en-US" w:eastAsia="zh-CN"/>
              </w:rPr>
              <w:t>4  多个井场同时施工</w:t>
            </w:r>
            <w:r>
              <w:rPr>
                <w:rFonts w:hint="eastAsia" w:ascii="Times New Roman" w:hAnsi="Times New Roman"/>
                <w:b/>
                <w:color w:val="auto"/>
                <w:sz w:val="21"/>
                <w:szCs w:val="21"/>
                <w:highlight w:val="none"/>
              </w:rPr>
              <w:t>环境敏感目标处</w:t>
            </w:r>
            <w:r>
              <w:rPr>
                <w:rFonts w:hint="eastAsia" w:ascii="Times New Roman" w:hAnsi="Times New Roman"/>
                <w:b/>
                <w:color w:val="auto"/>
                <w:sz w:val="21"/>
                <w:szCs w:val="21"/>
                <w:highlight w:val="none"/>
                <w:lang w:val="en-US" w:eastAsia="zh-CN"/>
              </w:rPr>
              <w:t>昼间</w:t>
            </w:r>
            <w:r>
              <w:rPr>
                <w:rFonts w:hint="eastAsia" w:ascii="Times New Roman" w:hAnsi="Times New Roman"/>
                <w:b/>
                <w:color w:val="auto"/>
                <w:sz w:val="21"/>
                <w:szCs w:val="21"/>
                <w:highlight w:val="none"/>
              </w:rPr>
              <w:t>噪声预测结果</w:t>
            </w:r>
            <w:r>
              <w:rPr>
                <w:rFonts w:ascii="Times New Roman" w:hAnsi="Times New Roman"/>
                <w:b/>
                <w:color w:val="auto"/>
                <w:sz w:val="21"/>
                <w:szCs w:val="21"/>
                <w:highlight w:val="none"/>
              </w:rPr>
              <w:t xml:space="preserve">  单位：dB（A）</w:t>
            </w:r>
          </w:p>
          <w:tbl>
            <w:tblPr>
              <w:tblStyle w:val="20"/>
              <w:tblW w:w="78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2"/>
              <w:gridCol w:w="937"/>
              <w:gridCol w:w="632"/>
              <w:gridCol w:w="730"/>
              <w:gridCol w:w="705"/>
              <w:gridCol w:w="720"/>
              <w:gridCol w:w="585"/>
              <w:gridCol w:w="720"/>
              <w:gridCol w:w="840"/>
              <w:gridCol w:w="739"/>
              <w:gridCol w:w="635"/>
            </w:tblGrid>
            <w:tr w14:paraId="60D23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9676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保护目标名称</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0156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预测情景</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E555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井场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B0AF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涉及工程内容</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8712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单井施工</w:t>
                  </w:r>
                  <w:r>
                    <w:rPr>
                      <w:rFonts w:hint="eastAsia" w:ascii="宋体" w:hAnsi="宋体" w:eastAsia="宋体" w:cs="宋体"/>
                      <w:i w:val="0"/>
                      <w:iCs w:val="0"/>
                      <w:color w:val="auto"/>
                      <w:kern w:val="0"/>
                      <w:sz w:val="18"/>
                      <w:szCs w:val="18"/>
                      <w:u w:val="none"/>
                      <w:lang w:val="en-US" w:eastAsia="zh-CN" w:bidi="ar"/>
                    </w:rPr>
                    <w:t>贡献值</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0DCD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叠加贡献值</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E983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现状值</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DF6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叠加预测值</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217C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降噪措施</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3500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降噪后结果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D4F4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降噪措施后是否达标</w:t>
                  </w:r>
                </w:p>
              </w:tc>
            </w:tr>
            <w:tr w14:paraId="6B61A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0" w:hRule="atLeast"/>
              </w:trPr>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CE486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史圩孜</w:t>
                  </w:r>
                </w:p>
              </w:tc>
              <w:tc>
                <w:tcPr>
                  <w:tcW w:w="5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CDA81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w:t>
                  </w:r>
                  <w:r>
                    <w:rPr>
                      <w:rFonts w:hint="eastAsia" w:ascii="宋体" w:hAnsi="宋体" w:cs="宋体"/>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#井场同时施工</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82DA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D90E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钻井阶段</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10C8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72.3</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ED115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74.2</w:t>
                  </w:r>
                </w:p>
              </w:tc>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9D39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D4E1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74.2</w:t>
                  </w:r>
                </w:p>
              </w:tc>
              <w:tc>
                <w:tcPr>
                  <w:tcW w:w="5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905B7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选用低噪声设备、减震、距离衰减、声屏障等措施，降噪25dB</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50274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49.2</w:t>
                  </w: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80BA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达标</w:t>
                  </w:r>
                </w:p>
              </w:tc>
            </w:tr>
            <w:tr w14:paraId="0F8D5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9C44A">
                  <w:pPr>
                    <w:jc w:val="center"/>
                    <w:rPr>
                      <w:rFonts w:hint="eastAsia" w:ascii="宋体" w:hAnsi="宋体" w:eastAsia="宋体" w:cs="宋体"/>
                      <w:i w:val="0"/>
                      <w:iCs w:val="0"/>
                      <w:color w:val="auto"/>
                      <w:sz w:val="18"/>
                      <w:szCs w:val="18"/>
                      <w:u w:val="none"/>
                    </w:rPr>
                  </w:pPr>
                </w:p>
              </w:tc>
              <w:tc>
                <w:tcPr>
                  <w:tcW w:w="5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E5179">
                  <w:pPr>
                    <w:jc w:val="center"/>
                    <w:rPr>
                      <w:rFonts w:hint="eastAsia" w:ascii="宋体" w:hAnsi="宋体" w:eastAsia="宋体" w:cs="宋体"/>
                      <w:i w:val="0"/>
                      <w:iCs w:val="0"/>
                      <w:color w:val="auto"/>
                      <w:sz w:val="18"/>
                      <w:szCs w:val="18"/>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778A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1179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钻井阶段</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DB6E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69.8</w:t>
                  </w: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AA527">
                  <w:pPr>
                    <w:jc w:val="center"/>
                    <w:rPr>
                      <w:rFonts w:hint="eastAsia" w:ascii="宋体" w:hAnsi="宋体" w:eastAsia="宋体" w:cs="宋体"/>
                      <w:i w:val="0"/>
                      <w:iCs w:val="0"/>
                      <w:color w:val="auto"/>
                      <w:sz w:val="18"/>
                      <w:szCs w:val="18"/>
                      <w:u w:val="none"/>
                    </w:rPr>
                  </w:pPr>
                </w:p>
              </w:tc>
              <w:tc>
                <w:tcPr>
                  <w:tcW w:w="3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A48A4">
                  <w:pPr>
                    <w:jc w:val="center"/>
                    <w:rPr>
                      <w:rFonts w:hint="eastAsia" w:ascii="宋体" w:hAnsi="宋体" w:eastAsia="宋体" w:cs="宋体"/>
                      <w:i w:val="0"/>
                      <w:iCs w:val="0"/>
                      <w:color w:val="auto"/>
                      <w:sz w:val="18"/>
                      <w:szCs w:val="18"/>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71AFD">
                  <w:pPr>
                    <w:jc w:val="center"/>
                    <w:rPr>
                      <w:rFonts w:hint="eastAsia" w:ascii="宋体" w:hAnsi="宋体" w:eastAsia="宋体" w:cs="宋体"/>
                      <w:i w:val="0"/>
                      <w:iCs w:val="0"/>
                      <w:color w:val="auto"/>
                      <w:sz w:val="18"/>
                      <w:szCs w:val="18"/>
                      <w:u w:val="none"/>
                    </w:rPr>
                  </w:pP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707F3">
                  <w:pPr>
                    <w:jc w:val="center"/>
                    <w:rPr>
                      <w:rFonts w:hint="eastAsia" w:ascii="宋体" w:hAnsi="宋体" w:eastAsia="宋体" w:cs="宋体"/>
                      <w:i w:val="0"/>
                      <w:iCs w:val="0"/>
                      <w:color w:val="auto"/>
                      <w:sz w:val="18"/>
                      <w:szCs w:val="18"/>
                      <w:u w:val="none"/>
                    </w:rPr>
                  </w:pPr>
                </w:p>
              </w:tc>
              <w:tc>
                <w:tcPr>
                  <w:tcW w:w="4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6C288">
                  <w:pPr>
                    <w:jc w:val="center"/>
                    <w:rPr>
                      <w:rFonts w:hint="eastAsia" w:ascii="宋体" w:hAnsi="宋体" w:eastAsia="宋体" w:cs="宋体"/>
                      <w:i w:val="0"/>
                      <w:iCs w:val="0"/>
                      <w:color w:val="auto"/>
                      <w:sz w:val="18"/>
                      <w:szCs w:val="18"/>
                      <w:u w:val="none"/>
                    </w:rPr>
                  </w:pPr>
                </w:p>
              </w:tc>
              <w:tc>
                <w:tcPr>
                  <w:tcW w:w="4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4D8D8">
                  <w:pPr>
                    <w:jc w:val="center"/>
                    <w:rPr>
                      <w:rFonts w:hint="eastAsia" w:ascii="宋体" w:hAnsi="宋体" w:eastAsia="宋体" w:cs="宋体"/>
                      <w:i w:val="0"/>
                      <w:iCs w:val="0"/>
                      <w:color w:val="auto"/>
                      <w:sz w:val="18"/>
                      <w:szCs w:val="18"/>
                      <w:u w:val="none"/>
                    </w:rPr>
                  </w:pPr>
                </w:p>
              </w:tc>
            </w:tr>
          </w:tbl>
          <w:p w14:paraId="2CA87D2A">
            <w:pPr>
              <w:pStyle w:val="5"/>
              <w:spacing w:line="360" w:lineRule="auto"/>
              <w:ind w:firstLine="480"/>
              <w:rPr>
                <w:rFonts w:ascii="Times New Roman" w:hAnsi="Times New Roman"/>
                <w:color w:val="auto"/>
                <w:sz w:val="24"/>
              </w:rPr>
            </w:pPr>
            <w:r>
              <w:rPr>
                <w:rFonts w:hint="eastAsia" w:ascii="Times New Roman" w:hAnsi="Times New Roman"/>
                <w:color w:val="auto"/>
                <w:sz w:val="24"/>
                <w:lang w:val="en-US" w:eastAsia="zh-CN"/>
              </w:rPr>
              <w:t>经预测，距离</w:t>
            </w:r>
            <w:r>
              <w:rPr>
                <w:rFonts w:hint="eastAsia" w:ascii="Times New Roman" w:hAnsi="Times New Roman"/>
                <w:color w:val="auto"/>
                <w:sz w:val="24"/>
              </w:rPr>
              <w:t>本项目</w:t>
            </w:r>
            <w:r>
              <w:rPr>
                <w:rFonts w:hint="eastAsia" w:ascii="Times New Roman" w:hAnsi="Times New Roman"/>
                <w:color w:val="auto"/>
                <w:sz w:val="24"/>
                <w:lang w:val="en-US" w:eastAsia="zh-CN"/>
              </w:rPr>
              <w:t>1</w:t>
            </w:r>
            <w:r>
              <w:rPr>
                <w:rFonts w:hint="eastAsia" w:ascii="Times New Roman" w:hAnsi="Times New Roman"/>
                <w:color w:val="auto"/>
                <w:sz w:val="24"/>
              </w:rPr>
              <w:t>号井场、</w:t>
            </w:r>
            <w:r>
              <w:rPr>
                <w:rFonts w:hint="eastAsia" w:ascii="Times New Roman" w:hAnsi="Times New Roman"/>
                <w:color w:val="auto"/>
                <w:sz w:val="24"/>
                <w:lang w:val="en-US" w:eastAsia="zh-CN"/>
              </w:rPr>
              <w:t>2</w:t>
            </w:r>
            <w:r>
              <w:rPr>
                <w:rFonts w:hint="eastAsia" w:ascii="Times New Roman" w:hAnsi="Times New Roman"/>
                <w:color w:val="auto"/>
                <w:sz w:val="24"/>
              </w:rPr>
              <w:t>号井场施工场地50米范围内</w:t>
            </w:r>
            <w:r>
              <w:rPr>
                <w:rFonts w:hint="eastAsia" w:ascii="Times New Roman" w:hAnsi="Times New Roman"/>
                <w:color w:val="auto"/>
                <w:sz w:val="24"/>
                <w:lang w:val="en-US" w:eastAsia="zh-CN"/>
              </w:rPr>
              <w:t>的居民点史圩孜</w:t>
            </w:r>
            <w:r>
              <w:rPr>
                <w:rFonts w:hint="eastAsia" w:ascii="Times New Roman" w:hAnsi="Times New Roman"/>
                <w:color w:val="auto"/>
                <w:sz w:val="24"/>
              </w:rPr>
              <w:t>，项目施工在不采取有效措施时可能会对这些居民产生短时间噪声影</w:t>
            </w:r>
            <w:r>
              <w:rPr>
                <w:rFonts w:hint="eastAsia" w:ascii="Times New Roman" w:hAnsi="Times New Roman"/>
                <w:color w:val="auto"/>
                <w:sz w:val="24"/>
                <w:lang w:eastAsia="zh-CN"/>
              </w:rPr>
              <w:t>，</w:t>
            </w:r>
            <w:r>
              <w:rPr>
                <w:rFonts w:hint="eastAsia" w:ascii="Times New Roman" w:hAnsi="Times New Roman"/>
                <w:color w:val="auto"/>
                <w:sz w:val="24"/>
              </w:rPr>
              <w:t>施工单位</w:t>
            </w:r>
            <w:r>
              <w:rPr>
                <w:rFonts w:hint="eastAsia" w:ascii="Times New Roman" w:hAnsi="Times New Roman"/>
                <w:color w:val="auto"/>
                <w:sz w:val="24"/>
                <w:lang w:val="en-US" w:eastAsia="zh-CN"/>
              </w:rPr>
              <w:t>在施工阶段需安装</w:t>
            </w:r>
            <w:r>
              <w:rPr>
                <w:rFonts w:hint="eastAsia" w:ascii="Times New Roman" w:hAnsi="Times New Roman"/>
                <w:color w:val="auto"/>
                <w:sz w:val="24"/>
              </w:rPr>
              <w:t>移动声屏障，</w:t>
            </w:r>
            <w:r>
              <w:rPr>
                <w:rFonts w:hint="eastAsia" w:ascii="Times New Roman" w:hAnsi="Times New Roman"/>
                <w:color w:val="auto"/>
                <w:sz w:val="24"/>
                <w:lang w:val="en-US" w:eastAsia="zh-CN"/>
              </w:rPr>
              <w:t>方可实现敏感目标满足标准要求</w:t>
            </w:r>
            <w:r>
              <w:rPr>
                <w:rFonts w:hint="eastAsia" w:ascii="Times New Roman" w:hAnsi="Times New Roman"/>
                <w:color w:val="auto"/>
                <w:sz w:val="24"/>
                <w:lang w:eastAsia="zh-CN"/>
              </w:rPr>
              <w:t>；</w:t>
            </w:r>
            <w:r>
              <w:rPr>
                <w:rFonts w:hint="eastAsia" w:ascii="Times New Roman" w:hAnsi="Times New Roman"/>
                <w:color w:val="auto"/>
                <w:sz w:val="24"/>
                <w:lang w:val="en-US" w:eastAsia="zh-CN"/>
              </w:rPr>
              <w:t>同时</w:t>
            </w:r>
            <w:r>
              <w:rPr>
                <w:rFonts w:hint="eastAsia" w:ascii="Times New Roman" w:hAnsi="Times New Roman"/>
                <w:color w:val="auto"/>
                <w:sz w:val="24"/>
              </w:rPr>
              <w:t>要求施工单位禁止在夜间施工。施工噪声应采取如下治理措施以保证敏感点声环境质量达标：</w:t>
            </w:r>
          </w:p>
          <w:p w14:paraId="54C2DC3E">
            <w:pPr>
              <w:pStyle w:val="5"/>
              <w:spacing w:line="360" w:lineRule="auto"/>
              <w:ind w:firstLine="480"/>
              <w:rPr>
                <w:rFonts w:hint="eastAsia" w:ascii="Times New Roman" w:hAnsi="Times New Roman"/>
                <w:color w:val="auto"/>
                <w:sz w:val="24"/>
              </w:rPr>
            </w:pPr>
            <w:r>
              <w:rPr>
                <w:rFonts w:hint="eastAsia" w:ascii="Times New Roman" w:hAnsi="Times New Roman"/>
                <w:color w:val="auto"/>
                <w:sz w:val="24"/>
              </w:rPr>
              <w:t>①采用声屏障措施：根据预测结果，项目施工过程中，存在敏感目标噪声值超标，</w:t>
            </w:r>
            <w:r>
              <w:rPr>
                <w:rFonts w:hint="eastAsia" w:ascii="Times New Roman" w:hAnsi="Times New Roman"/>
                <w:color w:val="auto"/>
                <w:sz w:val="24"/>
                <w:lang w:val="en-US" w:eastAsia="zh-CN"/>
              </w:rPr>
              <w:t>1</w:t>
            </w:r>
            <w:r>
              <w:rPr>
                <w:rFonts w:hint="eastAsia" w:ascii="Times New Roman" w:hAnsi="Times New Roman"/>
                <w:color w:val="auto"/>
                <w:sz w:val="24"/>
              </w:rPr>
              <w:t>号井场、</w:t>
            </w:r>
            <w:r>
              <w:rPr>
                <w:rFonts w:hint="eastAsia" w:ascii="Times New Roman" w:hAnsi="Times New Roman"/>
                <w:color w:val="auto"/>
                <w:sz w:val="24"/>
                <w:lang w:val="en-US" w:eastAsia="zh-CN"/>
              </w:rPr>
              <w:t>2</w:t>
            </w:r>
            <w:r>
              <w:rPr>
                <w:rFonts w:hint="eastAsia" w:ascii="Times New Roman" w:hAnsi="Times New Roman"/>
                <w:color w:val="auto"/>
                <w:sz w:val="24"/>
              </w:rPr>
              <w:t>号井场施工场地50m范围内有噪声敏感保护目标，昼间施工考虑采取移动式隔声屏障，其隔声降噪措施降低噪声15~30dB（A），本次评价选取25dB（A），采取声屏障措施后，敏感点噪声均达标。</w:t>
            </w:r>
            <w:r>
              <w:rPr>
                <w:rFonts w:hint="eastAsia" w:ascii="Times New Roman" w:hAnsi="Times New Roman"/>
                <w:color w:val="auto"/>
                <w:sz w:val="24"/>
                <w:lang w:val="en-US" w:eastAsia="zh-CN"/>
              </w:rPr>
              <w:t>同时</w:t>
            </w:r>
            <w:r>
              <w:rPr>
                <w:rFonts w:hint="eastAsia" w:ascii="Times New Roman" w:hAnsi="Times New Roman"/>
                <w:color w:val="auto"/>
                <w:sz w:val="24"/>
              </w:rPr>
              <w:t>要求施工单位禁止在夜间施工。</w:t>
            </w:r>
          </w:p>
          <w:p w14:paraId="0CF1DB24">
            <w:pPr>
              <w:pStyle w:val="5"/>
              <w:spacing w:line="360" w:lineRule="auto"/>
              <w:ind w:firstLine="480"/>
              <w:rPr>
                <w:rFonts w:ascii="Times New Roman" w:hAnsi="Times New Roman"/>
                <w:color w:val="auto"/>
                <w:sz w:val="24"/>
              </w:rPr>
            </w:pPr>
            <w:r>
              <w:rPr>
                <w:rFonts w:hint="eastAsia" w:ascii="Times New Roman" w:hAnsi="Times New Roman"/>
                <w:color w:val="auto"/>
                <w:sz w:val="24"/>
              </w:rPr>
              <w:t>②施工过程中使用的主要机械设备应为低噪声机械设备，同时在施工过程中施工单位应设专人对设备进行定期保养和维护，避免由于设备故障而导致噪声增强现象的发生。并负责对现场工作人员进行培训，严格按操作规范使用各类机械。</w:t>
            </w:r>
          </w:p>
          <w:p w14:paraId="7EBEDDCE">
            <w:pPr>
              <w:pStyle w:val="5"/>
              <w:spacing w:line="360" w:lineRule="auto"/>
              <w:ind w:firstLine="480"/>
              <w:rPr>
                <w:rFonts w:ascii="Times New Roman" w:hAnsi="Times New Roman"/>
                <w:color w:val="auto"/>
                <w:sz w:val="24"/>
              </w:rPr>
            </w:pPr>
            <w:r>
              <w:rPr>
                <w:rFonts w:hint="eastAsia" w:ascii="Times New Roman" w:hAnsi="Times New Roman"/>
                <w:color w:val="auto"/>
                <w:sz w:val="24"/>
              </w:rPr>
              <w:t>③采用距离防护措施：在不影响施工情况下将噪声设备不集中安排，并将其移至距离居民住宅等敏感点较远处。</w:t>
            </w:r>
          </w:p>
          <w:p w14:paraId="5CAA8AA2">
            <w:pPr>
              <w:pStyle w:val="5"/>
              <w:spacing w:line="360" w:lineRule="auto"/>
              <w:ind w:firstLine="480"/>
              <w:rPr>
                <w:rFonts w:ascii="Times New Roman" w:hAnsi="Times New Roman"/>
                <w:color w:val="auto"/>
                <w:sz w:val="24"/>
              </w:rPr>
            </w:pPr>
            <w:r>
              <w:rPr>
                <w:rFonts w:hint="eastAsia" w:ascii="Times New Roman" w:hAnsi="Times New Roman"/>
                <w:color w:val="auto"/>
                <w:sz w:val="24"/>
              </w:rPr>
              <w:t>④施工场地的施工车辆出入地点应远离敏感点，车辆出入现场时应低速、禁鸣。</w:t>
            </w:r>
          </w:p>
          <w:p w14:paraId="4DEB60DC">
            <w:pPr>
              <w:pStyle w:val="5"/>
              <w:spacing w:line="360" w:lineRule="auto"/>
              <w:ind w:firstLine="480"/>
              <w:rPr>
                <w:rFonts w:ascii="Times New Roman" w:hAnsi="Times New Roman"/>
                <w:color w:val="auto"/>
                <w:sz w:val="24"/>
              </w:rPr>
            </w:pPr>
            <w:r>
              <w:rPr>
                <w:rFonts w:hint="eastAsia" w:ascii="Times New Roman" w:hAnsi="Times New Roman"/>
                <w:color w:val="auto"/>
                <w:sz w:val="24"/>
              </w:rPr>
              <w:t>⑤建设管理部门应加强对施工场地的噪声管理，施工企业也应对施工噪声进行自律，文明施工，避免因施工噪声产生纠纷。</w:t>
            </w:r>
          </w:p>
          <w:p w14:paraId="1631D10B">
            <w:pPr>
              <w:pStyle w:val="5"/>
              <w:spacing w:line="360" w:lineRule="auto"/>
              <w:ind w:firstLine="480"/>
              <w:rPr>
                <w:rFonts w:ascii="Times New Roman" w:hAnsi="Times New Roman"/>
                <w:color w:val="auto"/>
                <w:sz w:val="24"/>
              </w:rPr>
            </w:pPr>
            <w:r>
              <w:rPr>
                <w:rFonts w:hint="eastAsia" w:ascii="Times New Roman" w:hAnsi="Times New Roman"/>
                <w:color w:val="auto"/>
                <w:sz w:val="24"/>
              </w:rPr>
              <w:t>⑥加强施工期噪声监测，发现施工噪声超标并对附近居民点产生影响时必须首先停止施工，并应及时采取有效的噪声污染防治措施，在验证可做到噪声达标排放的前提下方可继续施工。</w:t>
            </w:r>
          </w:p>
          <w:p w14:paraId="65C4B696">
            <w:pPr>
              <w:pStyle w:val="5"/>
              <w:spacing w:line="360" w:lineRule="auto"/>
              <w:ind w:firstLine="482"/>
              <w:rPr>
                <w:rFonts w:hint="eastAsia" w:ascii="Times New Roman" w:hAnsi="Times New Roman" w:eastAsia="宋体"/>
                <w:b/>
                <w:bCs/>
                <w:color w:val="auto"/>
                <w:sz w:val="24"/>
                <w:highlight w:val="none"/>
                <w:lang w:val="en-US" w:eastAsia="zh-CN"/>
              </w:rPr>
            </w:pPr>
            <w:r>
              <w:rPr>
                <w:rFonts w:ascii="Times New Roman" w:hAnsi="Times New Roman"/>
                <w:b/>
                <w:bCs/>
                <w:color w:val="auto"/>
                <w:sz w:val="24"/>
                <w:highlight w:val="none"/>
              </w:rPr>
              <w:t>4、施工固体废物处理处置</w:t>
            </w:r>
          </w:p>
          <w:p w14:paraId="7675FA0E">
            <w:pPr>
              <w:pStyle w:val="5"/>
              <w:spacing w:line="360" w:lineRule="auto"/>
              <w:ind w:firstLine="480"/>
              <w:rPr>
                <w:rFonts w:ascii="Times New Roman" w:hAnsi="Times New Roman"/>
                <w:bCs/>
                <w:color w:val="auto"/>
                <w:sz w:val="24"/>
                <w:highlight w:val="none"/>
              </w:rPr>
            </w:pPr>
            <w:r>
              <w:rPr>
                <w:rFonts w:ascii="Times New Roman" w:hAnsi="Times New Roman"/>
                <w:bCs/>
                <w:color w:val="auto"/>
                <w:sz w:val="24"/>
                <w:highlight w:val="none"/>
              </w:rPr>
              <w:t>本项目产生的固体废物主要为一般固废、生活垃圾和危险废物。</w:t>
            </w:r>
          </w:p>
          <w:p w14:paraId="6DE81D1C">
            <w:pPr>
              <w:pStyle w:val="3"/>
              <w:spacing w:line="360" w:lineRule="auto"/>
              <w:ind w:left="0" w:firstLine="480" w:firstLineChars="200"/>
              <w:rPr>
                <w:rFonts w:ascii="Times New Roman" w:hAnsi="Times New Roman" w:cs="Times New Roman"/>
                <w:b w:val="0"/>
                <w:color w:val="auto"/>
                <w:highlight w:val="none"/>
                <w:lang w:val="en-US" w:bidi="ar-SA"/>
              </w:rPr>
            </w:pPr>
            <w:r>
              <w:rPr>
                <w:rFonts w:ascii="Times New Roman" w:hAnsi="Times New Roman" w:cs="Times New Roman"/>
                <w:b w:val="0"/>
                <w:color w:val="auto"/>
                <w:highlight w:val="none"/>
                <w:lang w:val="en-US" w:bidi="ar-SA"/>
              </w:rPr>
              <w:t>（1）一般固废</w:t>
            </w:r>
          </w:p>
          <w:p w14:paraId="2C8B2E74">
            <w:pPr>
              <w:pStyle w:val="5"/>
              <w:spacing w:line="360" w:lineRule="auto"/>
              <w:ind w:firstLine="480"/>
              <w:rPr>
                <w:rFonts w:ascii="Times New Roman" w:hAnsi="Times New Roman"/>
                <w:bCs/>
                <w:color w:val="auto"/>
                <w:sz w:val="24"/>
                <w:highlight w:val="none"/>
              </w:rPr>
            </w:pPr>
            <w:r>
              <w:rPr>
                <w:rFonts w:ascii="Times New Roman" w:hAnsi="Times New Roman"/>
                <w:bCs/>
                <w:color w:val="auto"/>
                <w:sz w:val="24"/>
                <w:highlight w:val="none"/>
              </w:rPr>
              <w:t>一般固废主要为钻井</w:t>
            </w:r>
            <w:r>
              <w:rPr>
                <w:rFonts w:hint="eastAsia" w:ascii="Times New Roman" w:hAnsi="Times New Roman"/>
                <w:bCs/>
                <w:color w:val="auto"/>
                <w:sz w:val="24"/>
                <w:highlight w:val="none"/>
                <w:lang w:val="en-US" w:eastAsia="zh-CN"/>
              </w:rPr>
              <w:t>泥浆</w:t>
            </w:r>
            <w:r>
              <w:rPr>
                <w:rFonts w:ascii="Times New Roman" w:hAnsi="Times New Roman"/>
                <w:bCs/>
                <w:color w:val="auto"/>
                <w:sz w:val="24"/>
                <w:highlight w:val="none"/>
              </w:rPr>
              <w:t>、</w:t>
            </w:r>
            <w:r>
              <w:rPr>
                <w:rFonts w:hint="eastAsia" w:ascii="Times New Roman" w:hAnsi="Times New Roman"/>
                <w:bCs/>
                <w:color w:val="auto"/>
                <w:sz w:val="24"/>
                <w:highlight w:val="none"/>
                <w:lang w:eastAsia="zh-CN"/>
              </w:rPr>
              <w:t>岩芯碎屑</w:t>
            </w:r>
            <w:r>
              <w:rPr>
                <w:rFonts w:ascii="Times New Roman" w:hAnsi="Times New Roman"/>
                <w:bCs/>
                <w:color w:val="auto"/>
                <w:sz w:val="24"/>
                <w:highlight w:val="none"/>
              </w:rPr>
              <w:t>和废包装材料。</w:t>
            </w:r>
          </w:p>
          <w:p w14:paraId="6DDA125C">
            <w:pPr>
              <w:pStyle w:val="5"/>
              <w:spacing w:line="360" w:lineRule="auto"/>
              <w:ind w:firstLine="480"/>
              <w:rPr>
                <w:rFonts w:hint="eastAsia" w:ascii="Times New Roman" w:hAnsi="Times New Roman" w:eastAsia="宋体"/>
                <w:bCs/>
                <w:color w:val="auto"/>
                <w:sz w:val="24"/>
                <w:highlight w:val="none"/>
                <w:lang w:eastAsia="zh-CN"/>
              </w:rPr>
            </w:pPr>
            <w:r>
              <w:rPr>
                <w:rFonts w:ascii="宋体" w:hAnsi="宋体"/>
                <w:bCs/>
                <w:color w:val="auto"/>
                <w:sz w:val="24"/>
                <w:highlight w:val="none"/>
              </w:rPr>
              <w:t>①</w:t>
            </w:r>
            <w:r>
              <w:rPr>
                <w:rFonts w:hint="eastAsia" w:ascii="Times New Roman" w:hAnsi="宋体"/>
                <w:bCs/>
                <w:color w:val="auto"/>
                <w:sz w:val="24"/>
                <w:highlight w:val="none"/>
                <w:lang w:val="en-US" w:eastAsia="zh-CN"/>
              </w:rPr>
              <w:t>钻井泥浆</w:t>
            </w:r>
          </w:p>
          <w:p w14:paraId="78C25792">
            <w:pPr>
              <w:pStyle w:val="5"/>
              <w:spacing w:line="360" w:lineRule="auto"/>
              <w:ind w:firstLine="480"/>
              <w:rPr>
                <w:rFonts w:ascii="Times New Roman" w:hAnsi="Times New Roman"/>
                <w:bCs/>
                <w:color w:val="auto"/>
                <w:sz w:val="24"/>
                <w:highlight w:val="none"/>
              </w:rPr>
            </w:pPr>
            <w:r>
              <w:rPr>
                <w:rFonts w:hint="eastAsia" w:ascii="Times New Roman" w:hAnsi="宋体"/>
                <w:bCs/>
                <w:color w:val="auto"/>
                <w:sz w:val="24"/>
                <w:highlight w:val="none"/>
                <w:lang w:val="en-US" w:eastAsia="zh-CN"/>
              </w:rPr>
              <w:t>钻井泥浆</w:t>
            </w:r>
            <w:r>
              <w:rPr>
                <w:rFonts w:ascii="Times New Roman" w:hAnsi="宋体"/>
                <w:bCs/>
                <w:color w:val="auto"/>
                <w:sz w:val="24"/>
                <w:highlight w:val="none"/>
              </w:rPr>
              <w:t>主要来源于被更换的不适于钻井工程和地质要求的泥浆，因部分性能不合格而被排放的钻井泥浆。项目钻井泥浆为水基泥浆，根据设计资料及类比同类钻井行业，项目产生的</w:t>
            </w:r>
            <w:r>
              <w:rPr>
                <w:rFonts w:hint="eastAsia" w:ascii="Times New Roman" w:hAnsi="宋体"/>
                <w:bCs/>
                <w:color w:val="auto"/>
                <w:sz w:val="24"/>
                <w:highlight w:val="none"/>
                <w:lang w:val="en-US" w:eastAsia="zh-CN"/>
              </w:rPr>
              <w:t>钻井泥浆</w:t>
            </w:r>
            <w:r>
              <w:rPr>
                <w:rFonts w:hint="eastAsia" w:ascii="Times New Roman" w:hAnsi="宋体"/>
                <w:bCs/>
                <w:color w:val="auto"/>
                <w:sz w:val="24"/>
                <w:highlight w:val="none"/>
              </w:rPr>
              <w:t>总计</w:t>
            </w:r>
            <w:r>
              <w:rPr>
                <w:rFonts w:ascii="Times New Roman" w:hAnsi="宋体"/>
                <w:bCs/>
                <w:color w:val="auto"/>
                <w:sz w:val="24"/>
                <w:highlight w:val="none"/>
              </w:rPr>
              <w:t>约为</w:t>
            </w:r>
            <w:r>
              <w:rPr>
                <w:rFonts w:hint="eastAsia" w:ascii="Times New Roman" w:hAnsi="宋体"/>
                <w:bCs/>
                <w:color w:val="auto"/>
                <w:sz w:val="24"/>
                <w:highlight w:val="none"/>
                <w:lang w:val="en-US" w:eastAsia="zh-CN"/>
              </w:rPr>
              <w:t>57</w:t>
            </w:r>
            <w:r>
              <w:rPr>
                <w:rFonts w:ascii="Times New Roman" w:hAnsi="Times New Roman"/>
                <w:bCs/>
                <w:color w:val="auto"/>
                <w:sz w:val="24"/>
                <w:highlight w:val="none"/>
              </w:rPr>
              <w:t>m</w:t>
            </w:r>
            <w:r>
              <w:rPr>
                <w:rFonts w:ascii="Times New Roman" w:hAnsi="Times New Roman"/>
                <w:bCs/>
                <w:color w:val="auto"/>
                <w:sz w:val="24"/>
                <w:highlight w:val="none"/>
                <w:vertAlign w:val="superscript"/>
              </w:rPr>
              <w:t>3</w:t>
            </w:r>
            <w:r>
              <w:rPr>
                <w:rFonts w:ascii="Times New Roman" w:hAnsi="宋体"/>
                <w:bCs/>
                <w:color w:val="auto"/>
                <w:sz w:val="24"/>
                <w:highlight w:val="none"/>
              </w:rPr>
              <w:t>，暂存于</w:t>
            </w:r>
            <w:r>
              <w:rPr>
                <w:rFonts w:hint="eastAsia" w:ascii="Times New Roman" w:hAnsi="宋体"/>
                <w:bCs/>
                <w:color w:val="auto"/>
                <w:sz w:val="24"/>
                <w:highlight w:val="none"/>
                <w:lang w:eastAsia="zh-CN"/>
              </w:rPr>
              <w:t>泥浆池</w:t>
            </w:r>
            <w:r>
              <w:rPr>
                <w:rFonts w:ascii="Times New Roman" w:hAnsi="宋体"/>
                <w:bCs/>
                <w:color w:val="auto"/>
                <w:sz w:val="24"/>
                <w:highlight w:val="none"/>
              </w:rPr>
              <w:t>中，待钻井结束后投加泥浆固化剂</w:t>
            </w:r>
            <w:r>
              <w:rPr>
                <w:rFonts w:hint="eastAsia" w:ascii="Times New Roman" w:hAnsi="宋体"/>
                <w:bCs/>
                <w:color w:val="auto"/>
                <w:sz w:val="24"/>
                <w:highlight w:val="none"/>
                <w:lang w:eastAsia="zh-CN"/>
              </w:rPr>
              <w:t>固化后作为建筑材料外售</w:t>
            </w:r>
            <w:r>
              <w:rPr>
                <w:rFonts w:ascii="Times New Roman" w:hAnsi="宋体"/>
                <w:bCs/>
                <w:color w:val="auto"/>
                <w:sz w:val="24"/>
                <w:highlight w:val="none"/>
              </w:rPr>
              <w:t>。</w:t>
            </w:r>
          </w:p>
          <w:p w14:paraId="74E27BD7">
            <w:pPr>
              <w:pStyle w:val="5"/>
              <w:spacing w:line="360" w:lineRule="auto"/>
              <w:ind w:firstLine="480"/>
              <w:rPr>
                <w:rFonts w:hint="eastAsia" w:ascii="Times New Roman" w:hAnsi="Times New Roman" w:eastAsia="宋体"/>
                <w:bCs/>
                <w:color w:val="auto"/>
                <w:sz w:val="24"/>
                <w:highlight w:val="none"/>
                <w:lang w:eastAsia="zh-CN"/>
              </w:rPr>
            </w:pPr>
            <w:r>
              <w:rPr>
                <w:rFonts w:ascii="宋体" w:hAnsi="宋体"/>
                <w:bCs/>
                <w:color w:val="auto"/>
                <w:sz w:val="24"/>
                <w:highlight w:val="none"/>
              </w:rPr>
              <w:t>②</w:t>
            </w:r>
            <w:r>
              <w:rPr>
                <w:rFonts w:hint="eastAsia" w:ascii="Times New Roman" w:hAnsi="宋体"/>
                <w:bCs/>
                <w:color w:val="auto"/>
                <w:sz w:val="24"/>
                <w:highlight w:val="none"/>
                <w:lang w:eastAsia="zh-CN"/>
              </w:rPr>
              <w:t>岩芯碎屑</w:t>
            </w:r>
          </w:p>
          <w:p w14:paraId="6E6562EF">
            <w:pPr>
              <w:pStyle w:val="5"/>
              <w:spacing w:line="360" w:lineRule="auto"/>
              <w:ind w:firstLine="480"/>
              <w:rPr>
                <w:rFonts w:ascii="Times New Roman" w:hAnsi="Times New Roman"/>
                <w:bCs/>
                <w:color w:val="auto"/>
                <w:sz w:val="24"/>
                <w:highlight w:val="none"/>
              </w:rPr>
            </w:pPr>
            <w:r>
              <w:rPr>
                <w:rFonts w:hint="eastAsia" w:ascii="Times New Roman" w:hAnsi="宋体"/>
                <w:bCs/>
                <w:color w:val="auto"/>
                <w:sz w:val="24"/>
                <w:highlight w:val="none"/>
                <w:lang w:eastAsia="zh-CN"/>
              </w:rPr>
              <w:t>岩芯碎屑</w:t>
            </w:r>
            <w:r>
              <w:rPr>
                <w:rFonts w:ascii="Times New Roman" w:hAnsi="宋体"/>
                <w:bCs/>
                <w:color w:val="auto"/>
                <w:sz w:val="24"/>
                <w:highlight w:val="none"/>
              </w:rPr>
              <w:t>是在钻井过程中钻头切屑地层岩石而产生的碎屑，并通过钻井泥浆带出至地面，主要成分为岩石、土壤及钻井泥浆液，其产生量与井眼长度、平均井径有关。根据本项目各开次钻头尺寸、钻深核算</w:t>
            </w:r>
            <w:r>
              <w:rPr>
                <w:rFonts w:hint="eastAsia" w:ascii="Times New Roman" w:hAnsi="宋体"/>
                <w:bCs/>
                <w:color w:val="auto"/>
                <w:sz w:val="24"/>
                <w:highlight w:val="none"/>
                <w:lang w:eastAsia="zh-CN"/>
              </w:rPr>
              <w:t>岩芯碎屑</w:t>
            </w:r>
            <w:r>
              <w:rPr>
                <w:rFonts w:ascii="Times New Roman" w:hAnsi="宋体"/>
                <w:bCs/>
                <w:color w:val="auto"/>
                <w:sz w:val="24"/>
                <w:highlight w:val="none"/>
              </w:rPr>
              <w:t>产生量及企业提供资料估算，</w:t>
            </w:r>
            <w:r>
              <w:rPr>
                <w:rFonts w:hint="eastAsia" w:ascii="Times New Roman" w:hAnsi="宋体"/>
                <w:bCs/>
                <w:color w:val="auto"/>
                <w:sz w:val="24"/>
                <w:highlight w:val="none"/>
              </w:rPr>
              <w:t>本项目产生的</w:t>
            </w:r>
            <w:r>
              <w:rPr>
                <w:rFonts w:hint="eastAsia" w:ascii="Times New Roman" w:hAnsi="宋体"/>
                <w:bCs/>
                <w:color w:val="auto"/>
                <w:sz w:val="24"/>
                <w:highlight w:val="none"/>
                <w:lang w:eastAsia="zh-CN"/>
              </w:rPr>
              <w:t>岩芯碎屑</w:t>
            </w:r>
            <w:r>
              <w:rPr>
                <w:rFonts w:hint="eastAsia" w:ascii="Times New Roman" w:hAnsi="宋体"/>
                <w:bCs/>
                <w:color w:val="auto"/>
                <w:sz w:val="24"/>
                <w:highlight w:val="none"/>
              </w:rPr>
              <w:t>总计</w:t>
            </w:r>
            <w:r>
              <w:rPr>
                <w:rFonts w:ascii="Times New Roman" w:hAnsi="宋体"/>
                <w:bCs/>
                <w:color w:val="auto"/>
                <w:sz w:val="24"/>
                <w:highlight w:val="none"/>
              </w:rPr>
              <w:t>约为</w:t>
            </w:r>
            <w:r>
              <w:rPr>
                <w:rFonts w:hint="eastAsia" w:ascii="Times New Roman" w:hAnsi="宋体"/>
                <w:bCs/>
                <w:color w:val="auto"/>
                <w:sz w:val="24"/>
                <w:highlight w:val="none"/>
                <w:lang w:val="en-US" w:eastAsia="zh-CN"/>
              </w:rPr>
              <w:t>3</w:t>
            </w:r>
            <w:r>
              <w:rPr>
                <w:rFonts w:hint="eastAsia" w:ascii="Times New Roman" w:hAnsi="Times New Roman"/>
                <w:bCs/>
                <w:color w:val="auto"/>
                <w:sz w:val="24"/>
                <w:highlight w:val="none"/>
              </w:rPr>
              <w:t>t，</w:t>
            </w:r>
            <w:r>
              <w:rPr>
                <w:rFonts w:ascii="Times New Roman" w:hAnsi="宋体"/>
                <w:bCs/>
                <w:color w:val="auto"/>
                <w:sz w:val="24"/>
                <w:highlight w:val="none"/>
              </w:rPr>
              <w:t>产生的</w:t>
            </w:r>
            <w:r>
              <w:rPr>
                <w:rFonts w:hint="eastAsia" w:ascii="Times New Roman" w:hAnsi="宋体"/>
                <w:bCs/>
                <w:color w:val="auto"/>
                <w:sz w:val="24"/>
                <w:highlight w:val="none"/>
                <w:lang w:eastAsia="zh-CN"/>
              </w:rPr>
              <w:t>岩芯碎屑</w:t>
            </w:r>
            <w:r>
              <w:rPr>
                <w:rFonts w:hint="eastAsia" w:ascii="Times New Roman" w:hAnsi="宋体"/>
                <w:bCs/>
                <w:color w:val="auto"/>
                <w:sz w:val="24"/>
                <w:highlight w:val="none"/>
                <w:lang w:val="en-US" w:eastAsia="zh-CN"/>
              </w:rPr>
              <w:t>集中暂存于岩心摆放区</w:t>
            </w:r>
            <w:r>
              <w:rPr>
                <w:rFonts w:ascii="Times New Roman" w:hAnsi="宋体"/>
                <w:bCs/>
                <w:color w:val="auto"/>
                <w:sz w:val="24"/>
                <w:highlight w:val="none"/>
              </w:rPr>
              <w:t>。由于本项目使用水基泥浆钻，该阶段产生的岩屑未被列入《国家危险废物名录》（</w:t>
            </w:r>
            <w:r>
              <w:rPr>
                <w:rFonts w:ascii="Times New Roman" w:hAnsi="Times New Roman"/>
                <w:bCs/>
                <w:color w:val="auto"/>
                <w:sz w:val="24"/>
                <w:highlight w:val="none"/>
              </w:rPr>
              <w:t>202</w:t>
            </w:r>
            <w:r>
              <w:rPr>
                <w:rFonts w:hint="eastAsia" w:ascii="Times New Roman" w:hAnsi="Times New Roman"/>
                <w:bCs/>
                <w:color w:val="auto"/>
                <w:sz w:val="24"/>
                <w:highlight w:val="none"/>
              </w:rPr>
              <w:t>5</w:t>
            </w:r>
            <w:r>
              <w:rPr>
                <w:rFonts w:ascii="Times New Roman" w:hAnsi="宋体"/>
                <w:bCs/>
                <w:color w:val="auto"/>
                <w:sz w:val="24"/>
                <w:highlight w:val="none"/>
              </w:rPr>
              <w:t>年版）中规定的危险废物，</w:t>
            </w:r>
            <w:r>
              <w:rPr>
                <w:rFonts w:ascii="Times New Roman" w:hAnsi="宋体"/>
                <w:color w:val="auto"/>
                <w:sz w:val="24"/>
                <w:highlight w:val="none"/>
              </w:rPr>
              <w:t>本项目不以矿物油为连续相配制钻井泥浆，项目采用纤维素等进行钻井工作，</w:t>
            </w:r>
            <w:r>
              <w:rPr>
                <w:rFonts w:hint="eastAsia" w:ascii="Times New Roman" w:hAnsi="宋体"/>
                <w:bCs/>
                <w:color w:val="auto"/>
                <w:sz w:val="24"/>
                <w:highlight w:val="none"/>
                <w:lang w:eastAsia="zh-CN"/>
              </w:rPr>
              <w:t>岩芯碎屑</w:t>
            </w:r>
            <w:r>
              <w:rPr>
                <w:rFonts w:ascii="Times New Roman" w:hAnsi="宋体"/>
                <w:color w:val="auto"/>
                <w:sz w:val="24"/>
                <w:highlight w:val="none"/>
              </w:rPr>
              <w:t>属于一般固废，</w:t>
            </w:r>
            <w:r>
              <w:rPr>
                <w:rFonts w:hint="eastAsia" w:ascii="Times New Roman" w:hAnsi="宋体"/>
                <w:color w:val="auto"/>
                <w:sz w:val="24"/>
                <w:highlight w:val="none"/>
                <w:lang w:val="en-US" w:eastAsia="zh-CN"/>
              </w:rPr>
              <w:t>委托建材单位回收处置</w:t>
            </w:r>
            <w:r>
              <w:rPr>
                <w:rFonts w:ascii="Times New Roman" w:hAnsi="宋体"/>
                <w:bCs/>
                <w:color w:val="auto"/>
                <w:sz w:val="24"/>
                <w:highlight w:val="none"/>
              </w:rPr>
              <w:t>。</w:t>
            </w:r>
          </w:p>
          <w:p w14:paraId="710CF0B2">
            <w:pPr>
              <w:pStyle w:val="5"/>
              <w:spacing w:line="360" w:lineRule="auto"/>
              <w:ind w:firstLine="480"/>
              <w:rPr>
                <w:rFonts w:ascii="Times New Roman" w:hAnsi="Times New Roman"/>
                <w:color w:val="auto"/>
                <w:sz w:val="24"/>
                <w:highlight w:val="none"/>
              </w:rPr>
            </w:pPr>
            <w:r>
              <w:rPr>
                <w:rFonts w:ascii="宋体" w:hAnsi="宋体"/>
                <w:color w:val="auto"/>
                <w:sz w:val="24"/>
                <w:highlight w:val="none"/>
              </w:rPr>
              <w:t>③</w:t>
            </w:r>
            <w:r>
              <w:rPr>
                <w:rFonts w:ascii="Times New Roman" w:hAnsi="宋体"/>
                <w:color w:val="auto"/>
                <w:sz w:val="24"/>
                <w:highlight w:val="none"/>
              </w:rPr>
              <w:t>废包装材料</w:t>
            </w:r>
          </w:p>
          <w:p w14:paraId="4D5084BF">
            <w:pPr>
              <w:pStyle w:val="5"/>
              <w:spacing w:line="360" w:lineRule="auto"/>
              <w:ind w:firstLine="480"/>
              <w:rPr>
                <w:rFonts w:ascii="Times New Roman" w:hAnsi="Times New Roman"/>
                <w:color w:val="auto"/>
                <w:sz w:val="24"/>
                <w:highlight w:val="none"/>
              </w:rPr>
            </w:pPr>
            <w:r>
              <w:rPr>
                <w:rFonts w:ascii="Times New Roman" w:hAnsi="宋体"/>
                <w:color w:val="auto"/>
                <w:sz w:val="24"/>
                <w:highlight w:val="none"/>
              </w:rPr>
              <w:t>本项目在钻井过程中会使用一定量的原辅材料，根据企业提供资料，废包装袋产生量约为</w:t>
            </w:r>
            <w:r>
              <w:rPr>
                <w:rFonts w:ascii="Times New Roman" w:hAnsi="Times New Roman"/>
                <w:color w:val="auto"/>
                <w:sz w:val="24"/>
                <w:highlight w:val="none"/>
              </w:rPr>
              <w:t>0.</w:t>
            </w:r>
            <w:r>
              <w:rPr>
                <w:rFonts w:hint="eastAsia" w:ascii="Times New Roman" w:hAnsi="Times New Roman"/>
                <w:color w:val="auto"/>
                <w:sz w:val="24"/>
                <w:highlight w:val="none"/>
                <w:lang w:val="en-US" w:eastAsia="zh-CN"/>
              </w:rPr>
              <w:t>2</w:t>
            </w:r>
            <w:r>
              <w:rPr>
                <w:rFonts w:ascii="Times New Roman" w:hAnsi="Times New Roman"/>
                <w:color w:val="auto"/>
                <w:sz w:val="24"/>
                <w:highlight w:val="none"/>
              </w:rPr>
              <w:t>/a</w:t>
            </w:r>
            <w:r>
              <w:rPr>
                <w:rFonts w:ascii="Times New Roman" w:hAnsi="宋体"/>
                <w:color w:val="auto"/>
                <w:sz w:val="24"/>
                <w:highlight w:val="none"/>
              </w:rPr>
              <w:t>，集中收集后外售处理。</w:t>
            </w:r>
          </w:p>
          <w:p w14:paraId="3B0F976A">
            <w:pPr>
              <w:pStyle w:val="5"/>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（2）生活垃圾</w:t>
            </w:r>
          </w:p>
          <w:p w14:paraId="5E3E525F">
            <w:pPr>
              <w:pStyle w:val="5"/>
              <w:spacing w:line="360" w:lineRule="auto"/>
              <w:ind w:firstLine="480"/>
              <w:rPr>
                <w:rFonts w:ascii="Times New Roman" w:hAnsi="Times New Roman"/>
                <w:bCs/>
                <w:color w:val="auto"/>
                <w:sz w:val="24"/>
                <w:highlight w:val="none"/>
              </w:rPr>
            </w:pPr>
            <w:r>
              <w:rPr>
                <w:rFonts w:ascii="Times New Roman" w:hAnsi="Times New Roman"/>
                <w:color w:val="auto"/>
                <w:sz w:val="24"/>
                <w:highlight w:val="none"/>
              </w:rPr>
              <w:t>生活垃圾主要来自员工办公。本项目劳动定员</w:t>
            </w:r>
            <w:r>
              <w:rPr>
                <w:rFonts w:hint="eastAsia" w:ascii="Times New Roman" w:hAnsi="Times New Roman"/>
                <w:color w:val="auto"/>
                <w:sz w:val="24"/>
                <w:highlight w:val="none"/>
                <w:lang w:val="en-US" w:eastAsia="zh-CN"/>
              </w:rPr>
              <w:t>36</w:t>
            </w:r>
            <w:r>
              <w:rPr>
                <w:rFonts w:ascii="Times New Roman" w:hAnsi="Times New Roman"/>
                <w:color w:val="auto"/>
                <w:sz w:val="24"/>
                <w:highlight w:val="none"/>
              </w:rPr>
              <w:t>人，租赁周边农村民房，用于员工食宿，施工现场不设施工营地，生活垃圾按0.5kg/人·d计算，则生活垃圾的产生量为</w:t>
            </w:r>
            <w:r>
              <w:rPr>
                <w:rFonts w:hint="eastAsia" w:ascii="Times New Roman" w:hAnsi="Times New Roman"/>
                <w:color w:val="auto"/>
                <w:sz w:val="24"/>
                <w:highlight w:val="none"/>
                <w:lang w:val="en-US" w:eastAsia="zh-CN"/>
              </w:rPr>
              <w:t>18</w:t>
            </w:r>
            <w:r>
              <w:rPr>
                <w:rFonts w:ascii="Times New Roman" w:hAnsi="Times New Roman"/>
                <w:color w:val="auto"/>
                <w:sz w:val="24"/>
                <w:highlight w:val="none"/>
              </w:rPr>
              <w:t>kg/d</w:t>
            </w:r>
            <w:r>
              <w:rPr>
                <w:rFonts w:hint="eastAsia" w:ascii="Times New Roman" w:hAnsi="Times New Roman"/>
                <w:color w:val="auto"/>
                <w:sz w:val="24"/>
                <w:highlight w:val="none"/>
              </w:rPr>
              <w:t>，年产生量为</w:t>
            </w:r>
            <w:r>
              <w:rPr>
                <w:rFonts w:hint="eastAsia" w:ascii="Times New Roman" w:hAnsi="Times New Roman"/>
                <w:color w:val="auto"/>
                <w:sz w:val="24"/>
                <w:highlight w:val="none"/>
                <w:lang w:val="en-US" w:eastAsia="zh-CN"/>
              </w:rPr>
              <w:t>3.24</w:t>
            </w:r>
            <w:r>
              <w:rPr>
                <w:rFonts w:hint="eastAsia" w:ascii="Times New Roman" w:hAnsi="Times New Roman"/>
                <w:color w:val="auto"/>
                <w:sz w:val="24"/>
                <w:highlight w:val="none"/>
              </w:rPr>
              <w:t>t/a</w:t>
            </w:r>
            <w:r>
              <w:rPr>
                <w:rFonts w:ascii="Times New Roman" w:hAnsi="Times New Roman"/>
                <w:color w:val="auto"/>
                <w:sz w:val="24"/>
                <w:highlight w:val="none"/>
              </w:rPr>
              <w:t>。产生的生活垃圾利用周边农村农户现有的设施进行收集，由环卫部门统一清运处理。</w:t>
            </w:r>
          </w:p>
          <w:p w14:paraId="759AE482">
            <w:pPr>
              <w:pStyle w:val="5"/>
              <w:spacing w:line="360" w:lineRule="auto"/>
              <w:ind w:firstLine="480"/>
              <w:rPr>
                <w:rFonts w:ascii="Times New Roman" w:hAnsi="Times New Roman"/>
                <w:bCs/>
                <w:color w:val="auto"/>
                <w:sz w:val="24"/>
                <w:highlight w:val="none"/>
              </w:rPr>
            </w:pPr>
            <w:r>
              <w:rPr>
                <w:rFonts w:ascii="Times New Roman" w:hAnsi="Times New Roman"/>
                <w:color w:val="auto"/>
                <w:sz w:val="24"/>
                <w:highlight w:val="none"/>
              </w:rPr>
              <w:t>（3）</w:t>
            </w:r>
            <w:r>
              <w:rPr>
                <w:rFonts w:ascii="Times New Roman" w:hAnsi="Times New Roman"/>
                <w:bCs/>
                <w:color w:val="auto"/>
                <w:sz w:val="24"/>
                <w:highlight w:val="none"/>
              </w:rPr>
              <w:t>危险废物</w:t>
            </w:r>
          </w:p>
          <w:p w14:paraId="165C3555">
            <w:pPr>
              <w:pStyle w:val="5"/>
              <w:spacing w:line="360" w:lineRule="auto"/>
              <w:ind w:firstLine="480"/>
              <w:rPr>
                <w:rFonts w:ascii="Times New Roman" w:hAnsi="Times New Roman"/>
                <w:bCs/>
                <w:color w:val="auto"/>
                <w:sz w:val="24"/>
                <w:highlight w:val="none"/>
              </w:rPr>
            </w:pPr>
            <w:r>
              <w:rPr>
                <w:rFonts w:ascii="Times New Roman" w:hAnsi="Times New Roman"/>
                <w:bCs/>
                <w:color w:val="auto"/>
                <w:sz w:val="24"/>
                <w:highlight w:val="none"/>
              </w:rPr>
              <w:t>危险废物主要为废润滑油和废润滑油桶、废含油抹布和废含油手套。</w:t>
            </w:r>
          </w:p>
          <w:p w14:paraId="3075B44B">
            <w:pPr>
              <w:pStyle w:val="5"/>
              <w:spacing w:line="360" w:lineRule="auto"/>
              <w:ind w:firstLine="480"/>
              <w:rPr>
                <w:rFonts w:ascii="Times New Roman" w:hAnsi="Times New Roman"/>
                <w:bCs/>
                <w:color w:val="auto"/>
                <w:sz w:val="24"/>
                <w:highlight w:val="none"/>
              </w:rPr>
            </w:pPr>
            <w:r>
              <w:rPr>
                <w:rFonts w:ascii="宋体" w:hAnsi="Times New Roman"/>
                <w:bCs/>
                <w:color w:val="auto"/>
                <w:sz w:val="24"/>
                <w:highlight w:val="none"/>
              </w:rPr>
              <w:t>①</w:t>
            </w:r>
            <w:r>
              <w:rPr>
                <w:rFonts w:ascii="Times New Roman" w:hAnsi="Times New Roman"/>
                <w:bCs/>
                <w:color w:val="auto"/>
                <w:sz w:val="24"/>
                <w:highlight w:val="none"/>
              </w:rPr>
              <w:t>废润滑油和废润滑油桶</w:t>
            </w:r>
          </w:p>
          <w:p w14:paraId="5AC8F664">
            <w:pPr>
              <w:pStyle w:val="5"/>
              <w:spacing w:line="360" w:lineRule="auto"/>
              <w:ind w:firstLine="480"/>
              <w:rPr>
                <w:rFonts w:ascii="Times New Roman" w:hAnsi="Times New Roman"/>
                <w:color w:val="auto"/>
                <w:sz w:val="24"/>
                <w:highlight w:val="none"/>
              </w:rPr>
            </w:pPr>
            <w:r>
              <w:rPr>
                <w:rFonts w:ascii="Times New Roman" w:hAnsi="Times New Roman"/>
                <w:bCs/>
                <w:color w:val="auto"/>
                <w:sz w:val="24"/>
                <w:highlight w:val="none"/>
              </w:rPr>
              <w:t>钻井期间，机械设备运行及维护过程中会产生废润滑油和废润滑油桶。类比同类项目，废润滑油产生量约为0.</w:t>
            </w:r>
            <w:r>
              <w:rPr>
                <w:rFonts w:hint="eastAsia" w:ascii="Times New Roman" w:hAnsi="Times New Roman"/>
                <w:bCs/>
                <w:color w:val="auto"/>
                <w:sz w:val="24"/>
                <w:highlight w:val="none"/>
                <w:lang w:val="en-US" w:eastAsia="zh-CN"/>
              </w:rPr>
              <w:t>03</w:t>
            </w:r>
            <w:r>
              <w:rPr>
                <w:rFonts w:ascii="Times New Roman" w:hAnsi="Times New Roman"/>
                <w:bCs/>
                <w:color w:val="auto"/>
                <w:sz w:val="24"/>
                <w:highlight w:val="none"/>
              </w:rPr>
              <w:t>t/a，废润滑油桶产生量约为0.0</w:t>
            </w:r>
            <w:r>
              <w:rPr>
                <w:rFonts w:hint="eastAsia" w:ascii="Times New Roman" w:hAnsi="Times New Roman"/>
                <w:bCs/>
                <w:color w:val="auto"/>
                <w:sz w:val="24"/>
                <w:highlight w:val="none"/>
                <w:lang w:val="en-US" w:eastAsia="zh-CN"/>
              </w:rPr>
              <w:t>1</w:t>
            </w:r>
            <w:r>
              <w:rPr>
                <w:rFonts w:ascii="Times New Roman" w:hAnsi="Times New Roman"/>
                <w:bCs/>
                <w:color w:val="auto"/>
                <w:sz w:val="24"/>
                <w:highlight w:val="none"/>
              </w:rPr>
              <w:t>t/a。根据《国家危险废物名录》（202</w:t>
            </w:r>
            <w:r>
              <w:rPr>
                <w:rFonts w:hint="eastAsia" w:ascii="Times New Roman" w:hAnsi="Times New Roman"/>
                <w:bCs/>
                <w:color w:val="auto"/>
                <w:sz w:val="24"/>
                <w:highlight w:val="none"/>
              </w:rPr>
              <w:t>5</w:t>
            </w:r>
            <w:r>
              <w:rPr>
                <w:rFonts w:ascii="Times New Roman" w:hAnsi="Times New Roman"/>
                <w:bCs/>
                <w:color w:val="auto"/>
                <w:sz w:val="24"/>
                <w:highlight w:val="none"/>
              </w:rPr>
              <w:t>年版）可知，废润滑油属于危险废物，废物类别编号为HW08，废物代码为900-214-08；废润滑油桶属于危险废物，废物类别编号为HW</w:t>
            </w:r>
            <w:r>
              <w:rPr>
                <w:rFonts w:hint="eastAsia" w:ascii="Times New Roman" w:hAnsi="Times New Roman"/>
                <w:bCs/>
                <w:color w:val="auto"/>
                <w:sz w:val="24"/>
                <w:highlight w:val="none"/>
              </w:rPr>
              <w:t>08</w:t>
            </w:r>
            <w:r>
              <w:rPr>
                <w:rFonts w:ascii="Times New Roman" w:hAnsi="Times New Roman"/>
                <w:bCs/>
                <w:color w:val="auto"/>
                <w:sz w:val="24"/>
                <w:highlight w:val="none"/>
              </w:rPr>
              <w:t>，废物代码为</w:t>
            </w:r>
            <w:r>
              <w:rPr>
                <w:rFonts w:hint="eastAsia" w:ascii="Times New Roman" w:hAnsi="Times New Roman"/>
                <w:bCs/>
                <w:color w:val="auto"/>
                <w:sz w:val="24"/>
                <w:highlight w:val="none"/>
              </w:rPr>
              <w:t>900-249-08</w:t>
            </w:r>
            <w:r>
              <w:rPr>
                <w:rFonts w:ascii="Times New Roman" w:hAnsi="Times New Roman"/>
                <w:bCs/>
                <w:color w:val="auto"/>
                <w:sz w:val="24"/>
                <w:highlight w:val="none"/>
              </w:rPr>
              <w:t>。废润滑油、废润滑油桶需集中收集，</w:t>
            </w:r>
            <w:r>
              <w:rPr>
                <w:rFonts w:hint="eastAsia" w:ascii="Times New Roman" w:hAnsi="Times New Roman"/>
                <w:bCs/>
                <w:color w:val="auto"/>
                <w:sz w:val="24"/>
                <w:highlight w:val="none"/>
                <w:lang w:val="en-US" w:eastAsia="zh-CN"/>
              </w:rPr>
              <w:t>暂存于各井场内</w:t>
            </w:r>
            <w:r>
              <w:rPr>
                <w:rFonts w:hint="eastAsia" w:ascii="Times New Roman" w:hAnsi="Times New Roman"/>
                <w:bCs/>
                <w:color w:val="auto"/>
                <w:sz w:val="24"/>
                <w:highlight w:val="none"/>
              </w:rPr>
              <w:t>危废暂存间暂存</w:t>
            </w:r>
            <w:r>
              <w:rPr>
                <w:rFonts w:ascii="Times New Roman" w:hAnsi="Times New Roman"/>
                <w:color w:val="auto"/>
                <w:sz w:val="24"/>
                <w:highlight w:val="none"/>
              </w:rPr>
              <w:t>，交由有资质单位处置。</w:t>
            </w:r>
          </w:p>
          <w:p w14:paraId="0FF982FB">
            <w:pPr>
              <w:pStyle w:val="5"/>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②废含油抹布和废含油手套</w:t>
            </w:r>
          </w:p>
          <w:p w14:paraId="1028EF1E">
            <w:pPr>
              <w:pStyle w:val="5"/>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钻井期间，机械设备运转及维护过程中会产生废含油抹布和废含油手套，根据企业提供资料，废含油抹布和废含油手套产生量约为0.0</w:t>
            </w:r>
            <w:r>
              <w:rPr>
                <w:rFonts w:hint="eastAsia" w:ascii="Times New Roman" w:hAnsi="Times New Roman"/>
                <w:color w:val="auto"/>
                <w:sz w:val="24"/>
                <w:highlight w:val="none"/>
                <w:lang w:val="en-US" w:eastAsia="zh-CN"/>
              </w:rPr>
              <w:t>1</w:t>
            </w:r>
            <w:r>
              <w:rPr>
                <w:rFonts w:ascii="Times New Roman" w:hAnsi="Times New Roman"/>
                <w:color w:val="auto"/>
                <w:sz w:val="24"/>
                <w:highlight w:val="none"/>
              </w:rPr>
              <w:t>t/a。根据《国家危险废物名录》（202</w:t>
            </w:r>
            <w:r>
              <w:rPr>
                <w:rFonts w:hint="eastAsia" w:ascii="Times New Roman" w:hAnsi="Times New Roman"/>
                <w:color w:val="auto"/>
                <w:sz w:val="24"/>
                <w:highlight w:val="none"/>
              </w:rPr>
              <w:t>5</w:t>
            </w:r>
            <w:r>
              <w:rPr>
                <w:rFonts w:ascii="Times New Roman" w:hAnsi="Times New Roman"/>
                <w:color w:val="auto"/>
                <w:sz w:val="24"/>
                <w:highlight w:val="none"/>
              </w:rPr>
              <w:t>年版）可知，废含油抹布和废含油手套属于危险废物，废物类别编号为HW49，废物代码为900-041-49，</w:t>
            </w:r>
            <w:r>
              <w:rPr>
                <w:rFonts w:hint="eastAsia" w:ascii="Times New Roman" w:hAnsi="Times New Roman"/>
                <w:bCs/>
                <w:color w:val="auto"/>
                <w:sz w:val="24"/>
                <w:highlight w:val="none"/>
                <w:lang w:val="en-US" w:eastAsia="zh-CN"/>
              </w:rPr>
              <w:t>暂存于各井场内</w:t>
            </w:r>
            <w:r>
              <w:rPr>
                <w:rFonts w:hint="eastAsia" w:ascii="Times New Roman" w:hAnsi="Times New Roman"/>
                <w:bCs/>
                <w:color w:val="auto"/>
                <w:sz w:val="24"/>
                <w:highlight w:val="none"/>
              </w:rPr>
              <w:t>危废暂存间暂存</w:t>
            </w:r>
            <w:r>
              <w:rPr>
                <w:rFonts w:ascii="Times New Roman" w:hAnsi="Times New Roman"/>
                <w:color w:val="auto"/>
                <w:sz w:val="24"/>
                <w:highlight w:val="none"/>
              </w:rPr>
              <w:t>，交由有资质单位处置。</w:t>
            </w:r>
          </w:p>
          <w:p w14:paraId="08D472A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b/>
                <w:color w:val="auto"/>
                <w:sz w:val="21"/>
                <w:szCs w:val="21"/>
                <w:highlight w:val="none"/>
                <w:lang w:val="en-US"/>
              </w:rPr>
            </w:pPr>
            <w:r>
              <w:rPr>
                <w:rFonts w:ascii="Times New Roman" w:hAnsi="Times New Roman"/>
                <w:b/>
                <w:color w:val="auto"/>
                <w:sz w:val="21"/>
                <w:szCs w:val="21"/>
                <w:highlight w:val="none"/>
                <w:lang w:val="en-US"/>
              </w:rPr>
              <w:t>表4-</w:t>
            </w:r>
            <w:r>
              <w:rPr>
                <w:rFonts w:hint="eastAsia" w:ascii="Times New Roman" w:hAnsi="Times New Roman"/>
                <w:b/>
                <w:color w:val="auto"/>
                <w:sz w:val="21"/>
                <w:szCs w:val="21"/>
                <w:highlight w:val="none"/>
                <w:lang w:val="en-US" w:eastAsia="zh-CN"/>
              </w:rPr>
              <w:t>5</w:t>
            </w:r>
            <w:r>
              <w:rPr>
                <w:rFonts w:ascii="Times New Roman" w:hAnsi="Times New Roman"/>
                <w:b/>
                <w:color w:val="auto"/>
                <w:sz w:val="21"/>
                <w:szCs w:val="21"/>
                <w:highlight w:val="none"/>
                <w:lang w:val="en-US"/>
              </w:rPr>
              <w:t xml:space="preserve"> </w:t>
            </w:r>
            <w:r>
              <w:rPr>
                <w:rFonts w:hint="eastAsia" w:ascii="Times New Roman" w:hAnsi="Times New Roman"/>
                <w:b/>
                <w:color w:val="auto"/>
                <w:sz w:val="21"/>
                <w:szCs w:val="21"/>
                <w:highlight w:val="none"/>
                <w:lang w:val="en-US" w:eastAsia="zh-CN"/>
              </w:rPr>
              <w:t xml:space="preserve"> </w:t>
            </w:r>
            <w:r>
              <w:rPr>
                <w:rFonts w:ascii="Times New Roman" w:hAnsi="Times New Roman"/>
                <w:b/>
                <w:color w:val="auto"/>
                <w:sz w:val="21"/>
                <w:szCs w:val="21"/>
                <w:highlight w:val="none"/>
                <w:lang w:val="en-US"/>
              </w:rPr>
              <w:t>固体废弃物产生情况一览表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117"/>
              <w:gridCol w:w="1153"/>
              <w:gridCol w:w="1274"/>
              <w:gridCol w:w="852"/>
              <w:gridCol w:w="952"/>
              <w:gridCol w:w="1860"/>
            </w:tblGrid>
            <w:tr w14:paraId="7698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ign w:val="center"/>
                </w:tcPr>
                <w:p w14:paraId="63B39F89">
                  <w:pPr>
                    <w:jc w:val="center"/>
                    <w:rPr>
                      <w:rFonts w:ascii="Times New Roman" w:hAnsi="Times New Roman"/>
                      <w:color w:val="auto"/>
                      <w:sz w:val="21"/>
                      <w:szCs w:val="21"/>
                      <w:highlight w:val="none"/>
                    </w:rPr>
                  </w:pPr>
                  <w:r>
                    <w:rPr>
                      <w:rFonts w:ascii="Times New Roman" w:hAnsi="Times New Roman"/>
                      <w:color w:val="auto"/>
                      <w:sz w:val="21"/>
                      <w:szCs w:val="21"/>
                      <w:highlight w:val="none"/>
                    </w:rPr>
                    <w:t>序号</w:t>
                  </w:r>
                </w:p>
              </w:tc>
              <w:tc>
                <w:tcPr>
                  <w:tcW w:w="1117" w:type="dxa"/>
                  <w:noWrap/>
                  <w:vAlign w:val="center"/>
                </w:tcPr>
                <w:p w14:paraId="4E77E6BF">
                  <w:pPr>
                    <w:jc w:val="center"/>
                    <w:rPr>
                      <w:rFonts w:ascii="Times New Roman" w:hAnsi="Times New Roman"/>
                      <w:color w:val="auto"/>
                      <w:sz w:val="21"/>
                      <w:szCs w:val="21"/>
                      <w:highlight w:val="none"/>
                    </w:rPr>
                  </w:pPr>
                  <w:r>
                    <w:rPr>
                      <w:rFonts w:ascii="Times New Roman" w:hAnsi="Times New Roman"/>
                      <w:color w:val="auto"/>
                      <w:sz w:val="21"/>
                      <w:szCs w:val="21"/>
                      <w:highlight w:val="none"/>
                    </w:rPr>
                    <w:t>污染物</w:t>
                  </w:r>
                </w:p>
              </w:tc>
              <w:tc>
                <w:tcPr>
                  <w:tcW w:w="1153" w:type="dxa"/>
                  <w:noWrap/>
                  <w:vAlign w:val="center"/>
                </w:tcPr>
                <w:p w14:paraId="065F7F40">
                  <w:pPr>
                    <w:jc w:val="center"/>
                    <w:rPr>
                      <w:rFonts w:ascii="Times New Roman" w:hAnsi="Times New Roman"/>
                      <w:color w:val="auto"/>
                      <w:sz w:val="21"/>
                      <w:szCs w:val="21"/>
                      <w:highlight w:val="none"/>
                    </w:rPr>
                  </w:pPr>
                  <w:r>
                    <w:rPr>
                      <w:rFonts w:ascii="Times New Roman" w:hAnsi="Times New Roman"/>
                      <w:color w:val="auto"/>
                      <w:sz w:val="21"/>
                      <w:szCs w:val="21"/>
                      <w:highlight w:val="none"/>
                    </w:rPr>
                    <w:t>废物类别</w:t>
                  </w:r>
                </w:p>
              </w:tc>
              <w:tc>
                <w:tcPr>
                  <w:tcW w:w="1274" w:type="dxa"/>
                  <w:noWrap/>
                  <w:vAlign w:val="center"/>
                </w:tcPr>
                <w:p w14:paraId="38893769">
                  <w:pPr>
                    <w:jc w:val="center"/>
                    <w:rPr>
                      <w:rFonts w:ascii="Times New Roman" w:hAnsi="Times New Roman"/>
                      <w:color w:val="auto"/>
                      <w:sz w:val="21"/>
                      <w:szCs w:val="21"/>
                      <w:highlight w:val="none"/>
                    </w:rPr>
                  </w:pPr>
                  <w:r>
                    <w:rPr>
                      <w:rFonts w:ascii="Times New Roman" w:hAnsi="Times New Roman"/>
                      <w:color w:val="auto"/>
                      <w:sz w:val="21"/>
                      <w:szCs w:val="21"/>
                      <w:highlight w:val="none"/>
                    </w:rPr>
                    <w:t>固废编号/编号</w:t>
                  </w:r>
                </w:p>
              </w:tc>
              <w:tc>
                <w:tcPr>
                  <w:tcW w:w="852" w:type="dxa"/>
                  <w:noWrap/>
                  <w:vAlign w:val="center"/>
                </w:tcPr>
                <w:p w14:paraId="5F23A325">
                  <w:pPr>
                    <w:jc w:val="center"/>
                    <w:rPr>
                      <w:rFonts w:ascii="Times New Roman" w:hAnsi="Times New Roman"/>
                      <w:color w:val="auto"/>
                      <w:sz w:val="21"/>
                      <w:szCs w:val="21"/>
                      <w:highlight w:val="none"/>
                    </w:rPr>
                  </w:pPr>
                  <w:r>
                    <w:rPr>
                      <w:rFonts w:ascii="Times New Roman" w:hAnsi="Times New Roman"/>
                      <w:color w:val="auto"/>
                      <w:sz w:val="21"/>
                      <w:szCs w:val="21"/>
                      <w:highlight w:val="none"/>
                    </w:rPr>
                    <w:t>来源</w:t>
                  </w:r>
                </w:p>
              </w:tc>
              <w:tc>
                <w:tcPr>
                  <w:tcW w:w="952" w:type="dxa"/>
                  <w:noWrap/>
                  <w:vAlign w:val="center"/>
                </w:tcPr>
                <w:p w14:paraId="6FEFA5FB">
                  <w:pPr>
                    <w:jc w:val="center"/>
                    <w:rPr>
                      <w:rFonts w:ascii="Times New Roman" w:hAnsi="Times New Roman"/>
                      <w:color w:val="auto"/>
                      <w:sz w:val="21"/>
                      <w:szCs w:val="21"/>
                      <w:highlight w:val="none"/>
                    </w:rPr>
                  </w:pPr>
                  <w:r>
                    <w:rPr>
                      <w:rFonts w:ascii="Times New Roman" w:hAnsi="Times New Roman"/>
                      <w:color w:val="auto"/>
                      <w:sz w:val="21"/>
                      <w:szCs w:val="21"/>
                      <w:highlight w:val="none"/>
                    </w:rPr>
                    <w:t>产生量</w:t>
                  </w:r>
                </w:p>
              </w:tc>
              <w:tc>
                <w:tcPr>
                  <w:tcW w:w="1860" w:type="dxa"/>
                  <w:noWrap/>
                  <w:vAlign w:val="center"/>
                </w:tcPr>
                <w:p w14:paraId="129EC246">
                  <w:pPr>
                    <w:jc w:val="center"/>
                    <w:rPr>
                      <w:rFonts w:ascii="Times New Roman" w:hAnsi="Times New Roman"/>
                      <w:color w:val="auto"/>
                      <w:sz w:val="21"/>
                      <w:szCs w:val="21"/>
                      <w:highlight w:val="none"/>
                    </w:rPr>
                  </w:pPr>
                  <w:r>
                    <w:rPr>
                      <w:rFonts w:ascii="Times New Roman" w:hAnsi="Times New Roman"/>
                      <w:color w:val="auto"/>
                      <w:sz w:val="21"/>
                      <w:szCs w:val="21"/>
                      <w:highlight w:val="none"/>
                    </w:rPr>
                    <w:t>处理措施</w:t>
                  </w:r>
                </w:p>
              </w:tc>
            </w:tr>
            <w:tr w14:paraId="3EE6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ign w:val="center"/>
                </w:tcPr>
                <w:p w14:paraId="48C202E0">
                  <w:pPr>
                    <w:jc w:val="center"/>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1117" w:type="dxa"/>
                  <w:noWrap/>
                  <w:vAlign w:val="center"/>
                </w:tcPr>
                <w:p w14:paraId="38826A39">
                  <w:pPr>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钻井泥浆</w:t>
                  </w:r>
                </w:p>
              </w:tc>
              <w:tc>
                <w:tcPr>
                  <w:tcW w:w="1153" w:type="dxa"/>
                  <w:noWrap/>
                  <w:vAlign w:val="center"/>
                </w:tcPr>
                <w:p w14:paraId="6596A051">
                  <w:pPr>
                    <w:jc w:val="center"/>
                    <w:rPr>
                      <w:rFonts w:ascii="Times New Roman" w:hAnsi="Times New Roman"/>
                      <w:color w:val="auto"/>
                      <w:sz w:val="21"/>
                      <w:szCs w:val="21"/>
                      <w:highlight w:val="none"/>
                    </w:rPr>
                  </w:pPr>
                  <w:r>
                    <w:rPr>
                      <w:rFonts w:ascii="Times New Roman" w:hAnsi="Times New Roman"/>
                      <w:color w:val="auto"/>
                      <w:sz w:val="21"/>
                      <w:szCs w:val="21"/>
                      <w:highlight w:val="none"/>
                    </w:rPr>
                    <w:t>一般固废</w:t>
                  </w:r>
                </w:p>
              </w:tc>
              <w:tc>
                <w:tcPr>
                  <w:tcW w:w="1274" w:type="dxa"/>
                  <w:noWrap/>
                  <w:vAlign w:val="center"/>
                </w:tcPr>
                <w:p w14:paraId="3D7D328C">
                  <w:pPr>
                    <w:jc w:val="center"/>
                    <w:rPr>
                      <w:rFonts w:ascii="Times New Roman" w:hAnsi="Times New Roman"/>
                      <w:color w:val="auto"/>
                      <w:sz w:val="21"/>
                      <w:szCs w:val="21"/>
                      <w:highlight w:val="none"/>
                    </w:rPr>
                  </w:pPr>
                  <w:r>
                    <w:rPr>
                      <w:rFonts w:ascii="Times New Roman" w:hAnsi="Times New Roman"/>
                      <w:color w:val="auto"/>
                      <w:sz w:val="21"/>
                      <w:szCs w:val="21"/>
                      <w:highlight w:val="none"/>
                    </w:rPr>
                    <w:t>072-001-S12</w:t>
                  </w:r>
                </w:p>
              </w:tc>
              <w:tc>
                <w:tcPr>
                  <w:tcW w:w="852" w:type="dxa"/>
                  <w:noWrap/>
                  <w:vAlign w:val="center"/>
                </w:tcPr>
                <w:p w14:paraId="133D0341">
                  <w:pPr>
                    <w:jc w:val="center"/>
                    <w:rPr>
                      <w:rFonts w:ascii="Times New Roman" w:hAnsi="Times New Roman"/>
                      <w:color w:val="auto"/>
                      <w:sz w:val="21"/>
                      <w:szCs w:val="21"/>
                      <w:highlight w:val="none"/>
                    </w:rPr>
                  </w:pPr>
                  <w:r>
                    <w:rPr>
                      <w:rFonts w:ascii="Times New Roman" w:hAnsi="Times New Roman"/>
                      <w:color w:val="auto"/>
                      <w:sz w:val="21"/>
                      <w:szCs w:val="21"/>
                      <w:highlight w:val="none"/>
                    </w:rPr>
                    <w:t>钻井</w:t>
                  </w:r>
                </w:p>
              </w:tc>
              <w:tc>
                <w:tcPr>
                  <w:tcW w:w="952" w:type="dxa"/>
                  <w:noWrap/>
                  <w:vAlign w:val="center"/>
                </w:tcPr>
                <w:p w14:paraId="0B30EB3B">
                  <w:pPr>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57</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3</w:t>
                  </w:r>
                </w:p>
              </w:tc>
              <w:tc>
                <w:tcPr>
                  <w:tcW w:w="1860" w:type="dxa"/>
                  <w:noWrap/>
                  <w:vAlign w:val="center"/>
                </w:tcPr>
                <w:p w14:paraId="70841631">
                  <w:pPr>
                    <w:jc w:val="center"/>
                    <w:rPr>
                      <w:rFonts w:ascii="Times New Roman" w:hAnsi="Times New Roman"/>
                      <w:color w:val="auto"/>
                      <w:sz w:val="21"/>
                      <w:szCs w:val="21"/>
                      <w:highlight w:val="none"/>
                    </w:rPr>
                  </w:pPr>
                  <w:r>
                    <w:rPr>
                      <w:rFonts w:ascii="Times New Roman" w:hAnsi="Times New Roman"/>
                      <w:color w:val="auto"/>
                      <w:sz w:val="21"/>
                      <w:szCs w:val="21"/>
                      <w:highlight w:val="none"/>
                    </w:rPr>
                    <w:t>暂存于</w:t>
                  </w:r>
                  <w:r>
                    <w:rPr>
                      <w:rFonts w:hint="eastAsia" w:ascii="Times New Roman" w:hAnsi="Times New Roman"/>
                      <w:color w:val="auto"/>
                      <w:sz w:val="21"/>
                      <w:szCs w:val="21"/>
                      <w:highlight w:val="none"/>
                      <w:lang w:eastAsia="zh-CN"/>
                    </w:rPr>
                    <w:t>泥浆池</w:t>
                  </w:r>
                  <w:r>
                    <w:rPr>
                      <w:rFonts w:ascii="Times New Roman" w:hAnsi="Times New Roman"/>
                      <w:color w:val="auto"/>
                      <w:sz w:val="21"/>
                      <w:szCs w:val="21"/>
                      <w:highlight w:val="none"/>
                    </w:rPr>
                    <w:t>中，待钻井结束后投加泥浆固化剂后作为周边路基维护的建材使用。</w:t>
                  </w:r>
                </w:p>
              </w:tc>
            </w:tr>
            <w:tr w14:paraId="40CE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ign w:val="center"/>
                </w:tcPr>
                <w:p w14:paraId="36A9F69D">
                  <w:pPr>
                    <w:jc w:val="center"/>
                    <w:rPr>
                      <w:rFonts w:ascii="Times New Roman" w:hAnsi="Times New Roman"/>
                      <w:color w:val="auto"/>
                      <w:sz w:val="21"/>
                      <w:szCs w:val="21"/>
                      <w:highlight w:val="none"/>
                    </w:rPr>
                  </w:pPr>
                  <w:r>
                    <w:rPr>
                      <w:rFonts w:ascii="Times New Roman" w:hAnsi="Times New Roman"/>
                      <w:color w:val="auto"/>
                      <w:sz w:val="21"/>
                      <w:szCs w:val="21"/>
                      <w:highlight w:val="none"/>
                    </w:rPr>
                    <w:t>2</w:t>
                  </w:r>
                </w:p>
              </w:tc>
              <w:tc>
                <w:tcPr>
                  <w:tcW w:w="1117" w:type="dxa"/>
                  <w:noWrap/>
                  <w:vAlign w:val="center"/>
                </w:tcPr>
                <w:p w14:paraId="29A37520">
                  <w:pPr>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岩芯碎屑</w:t>
                  </w:r>
                </w:p>
              </w:tc>
              <w:tc>
                <w:tcPr>
                  <w:tcW w:w="1153" w:type="dxa"/>
                  <w:noWrap/>
                  <w:vAlign w:val="center"/>
                </w:tcPr>
                <w:p w14:paraId="7097DE16">
                  <w:pPr>
                    <w:jc w:val="center"/>
                    <w:rPr>
                      <w:rFonts w:ascii="Times New Roman" w:hAnsi="Times New Roman"/>
                      <w:color w:val="auto"/>
                      <w:sz w:val="21"/>
                      <w:szCs w:val="21"/>
                      <w:highlight w:val="none"/>
                    </w:rPr>
                  </w:pPr>
                  <w:r>
                    <w:rPr>
                      <w:rFonts w:ascii="Times New Roman" w:hAnsi="Times New Roman"/>
                      <w:color w:val="auto"/>
                      <w:sz w:val="21"/>
                      <w:szCs w:val="21"/>
                      <w:highlight w:val="none"/>
                    </w:rPr>
                    <w:t>一般固废</w:t>
                  </w:r>
                </w:p>
              </w:tc>
              <w:tc>
                <w:tcPr>
                  <w:tcW w:w="1274" w:type="dxa"/>
                  <w:noWrap/>
                  <w:vAlign w:val="center"/>
                </w:tcPr>
                <w:p w14:paraId="3C3BE913">
                  <w:pPr>
                    <w:jc w:val="center"/>
                    <w:rPr>
                      <w:rFonts w:ascii="Times New Roman" w:hAnsi="Times New Roman"/>
                      <w:color w:val="auto"/>
                      <w:sz w:val="21"/>
                      <w:szCs w:val="21"/>
                      <w:highlight w:val="none"/>
                    </w:rPr>
                  </w:pPr>
                  <w:r>
                    <w:rPr>
                      <w:rFonts w:ascii="Times New Roman" w:hAnsi="Times New Roman"/>
                      <w:bCs/>
                      <w:color w:val="auto"/>
                      <w:sz w:val="21"/>
                      <w:szCs w:val="21"/>
                      <w:highlight w:val="none"/>
                    </w:rPr>
                    <w:t>072-001-S12</w:t>
                  </w:r>
                </w:p>
              </w:tc>
              <w:tc>
                <w:tcPr>
                  <w:tcW w:w="852" w:type="dxa"/>
                  <w:noWrap/>
                  <w:vAlign w:val="center"/>
                </w:tcPr>
                <w:p w14:paraId="1B97A43E">
                  <w:pPr>
                    <w:jc w:val="center"/>
                    <w:rPr>
                      <w:rFonts w:ascii="Times New Roman" w:hAnsi="Times New Roman"/>
                      <w:color w:val="auto"/>
                      <w:sz w:val="21"/>
                      <w:szCs w:val="21"/>
                      <w:highlight w:val="none"/>
                    </w:rPr>
                  </w:pPr>
                  <w:r>
                    <w:rPr>
                      <w:rFonts w:ascii="Times New Roman" w:hAnsi="Times New Roman"/>
                      <w:color w:val="auto"/>
                      <w:sz w:val="21"/>
                      <w:szCs w:val="21"/>
                      <w:highlight w:val="none"/>
                    </w:rPr>
                    <w:t>钻井</w:t>
                  </w:r>
                </w:p>
              </w:tc>
              <w:tc>
                <w:tcPr>
                  <w:tcW w:w="952" w:type="dxa"/>
                  <w:noWrap/>
                  <w:vAlign w:val="center"/>
                </w:tcPr>
                <w:p w14:paraId="070B9D0A">
                  <w:pPr>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3t/a</w:t>
                  </w:r>
                </w:p>
              </w:tc>
              <w:tc>
                <w:tcPr>
                  <w:tcW w:w="1860" w:type="dxa"/>
                  <w:noWrap/>
                  <w:vAlign w:val="center"/>
                </w:tcPr>
                <w:p w14:paraId="01A00B15">
                  <w:pPr>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集中收集后</w:t>
                  </w:r>
                  <w:r>
                    <w:rPr>
                      <w:rFonts w:hint="eastAsia" w:ascii="Times New Roman" w:hAnsi="Times New Roman"/>
                      <w:color w:val="auto"/>
                      <w:sz w:val="21"/>
                      <w:szCs w:val="21"/>
                      <w:highlight w:val="none"/>
                    </w:rPr>
                    <w:t>委托建材单位回收处置</w:t>
                  </w:r>
                </w:p>
              </w:tc>
            </w:tr>
            <w:tr w14:paraId="0738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ign w:val="center"/>
                </w:tcPr>
                <w:p w14:paraId="159CB998">
                  <w:pPr>
                    <w:jc w:val="center"/>
                    <w:rPr>
                      <w:rFonts w:ascii="Times New Roman" w:hAnsi="Times New Roman"/>
                      <w:color w:val="auto"/>
                      <w:sz w:val="21"/>
                      <w:szCs w:val="21"/>
                      <w:highlight w:val="none"/>
                    </w:rPr>
                  </w:pPr>
                  <w:r>
                    <w:rPr>
                      <w:rFonts w:ascii="Times New Roman" w:hAnsi="Times New Roman"/>
                      <w:color w:val="auto"/>
                      <w:sz w:val="21"/>
                      <w:szCs w:val="21"/>
                      <w:highlight w:val="none"/>
                    </w:rPr>
                    <w:t>3</w:t>
                  </w:r>
                </w:p>
              </w:tc>
              <w:tc>
                <w:tcPr>
                  <w:tcW w:w="1117" w:type="dxa"/>
                  <w:noWrap/>
                  <w:vAlign w:val="center"/>
                </w:tcPr>
                <w:p w14:paraId="1A84C175">
                  <w:pPr>
                    <w:jc w:val="center"/>
                    <w:rPr>
                      <w:rFonts w:ascii="Times New Roman" w:hAnsi="Times New Roman"/>
                      <w:color w:val="auto"/>
                      <w:sz w:val="21"/>
                      <w:szCs w:val="21"/>
                      <w:highlight w:val="none"/>
                    </w:rPr>
                  </w:pPr>
                  <w:r>
                    <w:rPr>
                      <w:rFonts w:ascii="Times New Roman" w:hAnsi="Times New Roman"/>
                      <w:color w:val="auto"/>
                      <w:sz w:val="21"/>
                      <w:szCs w:val="21"/>
                      <w:highlight w:val="none"/>
                    </w:rPr>
                    <w:t>废包装材料</w:t>
                  </w:r>
                </w:p>
              </w:tc>
              <w:tc>
                <w:tcPr>
                  <w:tcW w:w="1153" w:type="dxa"/>
                  <w:noWrap/>
                  <w:vAlign w:val="center"/>
                </w:tcPr>
                <w:p w14:paraId="10791725">
                  <w:pPr>
                    <w:jc w:val="center"/>
                    <w:rPr>
                      <w:rFonts w:ascii="Times New Roman" w:hAnsi="Times New Roman"/>
                      <w:color w:val="auto"/>
                      <w:sz w:val="21"/>
                      <w:szCs w:val="21"/>
                      <w:highlight w:val="none"/>
                    </w:rPr>
                  </w:pPr>
                  <w:r>
                    <w:rPr>
                      <w:rFonts w:ascii="Times New Roman" w:hAnsi="Times New Roman"/>
                      <w:color w:val="auto"/>
                      <w:sz w:val="21"/>
                      <w:szCs w:val="21"/>
                      <w:highlight w:val="none"/>
                    </w:rPr>
                    <w:t>一般固废</w:t>
                  </w:r>
                </w:p>
              </w:tc>
              <w:tc>
                <w:tcPr>
                  <w:tcW w:w="1274" w:type="dxa"/>
                  <w:noWrap/>
                  <w:vAlign w:val="center"/>
                </w:tcPr>
                <w:p w14:paraId="1488DC25">
                  <w:pPr>
                    <w:jc w:val="center"/>
                    <w:rPr>
                      <w:rFonts w:ascii="Times New Roman" w:hAnsi="Times New Roman"/>
                      <w:color w:val="auto"/>
                      <w:sz w:val="21"/>
                      <w:szCs w:val="21"/>
                      <w:highlight w:val="none"/>
                    </w:rPr>
                  </w:pPr>
                  <w:r>
                    <w:rPr>
                      <w:rFonts w:ascii="Times New Roman" w:hAnsi="Times New Roman"/>
                      <w:color w:val="auto"/>
                      <w:sz w:val="21"/>
                      <w:szCs w:val="21"/>
                      <w:highlight w:val="none"/>
                    </w:rPr>
                    <w:t>900-099-S59</w:t>
                  </w:r>
                </w:p>
              </w:tc>
              <w:tc>
                <w:tcPr>
                  <w:tcW w:w="852" w:type="dxa"/>
                  <w:noWrap/>
                  <w:vAlign w:val="center"/>
                </w:tcPr>
                <w:p w14:paraId="762547C5">
                  <w:pPr>
                    <w:jc w:val="center"/>
                    <w:rPr>
                      <w:rFonts w:ascii="Times New Roman" w:hAnsi="Times New Roman"/>
                      <w:color w:val="auto"/>
                      <w:sz w:val="21"/>
                      <w:szCs w:val="21"/>
                      <w:highlight w:val="none"/>
                    </w:rPr>
                  </w:pPr>
                  <w:r>
                    <w:rPr>
                      <w:rFonts w:ascii="Times New Roman" w:hAnsi="Times New Roman"/>
                      <w:color w:val="auto"/>
                      <w:sz w:val="21"/>
                      <w:szCs w:val="21"/>
                      <w:highlight w:val="none"/>
                    </w:rPr>
                    <w:t>原辅材料</w:t>
                  </w:r>
                </w:p>
              </w:tc>
              <w:tc>
                <w:tcPr>
                  <w:tcW w:w="952" w:type="dxa"/>
                  <w:noWrap/>
                  <w:vAlign w:val="center"/>
                </w:tcPr>
                <w:p w14:paraId="1ED03FE8">
                  <w:pPr>
                    <w:jc w:val="center"/>
                    <w:rPr>
                      <w:rFonts w:ascii="Times New Roman" w:hAnsi="Times New Roman"/>
                      <w:color w:val="auto"/>
                      <w:sz w:val="21"/>
                      <w:szCs w:val="21"/>
                      <w:highlight w:val="none"/>
                    </w:rPr>
                  </w:pPr>
                  <w:r>
                    <w:rPr>
                      <w:rFonts w:ascii="Times New Roman" w:hAnsi="Times New Roman"/>
                      <w:color w:val="auto"/>
                      <w:sz w:val="21"/>
                      <w:szCs w:val="21"/>
                      <w:highlight w:val="none"/>
                    </w:rPr>
                    <w:t>0.</w:t>
                  </w:r>
                  <w:r>
                    <w:rPr>
                      <w:rFonts w:hint="eastAsia" w:ascii="Times New Roman" w:hAnsi="Times New Roman"/>
                      <w:color w:val="auto"/>
                      <w:sz w:val="21"/>
                      <w:szCs w:val="21"/>
                      <w:highlight w:val="none"/>
                      <w:lang w:val="en-US" w:eastAsia="zh-CN"/>
                    </w:rPr>
                    <w:t>2</w:t>
                  </w:r>
                  <w:r>
                    <w:rPr>
                      <w:rFonts w:ascii="Times New Roman" w:hAnsi="Times New Roman"/>
                      <w:color w:val="auto"/>
                      <w:sz w:val="21"/>
                      <w:szCs w:val="21"/>
                      <w:highlight w:val="none"/>
                    </w:rPr>
                    <w:t>t/a</w:t>
                  </w:r>
                </w:p>
              </w:tc>
              <w:tc>
                <w:tcPr>
                  <w:tcW w:w="1860" w:type="dxa"/>
                  <w:noWrap/>
                  <w:vAlign w:val="center"/>
                </w:tcPr>
                <w:p w14:paraId="6E565019">
                  <w:pPr>
                    <w:jc w:val="center"/>
                    <w:rPr>
                      <w:rFonts w:ascii="Times New Roman" w:hAnsi="Times New Roman"/>
                      <w:color w:val="auto"/>
                      <w:sz w:val="21"/>
                      <w:szCs w:val="21"/>
                      <w:highlight w:val="none"/>
                    </w:rPr>
                  </w:pPr>
                  <w:r>
                    <w:rPr>
                      <w:rFonts w:ascii="Times New Roman" w:hAnsi="Times New Roman"/>
                      <w:color w:val="auto"/>
                      <w:sz w:val="21"/>
                      <w:szCs w:val="21"/>
                      <w:highlight w:val="none"/>
                    </w:rPr>
                    <w:t>集中收集后外售处理</w:t>
                  </w:r>
                </w:p>
              </w:tc>
            </w:tr>
            <w:tr w14:paraId="1DA5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ign w:val="center"/>
                </w:tcPr>
                <w:p w14:paraId="2BEC351E">
                  <w:pPr>
                    <w:jc w:val="center"/>
                    <w:rPr>
                      <w:rFonts w:ascii="Times New Roman" w:hAnsi="Times New Roman"/>
                      <w:color w:val="auto"/>
                      <w:sz w:val="21"/>
                      <w:szCs w:val="21"/>
                      <w:highlight w:val="none"/>
                    </w:rPr>
                  </w:pPr>
                  <w:r>
                    <w:rPr>
                      <w:rFonts w:ascii="Times New Roman" w:hAnsi="Times New Roman"/>
                      <w:color w:val="auto"/>
                      <w:sz w:val="21"/>
                      <w:szCs w:val="21"/>
                      <w:highlight w:val="none"/>
                    </w:rPr>
                    <w:t>4</w:t>
                  </w:r>
                </w:p>
              </w:tc>
              <w:tc>
                <w:tcPr>
                  <w:tcW w:w="1117" w:type="dxa"/>
                  <w:noWrap/>
                  <w:vAlign w:val="center"/>
                </w:tcPr>
                <w:p w14:paraId="1F44D603">
                  <w:pPr>
                    <w:jc w:val="center"/>
                    <w:rPr>
                      <w:rFonts w:ascii="Times New Roman" w:hAnsi="Times New Roman"/>
                      <w:color w:val="auto"/>
                      <w:sz w:val="21"/>
                      <w:szCs w:val="21"/>
                      <w:highlight w:val="none"/>
                    </w:rPr>
                  </w:pPr>
                  <w:r>
                    <w:rPr>
                      <w:rFonts w:ascii="Times New Roman" w:hAnsi="Times New Roman"/>
                      <w:color w:val="auto"/>
                      <w:sz w:val="21"/>
                      <w:szCs w:val="21"/>
                      <w:highlight w:val="none"/>
                    </w:rPr>
                    <w:t>生活垃圾</w:t>
                  </w:r>
                </w:p>
              </w:tc>
              <w:tc>
                <w:tcPr>
                  <w:tcW w:w="1153" w:type="dxa"/>
                  <w:noWrap/>
                  <w:vAlign w:val="center"/>
                </w:tcPr>
                <w:p w14:paraId="232DBB7F">
                  <w:pPr>
                    <w:jc w:val="center"/>
                    <w:rPr>
                      <w:rFonts w:ascii="Times New Roman" w:hAnsi="Times New Roman"/>
                      <w:color w:val="auto"/>
                      <w:sz w:val="21"/>
                      <w:szCs w:val="21"/>
                      <w:highlight w:val="none"/>
                    </w:rPr>
                  </w:pPr>
                  <w:r>
                    <w:rPr>
                      <w:rFonts w:ascii="Times New Roman" w:hAnsi="Times New Roman"/>
                      <w:color w:val="auto"/>
                      <w:sz w:val="21"/>
                      <w:szCs w:val="21"/>
                      <w:highlight w:val="none"/>
                    </w:rPr>
                    <w:t>生活垃圾</w:t>
                  </w:r>
                </w:p>
              </w:tc>
              <w:tc>
                <w:tcPr>
                  <w:tcW w:w="1274" w:type="dxa"/>
                  <w:noWrap/>
                  <w:vAlign w:val="center"/>
                </w:tcPr>
                <w:p w14:paraId="0EE65536">
                  <w:pPr>
                    <w:jc w:val="center"/>
                    <w:rPr>
                      <w:rFonts w:ascii="Times New Roman" w:hAnsi="Times New Roman"/>
                      <w:color w:val="auto"/>
                      <w:sz w:val="21"/>
                      <w:szCs w:val="21"/>
                      <w:highlight w:val="none"/>
                    </w:rPr>
                  </w:pPr>
                  <w:r>
                    <w:rPr>
                      <w:rFonts w:ascii="Times New Roman" w:hAnsi="Times New Roman"/>
                      <w:bCs/>
                      <w:color w:val="auto"/>
                      <w:sz w:val="21"/>
                      <w:szCs w:val="21"/>
                      <w:highlight w:val="none"/>
                    </w:rPr>
                    <w:t>/</w:t>
                  </w:r>
                </w:p>
              </w:tc>
              <w:tc>
                <w:tcPr>
                  <w:tcW w:w="852" w:type="dxa"/>
                  <w:noWrap/>
                  <w:vAlign w:val="center"/>
                </w:tcPr>
                <w:p w14:paraId="6FF3BF26">
                  <w:pPr>
                    <w:jc w:val="center"/>
                    <w:rPr>
                      <w:rFonts w:ascii="Times New Roman" w:hAnsi="Times New Roman"/>
                      <w:color w:val="auto"/>
                      <w:sz w:val="21"/>
                      <w:szCs w:val="21"/>
                      <w:highlight w:val="none"/>
                    </w:rPr>
                  </w:pPr>
                  <w:r>
                    <w:rPr>
                      <w:rFonts w:ascii="Times New Roman" w:hAnsi="Times New Roman"/>
                      <w:color w:val="auto"/>
                      <w:sz w:val="21"/>
                      <w:szCs w:val="21"/>
                      <w:highlight w:val="none"/>
                    </w:rPr>
                    <w:t>员工</w:t>
                  </w:r>
                </w:p>
              </w:tc>
              <w:tc>
                <w:tcPr>
                  <w:tcW w:w="952" w:type="dxa"/>
                  <w:noWrap/>
                  <w:vAlign w:val="center"/>
                </w:tcPr>
                <w:p w14:paraId="2F7D7FC5">
                  <w:pPr>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3.24</w:t>
                  </w:r>
                  <w:r>
                    <w:rPr>
                      <w:rFonts w:ascii="Times New Roman" w:hAnsi="Times New Roman"/>
                      <w:color w:val="auto"/>
                      <w:sz w:val="21"/>
                      <w:szCs w:val="21"/>
                      <w:highlight w:val="none"/>
                    </w:rPr>
                    <w:t>t/a</w:t>
                  </w:r>
                </w:p>
              </w:tc>
              <w:tc>
                <w:tcPr>
                  <w:tcW w:w="1860" w:type="dxa"/>
                  <w:noWrap/>
                  <w:vAlign w:val="center"/>
                </w:tcPr>
                <w:p w14:paraId="4C21242A">
                  <w:pPr>
                    <w:jc w:val="center"/>
                    <w:rPr>
                      <w:rFonts w:ascii="Times New Roman" w:hAnsi="Times New Roman"/>
                      <w:color w:val="auto"/>
                      <w:sz w:val="21"/>
                      <w:szCs w:val="21"/>
                      <w:highlight w:val="none"/>
                    </w:rPr>
                  </w:pPr>
                  <w:r>
                    <w:rPr>
                      <w:rFonts w:ascii="Times New Roman" w:hAnsi="Times New Roman"/>
                      <w:color w:val="auto"/>
                      <w:sz w:val="21"/>
                      <w:szCs w:val="21"/>
                      <w:highlight w:val="none"/>
                    </w:rPr>
                    <w:t>纳入周边农村的生活垃圾收集设施，由环卫部门统一清运</w:t>
                  </w:r>
                </w:p>
              </w:tc>
            </w:tr>
            <w:tr w14:paraId="7BCD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2" w:type="dxa"/>
                  <w:noWrap/>
                  <w:vAlign w:val="center"/>
                </w:tcPr>
                <w:p w14:paraId="0F645594">
                  <w:pPr>
                    <w:jc w:val="center"/>
                    <w:rPr>
                      <w:rFonts w:ascii="Times New Roman" w:hAnsi="Times New Roman"/>
                      <w:color w:val="auto"/>
                      <w:sz w:val="21"/>
                      <w:szCs w:val="21"/>
                      <w:highlight w:val="none"/>
                    </w:rPr>
                  </w:pPr>
                  <w:r>
                    <w:rPr>
                      <w:rFonts w:ascii="Times New Roman" w:hAnsi="Times New Roman"/>
                      <w:color w:val="auto"/>
                      <w:sz w:val="21"/>
                      <w:szCs w:val="21"/>
                      <w:highlight w:val="none"/>
                    </w:rPr>
                    <w:t>5</w:t>
                  </w:r>
                </w:p>
              </w:tc>
              <w:tc>
                <w:tcPr>
                  <w:tcW w:w="1117" w:type="dxa"/>
                  <w:noWrap/>
                  <w:vAlign w:val="center"/>
                </w:tcPr>
                <w:p w14:paraId="0C97C33A">
                  <w:pPr>
                    <w:jc w:val="center"/>
                    <w:rPr>
                      <w:rFonts w:ascii="Times New Roman" w:hAnsi="Times New Roman"/>
                      <w:color w:val="auto"/>
                      <w:sz w:val="21"/>
                      <w:szCs w:val="21"/>
                      <w:highlight w:val="none"/>
                    </w:rPr>
                  </w:pPr>
                  <w:r>
                    <w:rPr>
                      <w:rFonts w:ascii="Times New Roman" w:hAnsi="Times New Roman"/>
                      <w:color w:val="auto"/>
                      <w:sz w:val="21"/>
                      <w:szCs w:val="21"/>
                      <w:highlight w:val="none"/>
                    </w:rPr>
                    <w:t>废润滑油</w:t>
                  </w:r>
                </w:p>
              </w:tc>
              <w:tc>
                <w:tcPr>
                  <w:tcW w:w="1153" w:type="dxa"/>
                  <w:vMerge w:val="restart"/>
                  <w:noWrap/>
                  <w:vAlign w:val="center"/>
                </w:tcPr>
                <w:p w14:paraId="17746476">
                  <w:pPr>
                    <w:jc w:val="center"/>
                    <w:rPr>
                      <w:rFonts w:ascii="Times New Roman" w:hAnsi="Times New Roman"/>
                      <w:color w:val="auto"/>
                      <w:sz w:val="21"/>
                      <w:szCs w:val="21"/>
                      <w:highlight w:val="none"/>
                    </w:rPr>
                  </w:pPr>
                  <w:r>
                    <w:rPr>
                      <w:rFonts w:ascii="Times New Roman" w:hAnsi="Times New Roman"/>
                      <w:color w:val="auto"/>
                      <w:sz w:val="21"/>
                      <w:szCs w:val="21"/>
                      <w:highlight w:val="none"/>
                    </w:rPr>
                    <w:t>危险废物</w:t>
                  </w:r>
                </w:p>
              </w:tc>
              <w:tc>
                <w:tcPr>
                  <w:tcW w:w="1274" w:type="dxa"/>
                  <w:noWrap/>
                  <w:vAlign w:val="center"/>
                </w:tcPr>
                <w:p w14:paraId="0F9909B7">
                  <w:pPr>
                    <w:jc w:val="center"/>
                    <w:rPr>
                      <w:rFonts w:ascii="Times New Roman" w:hAnsi="Times New Roman"/>
                      <w:color w:val="auto"/>
                      <w:sz w:val="21"/>
                      <w:szCs w:val="21"/>
                      <w:highlight w:val="none"/>
                    </w:rPr>
                  </w:pPr>
                  <w:r>
                    <w:rPr>
                      <w:rFonts w:ascii="Times New Roman" w:hAnsi="Times New Roman"/>
                      <w:bCs/>
                      <w:color w:val="auto"/>
                      <w:sz w:val="21"/>
                      <w:szCs w:val="21"/>
                      <w:highlight w:val="none"/>
                    </w:rPr>
                    <w:t>HW08，900-214-08</w:t>
                  </w:r>
                </w:p>
              </w:tc>
              <w:tc>
                <w:tcPr>
                  <w:tcW w:w="852" w:type="dxa"/>
                  <w:noWrap/>
                  <w:vAlign w:val="center"/>
                </w:tcPr>
                <w:p w14:paraId="1D4782BF">
                  <w:pPr>
                    <w:jc w:val="center"/>
                    <w:rPr>
                      <w:rFonts w:ascii="Times New Roman" w:hAnsi="Times New Roman"/>
                      <w:color w:val="auto"/>
                      <w:sz w:val="21"/>
                      <w:szCs w:val="21"/>
                      <w:highlight w:val="none"/>
                    </w:rPr>
                  </w:pPr>
                  <w:r>
                    <w:rPr>
                      <w:rFonts w:ascii="Times New Roman" w:hAnsi="Times New Roman"/>
                      <w:color w:val="auto"/>
                      <w:sz w:val="21"/>
                      <w:szCs w:val="21"/>
                      <w:highlight w:val="none"/>
                    </w:rPr>
                    <w:t>机械设备</w:t>
                  </w:r>
                </w:p>
              </w:tc>
              <w:tc>
                <w:tcPr>
                  <w:tcW w:w="952" w:type="dxa"/>
                  <w:noWrap/>
                  <w:vAlign w:val="center"/>
                </w:tcPr>
                <w:p w14:paraId="475E6BDC">
                  <w:pPr>
                    <w:jc w:val="center"/>
                    <w:rPr>
                      <w:rFonts w:ascii="Times New Roman" w:hAnsi="Times New Roman"/>
                      <w:color w:val="auto"/>
                      <w:sz w:val="21"/>
                      <w:szCs w:val="21"/>
                      <w:highlight w:val="none"/>
                    </w:rPr>
                  </w:pPr>
                  <w:r>
                    <w:rPr>
                      <w:rFonts w:ascii="Times New Roman" w:hAnsi="Times New Roman"/>
                      <w:color w:val="auto"/>
                      <w:sz w:val="21"/>
                      <w:szCs w:val="21"/>
                      <w:highlight w:val="none"/>
                    </w:rPr>
                    <w:t>0.</w:t>
                  </w:r>
                  <w:r>
                    <w:rPr>
                      <w:rFonts w:hint="eastAsia" w:ascii="Times New Roman" w:hAnsi="Times New Roman"/>
                      <w:color w:val="auto"/>
                      <w:sz w:val="21"/>
                      <w:szCs w:val="21"/>
                      <w:highlight w:val="none"/>
                      <w:lang w:val="en-US" w:eastAsia="zh-CN"/>
                    </w:rPr>
                    <w:t>03</w:t>
                  </w:r>
                  <w:r>
                    <w:rPr>
                      <w:rFonts w:ascii="Times New Roman" w:hAnsi="Times New Roman"/>
                      <w:color w:val="auto"/>
                      <w:sz w:val="21"/>
                      <w:szCs w:val="21"/>
                      <w:highlight w:val="none"/>
                    </w:rPr>
                    <w:t>t/a</w:t>
                  </w:r>
                </w:p>
              </w:tc>
              <w:tc>
                <w:tcPr>
                  <w:tcW w:w="1860" w:type="dxa"/>
                  <w:vMerge w:val="restart"/>
                  <w:noWrap/>
                  <w:vAlign w:val="center"/>
                </w:tcPr>
                <w:p w14:paraId="19FC8F3C">
                  <w:pPr>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暂存于各井场</w:t>
                  </w:r>
                  <w:r>
                    <w:rPr>
                      <w:rFonts w:ascii="Times New Roman" w:hAnsi="Times New Roman"/>
                      <w:color w:val="auto"/>
                      <w:sz w:val="21"/>
                      <w:szCs w:val="21"/>
                      <w:highlight w:val="none"/>
                    </w:rPr>
                    <w:t>危废暂存间暂存，交由有资质单位处置</w:t>
                  </w:r>
                </w:p>
              </w:tc>
            </w:tr>
            <w:tr w14:paraId="670F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ign w:val="center"/>
                </w:tcPr>
                <w:p w14:paraId="15220CDD">
                  <w:pPr>
                    <w:jc w:val="center"/>
                    <w:rPr>
                      <w:rFonts w:ascii="Times New Roman" w:hAnsi="Times New Roman"/>
                      <w:color w:val="auto"/>
                      <w:sz w:val="21"/>
                      <w:szCs w:val="21"/>
                      <w:highlight w:val="none"/>
                    </w:rPr>
                  </w:pPr>
                  <w:r>
                    <w:rPr>
                      <w:rFonts w:ascii="Times New Roman" w:hAnsi="Times New Roman"/>
                      <w:color w:val="auto"/>
                      <w:sz w:val="21"/>
                      <w:szCs w:val="21"/>
                      <w:highlight w:val="none"/>
                    </w:rPr>
                    <w:t>6</w:t>
                  </w:r>
                </w:p>
              </w:tc>
              <w:tc>
                <w:tcPr>
                  <w:tcW w:w="1117" w:type="dxa"/>
                  <w:noWrap/>
                  <w:vAlign w:val="center"/>
                </w:tcPr>
                <w:p w14:paraId="26A9E46E">
                  <w:pPr>
                    <w:jc w:val="center"/>
                    <w:rPr>
                      <w:rFonts w:ascii="Times New Roman" w:hAnsi="Times New Roman"/>
                      <w:color w:val="auto"/>
                      <w:sz w:val="21"/>
                      <w:szCs w:val="21"/>
                      <w:highlight w:val="none"/>
                    </w:rPr>
                  </w:pPr>
                  <w:r>
                    <w:rPr>
                      <w:rFonts w:ascii="Times New Roman" w:hAnsi="Times New Roman"/>
                      <w:color w:val="auto"/>
                      <w:sz w:val="21"/>
                      <w:szCs w:val="21"/>
                      <w:highlight w:val="none"/>
                    </w:rPr>
                    <w:t>废润滑油桶</w:t>
                  </w:r>
                </w:p>
              </w:tc>
              <w:tc>
                <w:tcPr>
                  <w:tcW w:w="1153" w:type="dxa"/>
                  <w:vMerge w:val="continue"/>
                  <w:noWrap/>
                  <w:vAlign w:val="center"/>
                </w:tcPr>
                <w:p w14:paraId="39C96E43">
                  <w:pPr>
                    <w:jc w:val="center"/>
                    <w:rPr>
                      <w:rFonts w:ascii="Times New Roman" w:hAnsi="Times New Roman"/>
                      <w:color w:val="auto"/>
                      <w:sz w:val="21"/>
                      <w:szCs w:val="21"/>
                      <w:highlight w:val="none"/>
                    </w:rPr>
                  </w:pPr>
                </w:p>
              </w:tc>
              <w:tc>
                <w:tcPr>
                  <w:tcW w:w="1274" w:type="dxa"/>
                  <w:noWrap/>
                  <w:vAlign w:val="center"/>
                </w:tcPr>
                <w:p w14:paraId="51EDFEA0">
                  <w:pPr>
                    <w:jc w:val="center"/>
                    <w:rPr>
                      <w:rFonts w:ascii="Times New Roman" w:hAnsi="Times New Roman"/>
                      <w:color w:val="auto"/>
                      <w:sz w:val="21"/>
                      <w:szCs w:val="21"/>
                      <w:highlight w:val="none"/>
                    </w:rPr>
                  </w:pPr>
                  <w:r>
                    <w:rPr>
                      <w:rFonts w:ascii="Times New Roman" w:hAnsi="Times New Roman"/>
                      <w:bCs/>
                      <w:color w:val="auto"/>
                      <w:sz w:val="21"/>
                      <w:szCs w:val="21"/>
                      <w:highlight w:val="none"/>
                    </w:rPr>
                    <w:t>HW08，900-249-08</w:t>
                  </w:r>
                </w:p>
              </w:tc>
              <w:tc>
                <w:tcPr>
                  <w:tcW w:w="852" w:type="dxa"/>
                  <w:noWrap/>
                  <w:vAlign w:val="center"/>
                </w:tcPr>
                <w:p w14:paraId="7CDED2CB">
                  <w:pPr>
                    <w:jc w:val="center"/>
                    <w:rPr>
                      <w:rFonts w:ascii="Times New Roman" w:hAnsi="Times New Roman"/>
                      <w:color w:val="auto"/>
                      <w:sz w:val="21"/>
                      <w:szCs w:val="21"/>
                      <w:highlight w:val="none"/>
                    </w:rPr>
                  </w:pPr>
                  <w:r>
                    <w:rPr>
                      <w:rFonts w:ascii="Times New Roman" w:hAnsi="Times New Roman"/>
                      <w:color w:val="auto"/>
                      <w:sz w:val="21"/>
                      <w:szCs w:val="21"/>
                      <w:highlight w:val="none"/>
                    </w:rPr>
                    <w:t>机械设备</w:t>
                  </w:r>
                </w:p>
              </w:tc>
              <w:tc>
                <w:tcPr>
                  <w:tcW w:w="952" w:type="dxa"/>
                  <w:noWrap/>
                  <w:vAlign w:val="center"/>
                </w:tcPr>
                <w:p w14:paraId="7DA43CE9">
                  <w:pPr>
                    <w:jc w:val="center"/>
                    <w:rPr>
                      <w:rFonts w:ascii="Times New Roman" w:hAnsi="Times New Roman"/>
                      <w:color w:val="auto"/>
                      <w:sz w:val="21"/>
                      <w:szCs w:val="21"/>
                      <w:highlight w:val="none"/>
                    </w:rPr>
                  </w:pPr>
                  <w:r>
                    <w:rPr>
                      <w:rFonts w:ascii="Times New Roman" w:hAnsi="Times New Roman"/>
                      <w:color w:val="auto"/>
                      <w:sz w:val="21"/>
                      <w:szCs w:val="21"/>
                      <w:highlight w:val="none"/>
                    </w:rPr>
                    <w:t>0.0</w:t>
                  </w:r>
                  <w:r>
                    <w:rPr>
                      <w:rFonts w:hint="eastAsia" w:ascii="Times New Roman" w:hAnsi="Times New Roman"/>
                      <w:color w:val="auto"/>
                      <w:sz w:val="21"/>
                      <w:szCs w:val="21"/>
                      <w:highlight w:val="none"/>
                      <w:lang w:val="en-US" w:eastAsia="zh-CN"/>
                    </w:rPr>
                    <w:t>1</w:t>
                  </w:r>
                  <w:r>
                    <w:rPr>
                      <w:rFonts w:ascii="Times New Roman" w:hAnsi="Times New Roman"/>
                      <w:color w:val="auto"/>
                      <w:sz w:val="21"/>
                      <w:szCs w:val="21"/>
                      <w:highlight w:val="none"/>
                    </w:rPr>
                    <w:t>t/a</w:t>
                  </w:r>
                </w:p>
              </w:tc>
              <w:tc>
                <w:tcPr>
                  <w:tcW w:w="1860" w:type="dxa"/>
                  <w:vMerge w:val="continue"/>
                  <w:noWrap/>
                  <w:vAlign w:val="center"/>
                </w:tcPr>
                <w:p w14:paraId="746CFBD5">
                  <w:pPr>
                    <w:jc w:val="center"/>
                    <w:rPr>
                      <w:rFonts w:ascii="Times New Roman" w:hAnsi="Times New Roman"/>
                      <w:color w:val="auto"/>
                      <w:sz w:val="21"/>
                      <w:szCs w:val="21"/>
                      <w:highlight w:val="none"/>
                    </w:rPr>
                  </w:pPr>
                </w:p>
              </w:tc>
            </w:tr>
            <w:tr w14:paraId="00EB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ign w:val="center"/>
                </w:tcPr>
                <w:p w14:paraId="23941897">
                  <w:pPr>
                    <w:jc w:val="center"/>
                    <w:rPr>
                      <w:rFonts w:ascii="Times New Roman" w:hAnsi="Times New Roman"/>
                      <w:color w:val="auto"/>
                      <w:sz w:val="21"/>
                      <w:szCs w:val="21"/>
                      <w:highlight w:val="none"/>
                    </w:rPr>
                  </w:pPr>
                  <w:r>
                    <w:rPr>
                      <w:rFonts w:ascii="Times New Roman" w:hAnsi="Times New Roman"/>
                      <w:color w:val="auto"/>
                      <w:sz w:val="21"/>
                      <w:szCs w:val="21"/>
                      <w:highlight w:val="none"/>
                    </w:rPr>
                    <w:t>7</w:t>
                  </w:r>
                </w:p>
              </w:tc>
              <w:tc>
                <w:tcPr>
                  <w:tcW w:w="1117" w:type="dxa"/>
                  <w:noWrap/>
                  <w:vAlign w:val="center"/>
                </w:tcPr>
                <w:p w14:paraId="4469EA16">
                  <w:pPr>
                    <w:jc w:val="center"/>
                    <w:rPr>
                      <w:rFonts w:ascii="Times New Roman" w:hAnsi="Times New Roman"/>
                      <w:color w:val="auto"/>
                      <w:sz w:val="21"/>
                      <w:szCs w:val="21"/>
                      <w:highlight w:val="none"/>
                    </w:rPr>
                  </w:pPr>
                  <w:r>
                    <w:rPr>
                      <w:rFonts w:ascii="Times New Roman" w:hAnsi="Times New Roman"/>
                      <w:color w:val="auto"/>
                      <w:sz w:val="21"/>
                      <w:szCs w:val="21"/>
                      <w:highlight w:val="none"/>
                    </w:rPr>
                    <w:t>废含油抹布和废含油手套</w:t>
                  </w:r>
                </w:p>
              </w:tc>
              <w:tc>
                <w:tcPr>
                  <w:tcW w:w="1153" w:type="dxa"/>
                  <w:vMerge w:val="continue"/>
                  <w:noWrap/>
                  <w:vAlign w:val="center"/>
                </w:tcPr>
                <w:p w14:paraId="00BEB8CB">
                  <w:pPr>
                    <w:jc w:val="center"/>
                    <w:rPr>
                      <w:rFonts w:ascii="Times New Roman" w:hAnsi="Times New Roman"/>
                      <w:color w:val="auto"/>
                      <w:sz w:val="21"/>
                      <w:szCs w:val="21"/>
                      <w:highlight w:val="none"/>
                    </w:rPr>
                  </w:pPr>
                </w:p>
              </w:tc>
              <w:tc>
                <w:tcPr>
                  <w:tcW w:w="1274" w:type="dxa"/>
                  <w:noWrap/>
                  <w:vAlign w:val="center"/>
                </w:tcPr>
                <w:p w14:paraId="2CF37740">
                  <w:pPr>
                    <w:jc w:val="center"/>
                    <w:rPr>
                      <w:rFonts w:ascii="Times New Roman" w:hAnsi="Times New Roman"/>
                      <w:color w:val="auto"/>
                      <w:sz w:val="21"/>
                      <w:szCs w:val="21"/>
                      <w:highlight w:val="none"/>
                    </w:rPr>
                  </w:pPr>
                  <w:r>
                    <w:rPr>
                      <w:rFonts w:ascii="Times New Roman" w:hAnsi="Times New Roman"/>
                      <w:color w:val="auto"/>
                      <w:sz w:val="21"/>
                      <w:szCs w:val="21"/>
                      <w:highlight w:val="none"/>
                    </w:rPr>
                    <w:t>HW49，900-041-49</w:t>
                  </w:r>
                </w:p>
              </w:tc>
              <w:tc>
                <w:tcPr>
                  <w:tcW w:w="852" w:type="dxa"/>
                  <w:noWrap/>
                  <w:vAlign w:val="center"/>
                </w:tcPr>
                <w:p w14:paraId="00D737FC">
                  <w:pPr>
                    <w:jc w:val="center"/>
                    <w:rPr>
                      <w:rFonts w:ascii="Times New Roman" w:hAnsi="Times New Roman"/>
                      <w:color w:val="auto"/>
                      <w:sz w:val="21"/>
                      <w:szCs w:val="21"/>
                      <w:highlight w:val="none"/>
                    </w:rPr>
                  </w:pPr>
                  <w:r>
                    <w:rPr>
                      <w:rFonts w:ascii="Times New Roman" w:hAnsi="Times New Roman"/>
                      <w:color w:val="auto"/>
                      <w:sz w:val="21"/>
                      <w:szCs w:val="21"/>
                      <w:highlight w:val="none"/>
                    </w:rPr>
                    <w:t>机械设备维护</w:t>
                  </w:r>
                </w:p>
              </w:tc>
              <w:tc>
                <w:tcPr>
                  <w:tcW w:w="952" w:type="dxa"/>
                  <w:noWrap/>
                  <w:vAlign w:val="center"/>
                </w:tcPr>
                <w:p w14:paraId="54BBB812">
                  <w:pPr>
                    <w:jc w:val="center"/>
                    <w:rPr>
                      <w:rFonts w:ascii="Times New Roman" w:hAnsi="Times New Roman"/>
                      <w:color w:val="auto"/>
                      <w:sz w:val="21"/>
                      <w:szCs w:val="21"/>
                      <w:highlight w:val="none"/>
                    </w:rPr>
                  </w:pPr>
                  <w:r>
                    <w:rPr>
                      <w:rFonts w:ascii="Times New Roman" w:hAnsi="Times New Roman"/>
                      <w:color w:val="auto"/>
                      <w:sz w:val="21"/>
                      <w:szCs w:val="21"/>
                      <w:highlight w:val="none"/>
                    </w:rPr>
                    <w:t>0.0</w:t>
                  </w:r>
                  <w:r>
                    <w:rPr>
                      <w:rFonts w:hint="eastAsia" w:ascii="Times New Roman" w:hAnsi="Times New Roman"/>
                      <w:color w:val="auto"/>
                      <w:sz w:val="21"/>
                      <w:szCs w:val="21"/>
                      <w:highlight w:val="none"/>
                      <w:lang w:val="en-US" w:eastAsia="zh-CN"/>
                    </w:rPr>
                    <w:t>1</w:t>
                  </w:r>
                  <w:r>
                    <w:rPr>
                      <w:rFonts w:ascii="Times New Roman" w:hAnsi="Times New Roman"/>
                      <w:color w:val="auto"/>
                      <w:sz w:val="21"/>
                      <w:szCs w:val="21"/>
                      <w:highlight w:val="none"/>
                    </w:rPr>
                    <w:t>t/a</w:t>
                  </w:r>
                </w:p>
              </w:tc>
              <w:tc>
                <w:tcPr>
                  <w:tcW w:w="1860" w:type="dxa"/>
                  <w:vMerge w:val="continue"/>
                  <w:noWrap/>
                  <w:vAlign w:val="center"/>
                </w:tcPr>
                <w:p w14:paraId="0E58F035">
                  <w:pPr>
                    <w:jc w:val="center"/>
                    <w:rPr>
                      <w:rFonts w:ascii="Times New Roman" w:hAnsi="Times New Roman"/>
                      <w:color w:val="auto"/>
                      <w:sz w:val="21"/>
                      <w:szCs w:val="21"/>
                      <w:highlight w:val="none"/>
                    </w:rPr>
                  </w:pPr>
                </w:p>
              </w:tc>
            </w:tr>
          </w:tbl>
          <w:p w14:paraId="20D5091B">
            <w:pPr>
              <w:pStyle w:val="5"/>
              <w:spacing w:line="360" w:lineRule="auto"/>
              <w:ind w:firstLine="482"/>
              <w:rPr>
                <w:rFonts w:ascii="Times New Roman" w:hAnsi="Times New Roman"/>
                <w:b/>
                <w:bCs/>
                <w:color w:val="auto"/>
                <w:sz w:val="24"/>
                <w:lang w:val="en-US" w:eastAsia="zh-CN"/>
              </w:rPr>
            </w:pPr>
            <w:r>
              <w:rPr>
                <w:rFonts w:ascii="Times New Roman" w:hAnsi="Times New Roman"/>
                <w:b/>
                <w:bCs/>
                <w:color w:val="auto"/>
                <w:sz w:val="24"/>
                <w:lang w:val="en-US" w:eastAsia="zh-CN"/>
              </w:rPr>
              <w:t>5、土壤环境影响分析</w:t>
            </w:r>
          </w:p>
          <w:p w14:paraId="259456BA">
            <w:pPr>
              <w:pStyle w:val="5"/>
              <w:spacing w:line="360" w:lineRule="auto"/>
              <w:ind w:firstLine="480"/>
              <w:rPr>
                <w:rFonts w:hint="default" w:ascii="Times New Roman" w:hAnsi="Times New Roman" w:eastAsia="宋体"/>
                <w:color w:val="auto"/>
                <w:sz w:val="24"/>
                <w:highlight w:val="none"/>
                <w:lang w:val="en-US" w:eastAsia="zh-CN"/>
              </w:rPr>
            </w:pPr>
            <w:r>
              <w:rPr>
                <w:rFonts w:ascii="Times New Roman" w:hAnsi="Times New Roman"/>
                <w:color w:val="auto"/>
                <w:sz w:val="24"/>
                <w:highlight w:val="none"/>
              </w:rPr>
              <w:t>正常工况下，钻井工程对土壤无影响</w:t>
            </w:r>
            <w:r>
              <w:rPr>
                <w:rFonts w:hint="eastAsia" w:ascii="Times New Roman" w:hAnsi="Times New Roman"/>
                <w:color w:val="auto"/>
                <w:sz w:val="24"/>
                <w:highlight w:val="none"/>
                <w:lang w:val="en-US" w:eastAsia="zh-CN"/>
              </w:rPr>
              <w:t>。</w:t>
            </w:r>
            <w:r>
              <w:rPr>
                <w:rFonts w:ascii="Times New Roman" w:hAnsi="Times New Roman"/>
                <w:color w:val="auto"/>
                <w:sz w:val="24"/>
                <w:highlight w:val="none"/>
              </w:rPr>
              <w:t>本项目产生的固体废物均外运处置，不长期储存</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井场内危废暂存间、泥浆池、干化池等均采取了防渗措施</w:t>
            </w:r>
            <w:r>
              <w:rPr>
                <w:rFonts w:ascii="Times New Roman" w:hAnsi="Times New Roman"/>
                <w:color w:val="auto"/>
                <w:sz w:val="24"/>
                <w:highlight w:val="none"/>
              </w:rPr>
              <w:t>，通过采取的源头控制和分区防渗措施，不会造成评价范围及周边土壤环境质量超标。</w:t>
            </w:r>
          </w:p>
          <w:p w14:paraId="7F443A81">
            <w:pPr>
              <w:pStyle w:val="5"/>
              <w:spacing w:line="360" w:lineRule="auto"/>
              <w:ind w:firstLine="482"/>
              <w:rPr>
                <w:rFonts w:ascii="Times New Roman" w:hAnsi="Times New Roman"/>
                <w:b/>
                <w:bCs/>
                <w:color w:val="auto"/>
                <w:sz w:val="24"/>
                <w:lang w:val="en-US" w:eastAsia="zh-CN"/>
              </w:rPr>
            </w:pPr>
            <w:r>
              <w:rPr>
                <w:rFonts w:ascii="Times New Roman" w:hAnsi="Times New Roman"/>
                <w:b/>
                <w:bCs/>
                <w:color w:val="auto"/>
                <w:sz w:val="24"/>
                <w:lang w:val="en-US" w:eastAsia="zh-CN"/>
              </w:rPr>
              <w:t>6、地下水环境影响分析</w:t>
            </w:r>
          </w:p>
          <w:p w14:paraId="5C02CC27">
            <w:pPr>
              <w:spacing w:line="360" w:lineRule="auto"/>
              <w:ind w:firstLine="480" w:firstLineChars="200"/>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rPr>
              <w:t>本项目钻井段的地层岩性以砂岩为主，地层孔隙度小，渗透率极低，泥浆漏失的几率很小。此外，本项目钻井阶段利用清水泥浆钻井，在套管的保护下能有效地保护浅层地下水；每开钻井结束后通过固井作业封隔地层与套管之间的环形空间，也可降低污染物进入地层的风险；在钻井过程对泥浆进行实时监测，一旦有漏失发生，立即采取堵漏措施</w:t>
            </w:r>
            <w:r>
              <w:rPr>
                <w:rFonts w:hint="eastAsia" w:ascii="Times New Roman" w:hAnsi="Times New Roman"/>
                <w:color w:val="auto"/>
                <w:sz w:val="24"/>
                <w:highlight w:val="none"/>
                <w:lang w:val="en-US" w:eastAsia="zh-CN"/>
              </w:rPr>
              <w:t>。</w:t>
            </w:r>
          </w:p>
          <w:p w14:paraId="4B67FC60">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钻井工程在井场内实施，井身有套管保护，故井筒不易发生泄露事故。对地下水环境可能造成影响的污染源主要是场地内暂存的钻井工程废水、废泥浆等的渗滤液以及钻井泥浆连续混配过程中的跑、冒、滴、漏，开井返排阶段返排废水收集贮存的跑、冒、滴、漏污染地下水环境。周边村镇均已接通自来水，无分散饮用水井分布。因此，本项目钻井过程对地下水环境的影响较小。</w:t>
            </w:r>
          </w:p>
          <w:p w14:paraId="7BF33535">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根据《环境影响评价技术导则地下水环境》（HJ610-2016），将本项目划分为重点防渗区、一般防渗区以及简单防渗区，具体划分区域如下：</w:t>
            </w:r>
          </w:p>
          <w:p w14:paraId="7D8A2CBE">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重点防渗区：</w:t>
            </w:r>
            <w:r>
              <w:rPr>
                <w:rFonts w:hint="eastAsia" w:ascii="Times New Roman" w:hAnsi="Times New Roman"/>
                <w:color w:val="auto"/>
                <w:sz w:val="24"/>
                <w:highlight w:val="none"/>
                <w:lang w:val="en-US" w:eastAsia="zh-CN"/>
              </w:rPr>
              <w:t>危废暂存间</w:t>
            </w:r>
            <w:r>
              <w:rPr>
                <w:rFonts w:ascii="Times New Roman" w:hAnsi="Times New Roman"/>
                <w:color w:val="auto"/>
                <w:sz w:val="24"/>
                <w:highlight w:val="none"/>
              </w:rPr>
              <w:t>。防渗要求</w:t>
            </w:r>
            <w:r>
              <w:rPr>
                <w:rFonts w:hint="eastAsia" w:ascii="Times New Roman" w:hAnsi="Times New Roman"/>
                <w:color w:val="auto"/>
                <w:sz w:val="24"/>
                <w:highlight w:val="none"/>
              </w:rPr>
              <w:t>：</w:t>
            </w:r>
            <w:r>
              <w:rPr>
                <w:rFonts w:ascii="Times New Roman" w:hAnsi="Times New Roman"/>
                <w:color w:val="auto"/>
                <w:sz w:val="24"/>
                <w:highlight w:val="none"/>
              </w:rPr>
              <w:t>采用</w:t>
            </w:r>
            <w:r>
              <w:rPr>
                <w:rFonts w:hint="eastAsia" w:ascii="Times New Roman" w:hAnsi="Times New Roman"/>
                <w:color w:val="auto"/>
                <w:sz w:val="24"/>
                <w:highlight w:val="none"/>
                <w:lang w:eastAsia="zh-CN"/>
              </w:rPr>
              <w:t>“</w:t>
            </w:r>
            <w:r>
              <w:rPr>
                <w:rFonts w:ascii="Times New Roman" w:hAnsi="Times New Roman"/>
                <w:color w:val="auto"/>
                <w:sz w:val="24"/>
                <w:highlight w:val="none"/>
              </w:rPr>
              <w:t>防渗混凝土+防渗布+砂浆层</w:t>
            </w:r>
            <w:r>
              <w:rPr>
                <w:rFonts w:hint="eastAsia" w:ascii="Times New Roman" w:hAnsi="Times New Roman"/>
                <w:color w:val="auto"/>
                <w:sz w:val="24"/>
                <w:highlight w:val="none"/>
                <w:lang w:eastAsia="zh-CN"/>
              </w:rPr>
              <w:t>”</w:t>
            </w:r>
            <w:r>
              <w:rPr>
                <w:rFonts w:ascii="Times New Roman" w:hAnsi="Times New Roman"/>
                <w:color w:val="auto"/>
                <w:sz w:val="24"/>
                <w:highlight w:val="none"/>
              </w:rPr>
              <w:t>进行防渗，等效厚度≥6.0m，确保渗透系数不大于10</w:t>
            </w:r>
            <w:r>
              <w:rPr>
                <w:rFonts w:ascii="Times New Roman" w:hAnsi="Times New Roman"/>
                <w:color w:val="auto"/>
                <w:sz w:val="24"/>
                <w:highlight w:val="none"/>
                <w:vertAlign w:val="superscript"/>
              </w:rPr>
              <w:t>-</w:t>
            </w:r>
            <w:r>
              <w:rPr>
                <w:rFonts w:hint="eastAsia" w:ascii="Times New Roman" w:hAnsi="Times New Roman"/>
                <w:color w:val="auto"/>
                <w:sz w:val="24"/>
                <w:highlight w:val="none"/>
                <w:vertAlign w:val="superscript"/>
              </w:rPr>
              <w:t>7</w:t>
            </w:r>
            <w:r>
              <w:rPr>
                <w:rFonts w:ascii="Times New Roman" w:hAnsi="Times New Roman"/>
                <w:color w:val="auto"/>
                <w:sz w:val="24"/>
                <w:highlight w:val="none"/>
              </w:rPr>
              <w:t>cm/s</w:t>
            </w:r>
            <w:r>
              <w:rPr>
                <w:rFonts w:hint="eastAsia" w:ascii="Times New Roman" w:hAnsi="Times New Roman"/>
                <w:color w:val="auto"/>
                <w:sz w:val="24"/>
                <w:highlight w:val="none"/>
              </w:rPr>
              <w:t>。</w:t>
            </w:r>
          </w:p>
          <w:p w14:paraId="60973905">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一般防渗区：</w:t>
            </w:r>
            <w:r>
              <w:rPr>
                <w:rFonts w:hint="eastAsia" w:ascii="Times New Roman" w:hAnsi="Times New Roman"/>
                <w:color w:val="auto"/>
                <w:sz w:val="24"/>
                <w:highlight w:val="none"/>
              </w:rPr>
              <w:t>钻机房井口区域、泥浆池、沉淀池、干化池</w:t>
            </w:r>
            <w:r>
              <w:rPr>
                <w:rFonts w:ascii="Times New Roman" w:hAnsi="Times New Roman"/>
                <w:color w:val="auto"/>
                <w:sz w:val="24"/>
                <w:highlight w:val="none"/>
              </w:rPr>
              <w:t>、</w:t>
            </w:r>
            <w:r>
              <w:rPr>
                <w:rFonts w:hint="eastAsia" w:ascii="Times New Roman" w:hAnsi="Times New Roman"/>
                <w:color w:val="auto"/>
                <w:sz w:val="24"/>
                <w:highlight w:val="none"/>
                <w:lang w:val="en-US" w:eastAsia="zh-CN"/>
              </w:rPr>
              <w:t>设备及库</w:t>
            </w:r>
            <w:r>
              <w:rPr>
                <w:rFonts w:hint="eastAsia" w:ascii="Times New Roman" w:hAnsi="Times New Roman"/>
                <w:color w:val="auto"/>
                <w:sz w:val="24"/>
                <w:highlight w:val="none"/>
              </w:rPr>
              <w:t>房</w:t>
            </w:r>
            <w:r>
              <w:rPr>
                <w:rFonts w:ascii="Times New Roman" w:hAnsi="Times New Roman"/>
                <w:color w:val="auto"/>
                <w:sz w:val="24"/>
                <w:highlight w:val="none"/>
              </w:rPr>
              <w:t>。防渗要求</w:t>
            </w:r>
            <w:r>
              <w:rPr>
                <w:rFonts w:hint="eastAsia" w:ascii="Times New Roman" w:hAnsi="Times New Roman"/>
                <w:color w:val="auto"/>
                <w:sz w:val="24"/>
                <w:highlight w:val="none"/>
              </w:rPr>
              <w:t>：</w:t>
            </w:r>
            <w:r>
              <w:rPr>
                <w:rFonts w:ascii="Times New Roman" w:hAnsi="Times New Roman"/>
                <w:color w:val="auto"/>
                <w:sz w:val="24"/>
                <w:highlight w:val="none"/>
              </w:rPr>
              <w:t>采取防渗混凝土进行防渗，等效厚度≥1.5m</w:t>
            </w:r>
            <w:r>
              <w:rPr>
                <w:rFonts w:hint="eastAsia" w:ascii="Times New Roman" w:hAnsi="Times New Roman"/>
                <w:color w:val="auto"/>
                <w:sz w:val="24"/>
                <w:highlight w:val="none"/>
              </w:rPr>
              <w:t>。</w:t>
            </w:r>
          </w:p>
          <w:p w14:paraId="1BC33E96">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简单防渗区：除重点防渗区和一般防渗区以外的其他区域。防渗要求</w:t>
            </w:r>
            <w:r>
              <w:rPr>
                <w:rFonts w:hint="eastAsia" w:ascii="Times New Roman" w:hAnsi="Times New Roman"/>
                <w:color w:val="auto"/>
                <w:sz w:val="24"/>
                <w:highlight w:val="none"/>
              </w:rPr>
              <w:t>：</w:t>
            </w:r>
            <w:r>
              <w:rPr>
                <w:rFonts w:ascii="Times New Roman" w:hAnsi="Times New Roman"/>
                <w:color w:val="auto"/>
                <w:sz w:val="24"/>
                <w:highlight w:val="none"/>
              </w:rPr>
              <w:t>采用一般地面硬化。</w:t>
            </w:r>
          </w:p>
          <w:p w14:paraId="4EDD5A0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b/>
                <w:color w:val="auto"/>
                <w:sz w:val="21"/>
                <w:szCs w:val="21"/>
                <w:highlight w:val="none"/>
                <w:lang w:val="en-US"/>
              </w:rPr>
            </w:pPr>
            <w:r>
              <w:rPr>
                <w:rFonts w:ascii="Times New Roman" w:hAnsi="Times New Roman"/>
                <w:b/>
                <w:color w:val="auto"/>
                <w:sz w:val="21"/>
                <w:szCs w:val="21"/>
                <w:highlight w:val="none"/>
                <w:lang w:val="en-US"/>
              </w:rPr>
              <w:t>表4-</w:t>
            </w:r>
            <w:r>
              <w:rPr>
                <w:rFonts w:hint="eastAsia" w:ascii="Times New Roman" w:hAnsi="Times New Roman"/>
                <w:b/>
                <w:color w:val="auto"/>
                <w:sz w:val="21"/>
                <w:szCs w:val="21"/>
                <w:highlight w:val="none"/>
                <w:lang w:val="en-US" w:eastAsia="zh-CN"/>
              </w:rPr>
              <w:t xml:space="preserve">6 </w:t>
            </w:r>
            <w:r>
              <w:rPr>
                <w:rFonts w:ascii="Times New Roman" w:hAnsi="Times New Roman"/>
                <w:b/>
                <w:color w:val="auto"/>
                <w:sz w:val="21"/>
                <w:szCs w:val="21"/>
                <w:highlight w:val="none"/>
                <w:lang w:val="en-US"/>
              </w:rPr>
              <w:t xml:space="preserve"> 本项目分区防渗一览表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0"/>
              <w:gridCol w:w="876"/>
              <w:gridCol w:w="4443"/>
            </w:tblGrid>
            <w:tr w14:paraId="78F6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pct"/>
                  <w:tcBorders>
                    <w:tl2br w:val="nil"/>
                    <w:tr2bl w:val="nil"/>
                  </w:tcBorders>
                  <w:noWrap/>
                  <w:vAlign w:val="center"/>
                </w:tcPr>
                <w:p w14:paraId="3108BB96">
                  <w:pPr>
                    <w:autoSpaceDE w:val="0"/>
                    <w:autoSpaceDN w:val="0"/>
                    <w:jc w:val="center"/>
                    <w:rPr>
                      <w:rFonts w:ascii="Times New Roman" w:hAnsi="Times New Roman"/>
                      <w:b/>
                      <w:color w:val="auto"/>
                      <w:szCs w:val="21"/>
                      <w:highlight w:val="none"/>
                    </w:rPr>
                  </w:pPr>
                  <w:r>
                    <w:rPr>
                      <w:rFonts w:ascii="Times New Roman" w:hAnsi="宋体"/>
                      <w:b/>
                      <w:color w:val="auto"/>
                      <w:szCs w:val="21"/>
                      <w:highlight w:val="none"/>
                    </w:rPr>
                    <w:t>区域</w:t>
                  </w:r>
                </w:p>
              </w:tc>
              <w:tc>
                <w:tcPr>
                  <w:tcW w:w="544" w:type="pct"/>
                  <w:tcBorders>
                    <w:tl2br w:val="nil"/>
                    <w:tr2bl w:val="nil"/>
                  </w:tcBorders>
                  <w:noWrap/>
                  <w:vAlign w:val="center"/>
                </w:tcPr>
                <w:p w14:paraId="6D966575">
                  <w:pPr>
                    <w:autoSpaceDE w:val="0"/>
                    <w:autoSpaceDN w:val="0"/>
                    <w:jc w:val="center"/>
                    <w:rPr>
                      <w:rFonts w:ascii="Times New Roman" w:hAnsi="Times New Roman"/>
                      <w:b/>
                      <w:color w:val="auto"/>
                      <w:szCs w:val="21"/>
                      <w:highlight w:val="none"/>
                    </w:rPr>
                  </w:pPr>
                  <w:r>
                    <w:rPr>
                      <w:rFonts w:ascii="Times New Roman" w:hAnsi="宋体"/>
                      <w:b/>
                      <w:color w:val="auto"/>
                      <w:szCs w:val="21"/>
                      <w:highlight w:val="none"/>
                    </w:rPr>
                    <w:t>防渗等级</w:t>
                  </w:r>
                </w:p>
              </w:tc>
              <w:tc>
                <w:tcPr>
                  <w:tcW w:w="2759" w:type="pct"/>
                  <w:tcBorders>
                    <w:tl2br w:val="nil"/>
                    <w:tr2bl w:val="nil"/>
                  </w:tcBorders>
                  <w:noWrap/>
                  <w:vAlign w:val="center"/>
                </w:tcPr>
                <w:p w14:paraId="308F0DB5">
                  <w:pPr>
                    <w:autoSpaceDE w:val="0"/>
                    <w:autoSpaceDN w:val="0"/>
                    <w:jc w:val="center"/>
                    <w:rPr>
                      <w:rFonts w:ascii="Times New Roman" w:hAnsi="Times New Roman"/>
                      <w:b/>
                      <w:color w:val="auto"/>
                      <w:szCs w:val="21"/>
                      <w:highlight w:val="none"/>
                    </w:rPr>
                  </w:pPr>
                  <w:r>
                    <w:rPr>
                      <w:rFonts w:ascii="Times New Roman" w:hAnsi="宋体"/>
                      <w:b/>
                      <w:color w:val="auto"/>
                      <w:szCs w:val="21"/>
                      <w:highlight w:val="none"/>
                    </w:rPr>
                    <w:t>防渗技术要求</w:t>
                  </w:r>
                </w:p>
              </w:tc>
            </w:tr>
            <w:tr w14:paraId="1C09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pct"/>
                  <w:tcBorders>
                    <w:tl2br w:val="nil"/>
                    <w:tr2bl w:val="nil"/>
                  </w:tcBorders>
                  <w:noWrap/>
                  <w:vAlign w:val="center"/>
                </w:tcPr>
                <w:p w14:paraId="4FFAF8EE">
                  <w:pPr>
                    <w:autoSpaceDE w:val="0"/>
                    <w:autoSpaceDN w:val="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危废暂存间</w:t>
                  </w:r>
                </w:p>
              </w:tc>
              <w:tc>
                <w:tcPr>
                  <w:tcW w:w="544" w:type="pct"/>
                  <w:tcBorders>
                    <w:tl2br w:val="nil"/>
                    <w:tr2bl w:val="nil"/>
                  </w:tcBorders>
                  <w:noWrap/>
                  <w:vAlign w:val="center"/>
                </w:tcPr>
                <w:p w14:paraId="18A3EF3F">
                  <w:pPr>
                    <w:autoSpaceDE w:val="0"/>
                    <w:autoSpaceDN w:val="0"/>
                    <w:jc w:val="center"/>
                    <w:rPr>
                      <w:rFonts w:ascii="Times New Roman" w:hAnsi="Times New Roman"/>
                      <w:color w:val="auto"/>
                      <w:szCs w:val="21"/>
                      <w:highlight w:val="none"/>
                    </w:rPr>
                  </w:pPr>
                  <w:r>
                    <w:rPr>
                      <w:rFonts w:ascii="Times New Roman" w:hAnsi="宋体"/>
                      <w:color w:val="auto"/>
                      <w:szCs w:val="21"/>
                      <w:highlight w:val="none"/>
                    </w:rPr>
                    <w:t>重点防渗区</w:t>
                  </w:r>
                </w:p>
              </w:tc>
              <w:tc>
                <w:tcPr>
                  <w:tcW w:w="2759" w:type="pct"/>
                  <w:tcBorders>
                    <w:tl2br w:val="nil"/>
                    <w:tr2bl w:val="nil"/>
                  </w:tcBorders>
                  <w:noWrap/>
                  <w:vAlign w:val="center"/>
                </w:tcPr>
                <w:p w14:paraId="24A60072">
                  <w:pPr>
                    <w:autoSpaceDE w:val="0"/>
                    <w:autoSpaceDN w:val="0"/>
                    <w:jc w:val="center"/>
                    <w:rPr>
                      <w:rFonts w:ascii="Times New Roman" w:hAnsi="Times New Roman"/>
                      <w:color w:val="auto"/>
                      <w:szCs w:val="21"/>
                      <w:highlight w:val="none"/>
                    </w:rPr>
                  </w:pPr>
                  <w:r>
                    <w:rPr>
                      <w:rFonts w:ascii="Times New Roman" w:hAnsi="Times New Roman"/>
                      <w:color w:val="auto"/>
                      <w:szCs w:val="21"/>
                      <w:highlight w:val="none"/>
                    </w:rPr>
                    <w:t>采用</w:t>
                  </w:r>
                  <w:r>
                    <w:rPr>
                      <w:rFonts w:hint="eastAsia" w:ascii="Times New Roman" w:hAnsi="Times New Roman"/>
                      <w:color w:val="auto"/>
                      <w:szCs w:val="21"/>
                      <w:highlight w:val="none"/>
                      <w:lang w:eastAsia="zh-CN"/>
                    </w:rPr>
                    <w:t>“</w:t>
                  </w:r>
                  <w:r>
                    <w:rPr>
                      <w:rFonts w:ascii="Times New Roman" w:hAnsi="Times New Roman"/>
                      <w:color w:val="auto"/>
                      <w:szCs w:val="21"/>
                      <w:highlight w:val="none"/>
                    </w:rPr>
                    <w:t>防渗混凝土+防渗布+砂浆层</w:t>
                  </w:r>
                  <w:r>
                    <w:rPr>
                      <w:rFonts w:hint="eastAsia" w:ascii="Times New Roman" w:hAnsi="Times New Roman"/>
                      <w:color w:val="auto"/>
                      <w:szCs w:val="21"/>
                      <w:highlight w:val="none"/>
                      <w:lang w:eastAsia="zh-CN"/>
                    </w:rPr>
                    <w:t>”</w:t>
                  </w:r>
                  <w:r>
                    <w:rPr>
                      <w:rFonts w:ascii="Times New Roman" w:hAnsi="Times New Roman"/>
                      <w:color w:val="auto"/>
                      <w:szCs w:val="21"/>
                      <w:highlight w:val="none"/>
                    </w:rPr>
                    <w:t>进行防渗，等效厚度≥6.0m，确保渗透系数不大于10</w:t>
                  </w:r>
                  <w:r>
                    <w:rPr>
                      <w:rFonts w:ascii="Times New Roman" w:hAnsi="Times New Roman"/>
                      <w:color w:val="auto"/>
                      <w:szCs w:val="21"/>
                      <w:highlight w:val="none"/>
                      <w:vertAlign w:val="superscript"/>
                    </w:rPr>
                    <w:t>-</w:t>
                  </w:r>
                  <w:r>
                    <w:rPr>
                      <w:rFonts w:hint="eastAsia" w:ascii="Times New Roman" w:hAnsi="Times New Roman"/>
                      <w:color w:val="auto"/>
                      <w:szCs w:val="21"/>
                      <w:highlight w:val="none"/>
                      <w:vertAlign w:val="superscript"/>
                    </w:rPr>
                    <w:t>7</w:t>
                  </w:r>
                  <w:r>
                    <w:rPr>
                      <w:rFonts w:ascii="Times New Roman" w:hAnsi="Times New Roman"/>
                      <w:color w:val="auto"/>
                      <w:szCs w:val="21"/>
                      <w:highlight w:val="none"/>
                    </w:rPr>
                    <w:t>cm/s</w:t>
                  </w:r>
                </w:p>
              </w:tc>
            </w:tr>
            <w:tr w14:paraId="363CF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pct"/>
                  <w:tcBorders>
                    <w:tl2br w:val="nil"/>
                    <w:tr2bl w:val="nil"/>
                  </w:tcBorders>
                  <w:noWrap/>
                  <w:vAlign w:val="center"/>
                </w:tcPr>
                <w:p w14:paraId="1E39038A">
                  <w:pPr>
                    <w:autoSpaceDE w:val="0"/>
                    <w:autoSpaceDN w:val="0"/>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rPr>
                    <w:t>钻机房井口区域、泥浆池、沉淀池、干化池、</w:t>
                  </w:r>
                  <w:r>
                    <w:rPr>
                      <w:rFonts w:hint="eastAsia" w:ascii="Times New Roman" w:hAnsi="Times New Roman"/>
                      <w:color w:val="auto"/>
                      <w:szCs w:val="21"/>
                      <w:highlight w:val="none"/>
                      <w:lang w:eastAsia="zh-CN"/>
                    </w:rPr>
                    <w:t>设备及库房</w:t>
                  </w:r>
                </w:p>
              </w:tc>
              <w:tc>
                <w:tcPr>
                  <w:tcW w:w="544" w:type="pct"/>
                  <w:tcBorders>
                    <w:tl2br w:val="nil"/>
                    <w:tr2bl w:val="nil"/>
                  </w:tcBorders>
                  <w:noWrap/>
                  <w:vAlign w:val="center"/>
                </w:tcPr>
                <w:p w14:paraId="2C69F52B">
                  <w:pPr>
                    <w:autoSpaceDE w:val="0"/>
                    <w:autoSpaceDN w:val="0"/>
                    <w:jc w:val="center"/>
                    <w:rPr>
                      <w:rFonts w:ascii="Times New Roman" w:hAnsi="Times New Roman"/>
                      <w:color w:val="auto"/>
                      <w:szCs w:val="21"/>
                      <w:highlight w:val="none"/>
                    </w:rPr>
                  </w:pPr>
                  <w:r>
                    <w:rPr>
                      <w:rFonts w:ascii="Times New Roman" w:hAnsi="宋体"/>
                      <w:color w:val="auto"/>
                      <w:szCs w:val="21"/>
                      <w:highlight w:val="none"/>
                    </w:rPr>
                    <w:t>一般防渗区</w:t>
                  </w:r>
                </w:p>
              </w:tc>
              <w:tc>
                <w:tcPr>
                  <w:tcW w:w="2759" w:type="pct"/>
                  <w:tcBorders>
                    <w:tl2br w:val="nil"/>
                    <w:tr2bl w:val="nil"/>
                  </w:tcBorders>
                  <w:noWrap/>
                  <w:vAlign w:val="center"/>
                </w:tcPr>
                <w:p w14:paraId="1CD01A13">
                  <w:pPr>
                    <w:autoSpaceDE w:val="0"/>
                    <w:autoSpaceDN w:val="0"/>
                    <w:jc w:val="center"/>
                    <w:rPr>
                      <w:rFonts w:ascii="Times New Roman" w:hAnsi="Times New Roman"/>
                      <w:color w:val="auto"/>
                      <w:szCs w:val="21"/>
                      <w:highlight w:val="none"/>
                    </w:rPr>
                  </w:pPr>
                  <w:r>
                    <w:rPr>
                      <w:rFonts w:ascii="Times New Roman" w:hAnsi="Times New Roman"/>
                      <w:color w:val="auto"/>
                      <w:szCs w:val="21"/>
                      <w:highlight w:val="none"/>
                    </w:rPr>
                    <w:t>采取防渗混凝土进行防渗，等效厚度≥1.5m</w:t>
                  </w:r>
                </w:p>
              </w:tc>
            </w:tr>
            <w:tr w14:paraId="2B89E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pct"/>
                  <w:tcBorders>
                    <w:tl2br w:val="nil"/>
                    <w:tr2bl w:val="nil"/>
                  </w:tcBorders>
                  <w:noWrap/>
                  <w:vAlign w:val="center"/>
                </w:tcPr>
                <w:p w14:paraId="2A5E04F6">
                  <w:pPr>
                    <w:autoSpaceDE w:val="0"/>
                    <w:autoSpaceDN w:val="0"/>
                    <w:jc w:val="center"/>
                    <w:rPr>
                      <w:rFonts w:ascii="Times New Roman" w:hAnsi="Times New Roman"/>
                      <w:color w:val="auto"/>
                      <w:szCs w:val="21"/>
                      <w:highlight w:val="none"/>
                    </w:rPr>
                  </w:pPr>
                  <w:r>
                    <w:rPr>
                      <w:rFonts w:ascii="Times New Roman" w:hAnsi="Times New Roman"/>
                      <w:color w:val="auto"/>
                      <w:szCs w:val="21"/>
                      <w:highlight w:val="none"/>
                    </w:rPr>
                    <w:t>除重点防渗区和一般防渗区以外的其他区域</w:t>
                  </w:r>
                </w:p>
              </w:tc>
              <w:tc>
                <w:tcPr>
                  <w:tcW w:w="544" w:type="pct"/>
                  <w:tcBorders>
                    <w:tl2br w:val="nil"/>
                    <w:tr2bl w:val="nil"/>
                  </w:tcBorders>
                  <w:noWrap/>
                  <w:vAlign w:val="center"/>
                </w:tcPr>
                <w:p w14:paraId="3184788E">
                  <w:pPr>
                    <w:autoSpaceDE w:val="0"/>
                    <w:autoSpaceDN w:val="0"/>
                    <w:jc w:val="center"/>
                    <w:rPr>
                      <w:rFonts w:ascii="Times New Roman" w:hAnsi="Times New Roman"/>
                      <w:color w:val="auto"/>
                      <w:szCs w:val="21"/>
                      <w:highlight w:val="none"/>
                    </w:rPr>
                  </w:pPr>
                  <w:r>
                    <w:rPr>
                      <w:rFonts w:ascii="Times New Roman" w:hAnsi="宋体"/>
                      <w:color w:val="auto"/>
                      <w:szCs w:val="21"/>
                      <w:highlight w:val="none"/>
                    </w:rPr>
                    <w:t>简单防渗区</w:t>
                  </w:r>
                </w:p>
              </w:tc>
              <w:tc>
                <w:tcPr>
                  <w:tcW w:w="2759" w:type="pct"/>
                  <w:tcBorders>
                    <w:tl2br w:val="nil"/>
                    <w:tr2bl w:val="nil"/>
                  </w:tcBorders>
                  <w:noWrap/>
                  <w:vAlign w:val="center"/>
                </w:tcPr>
                <w:p w14:paraId="337350D4">
                  <w:pPr>
                    <w:autoSpaceDE w:val="0"/>
                    <w:autoSpaceDN w:val="0"/>
                    <w:jc w:val="center"/>
                    <w:rPr>
                      <w:rFonts w:ascii="Times New Roman" w:hAnsi="Times New Roman"/>
                      <w:color w:val="auto"/>
                      <w:szCs w:val="21"/>
                      <w:highlight w:val="none"/>
                    </w:rPr>
                  </w:pPr>
                  <w:r>
                    <w:rPr>
                      <w:rFonts w:ascii="Times New Roman" w:hAnsi="宋体"/>
                      <w:color w:val="auto"/>
                      <w:szCs w:val="21"/>
                      <w:highlight w:val="none"/>
                    </w:rPr>
                    <w:t>一般地面硬化</w:t>
                  </w:r>
                </w:p>
              </w:tc>
            </w:tr>
          </w:tbl>
          <w:p w14:paraId="5CB41600">
            <w:pPr>
              <w:pStyle w:val="7"/>
              <w:adjustRightInd w:val="0"/>
              <w:snapToGrid w:val="0"/>
              <w:spacing w:line="360" w:lineRule="auto"/>
              <w:ind w:firstLine="482" w:firstLineChars="200"/>
              <w:jc w:val="both"/>
              <w:rPr>
                <w:rFonts w:hint="default" w:ascii="Times New Roman" w:hAnsi="Times New Roman" w:eastAsia="宋体"/>
                <w:b/>
                <w:bCs/>
                <w:color w:val="auto"/>
                <w:sz w:val="24"/>
                <w:szCs w:val="24"/>
                <w:highlight w:val="none"/>
                <w:lang w:val="en-US" w:eastAsia="zh-CN"/>
              </w:rPr>
            </w:pPr>
            <w:r>
              <w:rPr>
                <w:rFonts w:ascii="Times New Roman" w:hAnsi="Times New Roman"/>
                <w:b/>
                <w:bCs/>
                <w:color w:val="auto"/>
                <w:sz w:val="24"/>
                <w:szCs w:val="24"/>
                <w:highlight w:val="none"/>
              </w:rPr>
              <w:t>7、</w:t>
            </w:r>
            <w:r>
              <w:rPr>
                <w:rFonts w:hint="eastAsia"/>
                <w:b/>
                <w:bCs/>
                <w:color w:val="auto"/>
                <w:sz w:val="24"/>
                <w:szCs w:val="24"/>
                <w:highlight w:val="none"/>
                <w:lang w:val="en-US" w:eastAsia="zh-CN"/>
              </w:rPr>
              <w:t>表土堆放场</w:t>
            </w:r>
            <w:r>
              <w:rPr>
                <w:rFonts w:hint="eastAsia" w:ascii="Times New Roman" w:hAnsi="Times New Roman"/>
                <w:b/>
                <w:bCs/>
                <w:color w:val="auto"/>
                <w:sz w:val="24"/>
                <w:szCs w:val="24"/>
                <w:highlight w:val="none"/>
              </w:rPr>
              <w:t>防治区</w:t>
            </w:r>
            <w:r>
              <w:rPr>
                <w:rFonts w:hint="eastAsia"/>
                <w:color w:val="auto"/>
                <w:sz w:val="24"/>
                <w:szCs w:val="24"/>
                <w:lang w:val="en-US" w:eastAsia="zh-CN"/>
              </w:rPr>
              <w:t>影响分析</w:t>
            </w:r>
          </w:p>
          <w:p w14:paraId="206E7909">
            <w:pPr>
              <w:spacing w:line="360" w:lineRule="auto"/>
              <w:ind w:firstLine="480"/>
              <w:rPr>
                <w:rFonts w:ascii="Times New Roman" w:hAnsi="Times New Roman"/>
                <w:color w:val="auto"/>
                <w:highlight w:val="none"/>
              </w:rPr>
            </w:pPr>
            <w:r>
              <w:rPr>
                <w:rFonts w:ascii="Times New Roman" w:hAnsi="宋体"/>
                <w:bCs/>
                <w:color w:val="auto"/>
                <w:sz w:val="24"/>
                <w:highlight w:val="none"/>
              </w:rPr>
              <w:t>根据本项目在实施前办理项目临时用地批复时已编制了《临时用地复垦方案》，项目区域</w:t>
            </w:r>
            <w:r>
              <w:rPr>
                <w:rStyle w:val="41"/>
                <w:rFonts w:hint="default" w:ascii="Times New Roman" w:hAnsi="宋体"/>
                <w:color w:val="auto"/>
                <w:highlight w:val="none"/>
              </w:rPr>
              <w:t>表土剥离时应选择土质较好，适合农作物生长的土地</w:t>
            </w:r>
            <w:r>
              <w:rPr>
                <w:rStyle w:val="41"/>
                <w:rFonts w:hint="default" w:ascii="Times New Roman" w:hAnsi="宋体"/>
                <w:color w:val="auto"/>
              </w:rPr>
              <w:t>，此次对项目区内的耕地表土进行20-</w:t>
            </w:r>
            <w:r>
              <w:rPr>
                <w:rStyle w:val="41"/>
                <w:rFonts w:hint="default" w:ascii="Times New Roman" w:hAnsi="Times New Roman"/>
                <w:color w:val="auto"/>
              </w:rPr>
              <w:t>30cm</w:t>
            </w:r>
            <w:r>
              <w:rPr>
                <w:rStyle w:val="41"/>
                <w:rFonts w:hint="default" w:ascii="Times New Roman" w:hAnsi="宋体"/>
                <w:color w:val="auto"/>
              </w:rPr>
              <w:t>厚剥离（本次评价按25cm计）。</w:t>
            </w:r>
            <w:r>
              <w:rPr>
                <w:rFonts w:hint="eastAsia" w:ascii="Times New Roman" w:hAnsi="宋体"/>
                <w:color w:val="auto"/>
                <w:sz w:val="24"/>
              </w:rPr>
              <w:t>项目区共</w:t>
            </w:r>
            <w:r>
              <w:rPr>
                <w:rFonts w:hint="eastAsia" w:ascii="Times New Roman" w:hAnsi="宋体"/>
                <w:color w:val="auto"/>
                <w:sz w:val="24"/>
                <w:lang w:val="en-US" w:eastAsia="zh-CN"/>
              </w:rPr>
              <w:t>3</w:t>
            </w:r>
            <w:r>
              <w:rPr>
                <w:rFonts w:hint="eastAsia" w:ascii="Times New Roman" w:hAnsi="宋体"/>
                <w:color w:val="auto"/>
                <w:sz w:val="24"/>
              </w:rPr>
              <w:t>个地块，</w:t>
            </w:r>
            <w:r>
              <w:rPr>
                <w:rFonts w:hint="eastAsia" w:ascii="Times New Roman" w:hAnsi="宋体"/>
                <w:color w:val="auto"/>
                <w:sz w:val="24"/>
                <w:lang w:val="en-US" w:eastAsia="zh-CN"/>
              </w:rPr>
              <w:t>井场</w:t>
            </w:r>
            <w:r>
              <w:rPr>
                <w:rFonts w:hint="eastAsia" w:ascii="Times New Roman" w:hAnsi="宋体"/>
                <w:color w:val="auto"/>
                <w:sz w:val="24"/>
              </w:rPr>
              <w:t>总面积</w:t>
            </w:r>
            <w:r>
              <w:rPr>
                <w:rFonts w:hint="eastAsia" w:ascii="Times New Roman" w:hAnsi="宋体"/>
                <w:color w:val="auto"/>
                <w:sz w:val="24"/>
                <w:lang w:val="en-US" w:eastAsia="zh-CN"/>
              </w:rPr>
              <w:t>1568</w:t>
            </w:r>
            <w:r>
              <w:rPr>
                <w:rFonts w:ascii="Times New Roman" w:hAnsi="Times New Roman"/>
                <w:bCs/>
                <w:color w:val="auto"/>
                <w:sz w:val="24"/>
              </w:rPr>
              <w:t>m</w:t>
            </w:r>
            <w:r>
              <w:rPr>
                <w:rFonts w:ascii="Times New Roman" w:hAnsi="Times New Roman"/>
                <w:bCs/>
                <w:color w:val="auto"/>
                <w:sz w:val="24"/>
                <w:vertAlign w:val="superscript"/>
              </w:rPr>
              <w:t>2</w:t>
            </w:r>
            <w:r>
              <w:rPr>
                <w:rFonts w:hint="eastAsia" w:ascii="Times New Roman" w:hAnsi="宋体"/>
                <w:color w:val="auto"/>
                <w:sz w:val="24"/>
              </w:rPr>
              <w:t>，耕地总面积</w:t>
            </w:r>
            <w:r>
              <w:rPr>
                <w:rFonts w:hint="eastAsia" w:ascii="Times New Roman" w:hAnsi="宋体"/>
                <w:color w:val="auto"/>
                <w:sz w:val="24"/>
                <w:lang w:val="en-US" w:eastAsia="zh-CN"/>
              </w:rPr>
              <w:t>1596</w:t>
            </w:r>
            <w:r>
              <w:rPr>
                <w:rFonts w:ascii="Times New Roman" w:hAnsi="Times New Roman"/>
                <w:bCs/>
                <w:color w:val="auto"/>
                <w:sz w:val="24"/>
              </w:rPr>
              <w:t>m</w:t>
            </w:r>
            <w:r>
              <w:rPr>
                <w:rFonts w:ascii="Times New Roman" w:hAnsi="Times New Roman"/>
                <w:bCs/>
                <w:color w:val="auto"/>
                <w:sz w:val="24"/>
                <w:vertAlign w:val="superscript"/>
              </w:rPr>
              <w:t>2</w:t>
            </w:r>
            <w:r>
              <w:rPr>
                <w:rFonts w:hint="eastAsia" w:ascii="Times New Roman" w:hAnsi="宋体"/>
                <w:color w:val="auto"/>
                <w:sz w:val="24"/>
              </w:rPr>
              <w:t>，表</w:t>
            </w:r>
            <w:r>
              <w:rPr>
                <w:rFonts w:hint="eastAsia" w:ascii="Times New Roman" w:hAnsi="宋体"/>
                <w:color w:val="auto"/>
                <w:sz w:val="24"/>
                <w:highlight w:val="none"/>
              </w:rPr>
              <w:t>土剥离堆放场总底面积</w:t>
            </w:r>
            <w:r>
              <w:rPr>
                <w:rFonts w:hint="eastAsia" w:ascii="Times New Roman" w:hAnsi="宋体"/>
                <w:color w:val="auto"/>
                <w:sz w:val="24"/>
                <w:highlight w:val="none"/>
                <w:lang w:val="en-US" w:eastAsia="zh-CN"/>
              </w:rPr>
              <w:t>200m</w:t>
            </w:r>
            <w:r>
              <w:rPr>
                <w:rFonts w:hint="eastAsia" w:ascii="Times New Roman" w:hAnsi="宋体"/>
                <w:color w:val="auto"/>
                <w:sz w:val="24"/>
                <w:highlight w:val="none"/>
                <w:vertAlign w:val="superscript"/>
                <w:lang w:val="en-US" w:eastAsia="zh-CN"/>
              </w:rPr>
              <w:t>2</w:t>
            </w:r>
            <w:r>
              <w:rPr>
                <w:rFonts w:hint="eastAsia" w:ascii="Times New Roman" w:hAnsi="宋体"/>
                <w:color w:val="auto"/>
                <w:sz w:val="24"/>
                <w:highlight w:val="none"/>
                <w:lang w:eastAsia="zh-CN"/>
              </w:rPr>
              <w:t>，</w:t>
            </w:r>
            <w:r>
              <w:rPr>
                <w:rFonts w:hint="eastAsia" w:ascii="Times New Roman" w:hAnsi="宋体"/>
                <w:color w:val="auto"/>
                <w:sz w:val="24"/>
                <w:highlight w:val="none"/>
              </w:rPr>
              <w:t>表土剥离</w:t>
            </w:r>
            <w:r>
              <w:rPr>
                <w:rFonts w:hint="eastAsia" w:ascii="Times New Roman" w:hAnsi="宋体"/>
                <w:color w:val="auto"/>
                <w:sz w:val="24"/>
                <w:highlight w:val="none"/>
                <w:lang w:val="en-US" w:eastAsia="zh-CN"/>
              </w:rPr>
              <w:t>量（1568-200）</w:t>
            </w:r>
            <w:r>
              <w:rPr>
                <w:rFonts w:ascii="Times New Roman" w:hAnsi="Times New Roman"/>
                <w:bCs/>
                <w:color w:val="auto"/>
                <w:sz w:val="24"/>
                <w:highlight w:val="none"/>
              </w:rPr>
              <w:t>m</w:t>
            </w:r>
            <w:r>
              <w:rPr>
                <w:rFonts w:ascii="Times New Roman" w:hAnsi="Times New Roman"/>
                <w:bCs/>
                <w:color w:val="auto"/>
                <w:sz w:val="24"/>
                <w:highlight w:val="none"/>
                <w:vertAlign w:val="superscript"/>
              </w:rPr>
              <w:t>2</w:t>
            </w:r>
            <w:r>
              <w:rPr>
                <w:rFonts w:hint="eastAsia" w:ascii="Times New Roman" w:hAnsi="宋体"/>
                <w:color w:val="auto"/>
                <w:sz w:val="24"/>
                <w:highlight w:val="none"/>
              </w:rPr>
              <w:t>*0.</w:t>
            </w:r>
            <w:r>
              <w:rPr>
                <w:rFonts w:hint="eastAsia" w:ascii="Times New Roman" w:hAnsi="宋体"/>
                <w:color w:val="auto"/>
                <w:sz w:val="24"/>
                <w:highlight w:val="none"/>
                <w:lang w:val="en-US" w:eastAsia="zh-CN"/>
              </w:rPr>
              <w:t>25</w:t>
            </w:r>
            <w:r>
              <w:rPr>
                <w:rFonts w:hint="eastAsia" w:ascii="Times New Roman" w:hAnsi="宋体"/>
                <w:color w:val="auto"/>
                <w:sz w:val="24"/>
                <w:highlight w:val="none"/>
              </w:rPr>
              <w:t>m=</w:t>
            </w:r>
            <w:r>
              <w:rPr>
                <w:rFonts w:hint="eastAsia" w:ascii="Times New Roman" w:hAnsi="宋体"/>
                <w:color w:val="auto"/>
                <w:sz w:val="24"/>
                <w:highlight w:val="none"/>
                <w:lang w:val="en-US" w:eastAsia="zh-CN"/>
              </w:rPr>
              <w:t>342</w:t>
            </w:r>
            <w:r>
              <w:rPr>
                <w:rFonts w:hint="eastAsia" w:ascii="Times New Roman" w:hAnsi="宋体"/>
                <w:color w:val="auto"/>
                <w:sz w:val="24"/>
                <w:highlight w:val="none"/>
              </w:rPr>
              <w:t>m</w:t>
            </w:r>
            <w:r>
              <w:rPr>
                <w:rFonts w:ascii="Times New Roman" w:hAnsi="Times New Roman"/>
                <w:color w:val="auto"/>
                <w:sz w:val="24"/>
                <w:highlight w:val="none"/>
                <w:vertAlign w:val="superscript"/>
              </w:rPr>
              <w:t>3</w:t>
            </w:r>
            <w:r>
              <w:rPr>
                <w:rFonts w:ascii="Times New Roman" w:hAnsi="宋体"/>
                <w:color w:val="auto"/>
                <w:sz w:val="24"/>
                <w:highlight w:val="none"/>
              </w:rPr>
              <w:t>。</w:t>
            </w:r>
            <w:r>
              <w:rPr>
                <w:rStyle w:val="41"/>
                <w:rFonts w:hint="default" w:ascii="Times New Roman" w:hAnsi="宋体"/>
                <w:color w:val="auto"/>
                <w:highlight w:val="none"/>
              </w:rPr>
              <w:t>在复垦后期，为了恢复项目区土壤肥力，需回填具有肥力的表土。本项目将前期剥离的表土进行回填至原区域内，回填对象为项目区内耕地部分，回填面积为</w:t>
            </w:r>
            <w:r>
              <w:rPr>
                <w:rFonts w:hint="eastAsia" w:ascii="Times New Roman" w:hAnsi="Times New Roman"/>
                <w:color w:val="auto"/>
                <w:sz w:val="24"/>
                <w:highlight w:val="none"/>
                <w:lang w:val="en-US" w:eastAsia="zh-CN"/>
              </w:rPr>
              <w:t>1368</w:t>
            </w:r>
            <w:r>
              <w:rPr>
                <w:rFonts w:ascii="Times New Roman" w:hAnsi="Times New Roman"/>
                <w:bCs/>
                <w:color w:val="auto"/>
                <w:sz w:val="24"/>
                <w:highlight w:val="none"/>
              </w:rPr>
              <w:t>m</w:t>
            </w:r>
            <w:r>
              <w:rPr>
                <w:rFonts w:ascii="Times New Roman" w:hAnsi="Times New Roman"/>
                <w:bCs/>
                <w:color w:val="auto"/>
                <w:sz w:val="24"/>
                <w:highlight w:val="none"/>
                <w:vertAlign w:val="superscript"/>
              </w:rPr>
              <w:t>2</w:t>
            </w:r>
            <w:r>
              <w:rPr>
                <w:rStyle w:val="41"/>
                <w:rFonts w:hint="default" w:ascii="Times New Roman" w:hAnsi="宋体"/>
                <w:color w:val="auto"/>
                <w:highlight w:val="none"/>
              </w:rPr>
              <w:t>，回填厚度为</w:t>
            </w:r>
            <w:r>
              <w:rPr>
                <w:rStyle w:val="41"/>
                <w:rFonts w:hint="default" w:ascii="Times New Roman" w:hAnsi="Times New Roman"/>
                <w:color w:val="auto"/>
                <w:highlight w:val="none"/>
              </w:rPr>
              <w:t>0.</w:t>
            </w:r>
            <w:r>
              <w:rPr>
                <w:rStyle w:val="41"/>
                <w:rFonts w:hint="eastAsia" w:ascii="Times New Roman" w:hAnsi="Times New Roman"/>
                <w:color w:val="auto"/>
                <w:highlight w:val="none"/>
                <w:lang w:val="en-US" w:eastAsia="zh-CN"/>
              </w:rPr>
              <w:t>25</w:t>
            </w:r>
            <w:r>
              <w:rPr>
                <w:rStyle w:val="41"/>
                <w:rFonts w:hint="default" w:ascii="Times New Roman" w:hAnsi="Times New Roman"/>
                <w:color w:val="auto"/>
                <w:highlight w:val="none"/>
              </w:rPr>
              <w:t>m</w:t>
            </w:r>
            <w:r>
              <w:rPr>
                <w:rStyle w:val="41"/>
                <w:rFonts w:hint="default" w:ascii="Times New Roman" w:hAnsi="宋体"/>
                <w:color w:val="auto"/>
                <w:highlight w:val="none"/>
              </w:rPr>
              <w:t>，回填土方为</w:t>
            </w:r>
            <w:r>
              <w:rPr>
                <w:rStyle w:val="41"/>
                <w:rFonts w:hint="eastAsia" w:ascii="Times New Roman" w:hAnsi="宋体"/>
                <w:color w:val="auto"/>
                <w:highlight w:val="none"/>
                <w:lang w:val="en-US" w:eastAsia="zh-CN"/>
              </w:rPr>
              <w:t>342</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Style w:val="41"/>
                <w:rFonts w:hint="default" w:ascii="Times New Roman" w:hAnsi="宋体"/>
                <w:color w:val="auto"/>
                <w:highlight w:val="none"/>
              </w:rPr>
              <w:t>。</w:t>
            </w:r>
          </w:p>
          <w:p w14:paraId="796058E5">
            <w:pPr>
              <w:pStyle w:val="28"/>
              <w:jc w:val="center"/>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4210685" cy="591185"/>
                  <wp:effectExtent l="0" t="0" r="18415" b="18415"/>
                  <wp:docPr id="6" name="F360BE8B-6686-4F3D-AEAF-501FE73E4058-3" descr="C:/Users/Administrator/AppData/Local/Temp/绘图1(9).png绘图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360BE8B-6686-4F3D-AEAF-501FE73E4058-3" descr="C:/Users/Administrator/AppData/Local/Temp/绘图1(9).png绘图1(9)"/>
                          <pic:cNvPicPr>
                            <a:picLocks noChangeAspect="1"/>
                          </pic:cNvPicPr>
                        </pic:nvPicPr>
                        <pic:blipFill>
                          <a:blip r:embed="rId18"/>
                          <a:stretch>
                            <a:fillRect/>
                          </a:stretch>
                        </pic:blipFill>
                        <pic:spPr>
                          <a:xfrm>
                            <a:off x="0" y="0"/>
                            <a:ext cx="4210812" cy="591312"/>
                          </a:xfrm>
                          <a:prstGeom prst="rect">
                            <a:avLst/>
                          </a:prstGeom>
                        </pic:spPr>
                      </pic:pic>
                    </a:graphicData>
                  </a:graphic>
                </wp:inline>
              </w:drawing>
            </w:r>
          </w:p>
          <w:p w14:paraId="134EBD2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b/>
                <w:color w:val="auto"/>
                <w:sz w:val="21"/>
                <w:szCs w:val="21"/>
                <w:highlight w:val="none"/>
                <w:lang w:val="en-US"/>
              </w:rPr>
            </w:pPr>
            <w:r>
              <w:rPr>
                <w:rFonts w:ascii="Times New Roman" w:hAnsi="Times New Roman"/>
                <w:b/>
                <w:color w:val="auto"/>
                <w:sz w:val="21"/>
                <w:szCs w:val="21"/>
                <w:highlight w:val="none"/>
                <w:lang w:val="en-US"/>
              </w:rPr>
              <w:t>图4-1 项目土石方平衡图</w:t>
            </w:r>
          </w:p>
          <w:p w14:paraId="3EA0CA8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b/>
                <w:color w:val="auto"/>
                <w:sz w:val="21"/>
                <w:szCs w:val="21"/>
                <w:highlight w:val="none"/>
                <w:lang w:val="en-US"/>
              </w:rPr>
            </w:pPr>
            <w:r>
              <w:rPr>
                <w:rFonts w:ascii="Times New Roman" w:hAnsi="Times New Roman"/>
                <w:b/>
                <w:color w:val="auto"/>
                <w:sz w:val="21"/>
                <w:szCs w:val="21"/>
                <w:highlight w:val="none"/>
                <w:lang w:val="en-US"/>
              </w:rPr>
              <w:t>表4-</w:t>
            </w:r>
            <w:r>
              <w:rPr>
                <w:rFonts w:hint="eastAsia" w:ascii="Times New Roman" w:hAnsi="Times New Roman"/>
                <w:b/>
                <w:color w:val="auto"/>
                <w:sz w:val="21"/>
                <w:szCs w:val="21"/>
                <w:highlight w:val="none"/>
                <w:lang w:val="en-US" w:eastAsia="zh-CN"/>
              </w:rPr>
              <w:t>7</w:t>
            </w:r>
            <w:r>
              <w:rPr>
                <w:rFonts w:ascii="Times New Roman" w:hAnsi="Times New Roman"/>
                <w:b/>
                <w:color w:val="auto"/>
                <w:sz w:val="21"/>
                <w:szCs w:val="21"/>
                <w:highlight w:val="none"/>
                <w:lang w:val="en-US"/>
              </w:rPr>
              <w:t xml:space="preserve"> 项目土石方平衡表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4"/>
              <w:gridCol w:w="2684"/>
              <w:gridCol w:w="2684"/>
            </w:tblGrid>
            <w:tr w14:paraId="5886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633" w:type="dxa"/>
                  <w:noWrap/>
                  <w:vAlign w:val="center"/>
                </w:tcPr>
                <w:p w14:paraId="4D6EF0DC">
                  <w:pPr>
                    <w:pStyle w:val="28"/>
                    <w:adjustRightInd/>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挖方（m</w:t>
                  </w:r>
                  <w:r>
                    <w:rPr>
                      <w:rFonts w:hint="eastAsia" w:ascii="Times New Roman" w:hAnsi="Times New Roman" w:cs="宋体"/>
                      <w:color w:val="auto"/>
                      <w:sz w:val="21"/>
                      <w:szCs w:val="21"/>
                      <w:highlight w:val="none"/>
                      <w:vertAlign w:val="superscript"/>
                    </w:rPr>
                    <w:t>3</w:t>
                  </w:r>
                  <w:r>
                    <w:rPr>
                      <w:rFonts w:hint="eastAsia" w:ascii="Times New Roman" w:hAnsi="Times New Roman" w:cs="宋体"/>
                      <w:color w:val="auto"/>
                      <w:sz w:val="21"/>
                      <w:szCs w:val="21"/>
                      <w:highlight w:val="none"/>
                    </w:rPr>
                    <w:t>）</w:t>
                  </w:r>
                </w:p>
              </w:tc>
              <w:tc>
                <w:tcPr>
                  <w:tcW w:w="2633" w:type="dxa"/>
                  <w:noWrap/>
                  <w:vAlign w:val="center"/>
                </w:tcPr>
                <w:p w14:paraId="23C2C003">
                  <w:pPr>
                    <w:pStyle w:val="28"/>
                    <w:adjustRightInd/>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表土堆存（m</w:t>
                  </w:r>
                  <w:r>
                    <w:rPr>
                      <w:rFonts w:hint="eastAsia" w:ascii="Times New Roman" w:hAnsi="Times New Roman" w:cs="宋体"/>
                      <w:color w:val="auto"/>
                      <w:sz w:val="21"/>
                      <w:szCs w:val="21"/>
                      <w:highlight w:val="none"/>
                      <w:vertAlign w:val="superscript"/>
                    </w:rPr>
                    <w:t>3</w:t>
                  </w:r>
                  <w:r>
                    <w:rPr>
                      <w:rFonts w:hint="eastAsia" w:ascii="Times New Roman" w:hAnsi="Times New Roman" w:cs="宋体"/>
                      <w:color w:val="auto"/>
                      <w:sz w:val="21"/>
                      <w:szCs w:val="21"/>
                      <w:highlight w:val="none"/>
                    </w:rPr>
                    <w:t>）</w:t>
                  </w:r>
                </w:p>
              </w:tc>
              <w:tc>
                <w:tcPr>
                  <w:tcW w:w="2633" w:type="dxa"/>
                  <w:noWrap/>
                  <w:vAlign w:val="center"/>
                </w:tcPr>
                <w:p w14:paraId="76D44B86">
                  <w:pPr>
                    <w:pStyle w:val="28"/>
                    <w:adjustRightInd/>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表土复垦（m</w:t>
                  </w:r>
                  <w:r>
                    <w:rPr>
                      <w:rFonts w:hint="eastAsia" w:ascii="Times New Roman" w:hAnsi="Times New Roman" w:cs="宋体"/>
                      <w:color w:val="auto"/>
                      <w:sz w:val="21"/>
                      <w:szCs w:val="21"/>
                      <w:highlight w:val="none"/>
                      <w:vertAlign w:val="superscript"/>
                    </w:rPr>
                    <w:t>3</w:t>
                  </w:r>
                  <w:r>
                    <w:rPr>
                      <w:rFonts w:hint="eastAsia" w:ascii="Times New Roman" w:hAnsi="Times New Roman" w:cs="宋体"/>
                      <w:color w:val="auto"/>
                      <w:sz w:val="21"/>
                      <w:szCs w:val="21"/>
                      <w:highlight w:val="none"/>
                    </w:rPr>
                    <w:t>）</w:t>
                  </w:r>
                </w:p>
              </w:tc>
            </w:tr>
            <w:tr w14:paraId="458B2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633" w:type="dxa"/>
                  <w:noWrap/>
                  <w:vAlign w:val="center"/>
                </w:tcPr>
                <w:p w14:paraId="52D8CE4D">
                  <w:pPr>
                    <w:pStyle w:val="28"/>
                    <w:adjustRightInd/>
                    <w:jc w:val="center"/>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342</w:t>
                  </w:r>
                </w:p>
              </w:tc>
              <w:tc>
                <w:tcPr>
                  <w:tcW w:w="2633" w:type="dxa"/>
                  <w:noWrap/>
                  <w:vAlign w:val="center"/>
                </w:tcPr>
                <w:p w14:paraId="66691D59">
                  <w:pPr>
                    <w:pStyle w:val="28"/>
                    <w:adjustRightInd/>
                    <w:jc w:val="center"/>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342</w:t>
                  </w:r>
                </w:p>
              </w:tc>
              <w:tc>
                <w:tcPr>
                  <w:tcW w:w="2633" w:type="dxa"/>
                  <w:noWrap/>
                  <w:vAlign w:val="center"/>
                </w:tcPr>
                <w:p w14:paraId="3033039A">
                  <w:pPr>
                    <w:pStyle w:val="28"/>
                    <w:adjustRightInd/>
                    <w:jc w:val="center"/>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342</w:t>
                  </w:r>
                </w:p>
              </w:tc>
            </w:tr>
          </w:tbl>
          <w:p w14:paraId="63F7AE6B">
            <w:pPr>
              <w:spacing w:line="360" w:lineRule="auto"/>
              <w:ind w:firstLine="482" w:firstLineChars="200"/>
              <w:rPr>
                <w:rFonts w:ascii="Times New Roman" w:hAnsi="Times New Roman"/>
                <w:b/>
                <w:bCs/>
                <w:color w:val="auto"/>
                <w:kern w:val="0"/>
                <w:sz w:val="24"/>
                <w:lang w:bidi="ar"/>
              </w:rPr>
            </w:pPr>
            <w:r>
              <w:rPr>
                <w:rFonts w:ascii="Times New Roman" w:hAnsi="Times New Roman"/>
                <w:b/>
                <w:bCs/>
                <w:color w:val="auto"/>
                <w:kern w:val="0"/>
                <w:sz w:val="24"/>
                <w:lang w:bidi="ar"/>
              </w:rPr>
              <w:t>8、生态环境影响分析</w:t>
            </w:r>
          </w:p>
          <w:p w14:paraId="7F80EF41">
            <w:pPr>
              <w:spacing w:line="360" w:lineRule="auto"/>
              <w:ind w:firstLine="484" w:firstLineChars="202"/>
              <w:rPr>
                <w:bCs/>
                <w:color w:val="auto"/>
                <w:sz w:val="24"/>
              </w:rPr>
            </w:pPr>
            <w:r>
              <w:rPr>
                <w:rFonts w:ascii="Times New Roman" w:hAnsi="Times New Roman"/>
                <w:bCs/>
                <w:color w:val="auto"/>
                <w:sz w:val="24"/>
              </w:rPr>
              <w:t>（1）</w:t>
            </w:r>
            <w:r>
              <w:rPr>
                <w:bCs/>
                <w:color w:val="auto"/>
                <w:sz w:val="24"/>
              </w:rPr>
              <w:t>项目占地对区域土地利用影响分析</w:t>
            </w:r>
          </w:p>
          <w:p w14:paraId="6DC53247">
            <w:pPr>
              <w:spacing w:line="360" w:lineRule="auto"/>
              <w:ind w:firstLine="484" w:firstLineChars="202"/>
              <w:rPr>
                <w:rFonts w:ascii="Times New Roman" w:hAnsi="Times New Roman"/>
                <w:color w:val="auto"/>
                <w:sz w:val="24"/>
              </w:rPr>
            </w:pPr>
            <w:r>
              <w:rPr>
                <w:rFonts w:ascii="Times New Roman" w:hAnsi="Times New Roman"/>
                <w:color w:val="auto"/>
                <w:sz w:val="24"/>
              </w:rPr>
              <w:t>本工程全部为临时占地，施工范围用地</w:t>
            </w:r>
            <w:r>
              <w:rPr>
                <w:rFonts w:hint="eastAsia" w:ascii="Times New Roman" w:hAnsi="Times New Roman"/>
                <w:color w:val="auto"/>
                <w:sz w:val="24"/>
                <w:lang w:val="en-US" w:eastAsia="zh-CN"/>
              </w:rPr>
              <w:t>1797</w:t>
            </w:r>
            <w:r>
              <w:rPr>
                <w:rFonts w:ascii="Times New Roman" w:hAnsi="Times New Roman"/>
                <w:color w:val="auto"/>
                <w:sz w:val="24"/>
              </w:rPr>
              <w:t>m</w:t>
            </w:r>
            <w:r>
              <w:rPr>
                <w:rFonts w:ascii="Times New Roman" w:hAnsi="Times New Roman"/>
                <w:color w:val="auto"/>
                <w:sz w:val="24"/>
                <w:vertAlign w:val="superscript"/>
              </w:rPr>
              <w:t>2</w:t>
            </w:r>
            <w:r>
              <w:rPr>
                <w:rFonts w:ascii="Times New Roman" w:hAnsi="Times New Roman"/>
                <w:color w:val="auto"/>
                <w:sz w:val="24"/>
              </w:rPr>
              <w:t>，用地包括施工区、设备区</w:t>
            </w:r>
            <w:r>
              <w:rPr>
                <w:rFonts w:hint="eastAsia" w:ascii="Times New Roman" w:hAnsi="Times New Roman"/>
                <w:color w:val="auto"/>
                <w:sz w:val="24"/>
                <w:lang w:eastAsia="zh-CN"/>
              </w:rPr>
              <w:t>、</w:t>
            </w:r>
            <w:r>
              <w:rPr>
                <w:rFonts w:hint="eastAsia" w:ascii="Times New Roman" w:hAnsi="Times New Roman"/>
                <w:color w:val="auto"/>
                <w:sz w:val="24"/>
                <w:lang w:val="en-US" w:eastAsia="zh-CN"/>
              </w:rPr>
              <w:t>临时道路</w:t>
            </w:r>
            <w:r>
              <w:rPr>
                <w:rFonts w:ascii="Times New Roman" w:hAnsi="Times New Roman"/>
                <w:color w:val="auto"/>
                <w:sz w:val="24"/>
              </w:rPr>
              <w:t>等，均为临时</w:t>
            </w:r>
            <w:r>
              <w:rPr>
                <w:rFonts w:hint="eastAsia" w:ascii="Times New Roman" w:hAnsi="Times New Roman"/>
                <w:color w:val="auto"/>
                <w:sz w:val="24"/>
              </w:rPr>
              <w:t>用地</w:t>
            </w:r>
            <w:r>
              <w:rPr>
                <w:rFonts w:ascii="Times New Roman" w:hAnsi="Times New Roman"/>
                <w:color w:val="auto"/>
                <w:sz w:val="24"/>
              </w:rPr>
              <w:t>，</w:t>
            </w:r>
            <w:r>
              <w:rPr>
                <w:rFonts w:hint="eastAsia" w:ascii="Times New Roman" w:hAnsi="Times New Roman"/>
                <w:color w:val="auto"/>
                <w:sz w:val="24"/>
              </w:rPr>
              <w:t>临时</w:t>
            </w:r>
            <w:r>
              <w:rPr>
                <w:rFonts w:ascii="Times New Roman" w:hAnsi="Times New Roman"/>
                <w:color w:val="auto"/>
                <w:sz w:val="24"/>
              </w:rPr>
              <w:t>用地时间为</w:t>
            </w:r>
            <w:r>
              <w:rPr>
                <w:rFonts w:hint="eastAsia" w:ascii="Times New Roman" w:hAnsi="Times New Roman"/>
                <w:color w:val="auto"/>
                <w:sz w:val="24"/>
                <w:lang w:val="en-US" w:eastAsia="zh-CN"/>
              </w:rPr>
              <w:t>6个</w:t>
            </w:r>
            <w:r>
              <w:rPr>
                <w:rFonts w:hint="eastAsia" w:ascii="Times New Roman" w:hAnsi="Times New Roman"/>
                <w:color w:val="auto"/>
                <w:sz w:val="24"/>
                <w:lang w:eastAsia="zh-CN"/>
              </w:rPr>
              <w:t>月</w:t>
            </w:r>
            <w:r>
              <w:rPr>
                <w:rFonts w:ascii="Times New Roman" w:hAnsi="Times New Roman"/>
                <w:color w:val="auto"/>
                <w:sz w:val="24"/>
              </w:rPr>
              <w:t>。</w:t>
            </w:r>
          </w:p>
          <w:p w14:paraId="71D65BA1">
            <w:pPr>
              <w:spacing w:line="360" w:lineRule="auto"/>
              <w:ind w:firstLine="484" w:firstLineChars="202"/>
              <w:rPr>
                <w:rFonts w:ascii="Times New Roman" w:hAnsi="Times New Roman"/>
                <w:bCs/>
                <w:sz w:val="24"/>
              </w:rPr>
            </w:pPr>
            <w:r>
              <w:rPr>
                <w:rFonts w:hint="eastAsia" w:ascii="Times New Roman" w:hAnsi="Times New Roman"/>
                <w:sz w:val="24"/>
              </w:rPr>
              <w:t>本项目周边及300米范围内主要以耕地为主，有少量的林地、住宅用地、</w:t>
            </w:r>
            <w:r>
              <w:rPr>
                <w:rFonts w:hint="eastAsia" w:ascii="Times New Roman" w:hAnsi="Times New Roman"/>
                <w:sz w:val="24"/>
                <w:lang w:eastAsia="zh-CN"/>
              </w:rPr>
              <w:t>城镇村道路用地</w:t>
            </w:r>
            <w:r>
              <w:rPr>
                <w:rFonts w:hint="eastAsia" w:ascii="Times New Roman" w:hAnsi="Times New Roman"/>
                <w:sz w:val="24"/>
              </w:rPr>
              <w:t>，项目区域内土地利用现状图见附图15；本区域内</w:t>
            </w:r>
            <w:r>
              <w:rPr>
                <w:rFonts w:hint="eastAsia" w:ascii="Times New Roman" w:hAnsi="Times New Roman"/>
                <w:bCs/>
                <w:sz w:val="24"/>
              </w:rPr>
              <w:t>植被主要以水田农作物为主，部分进场附近有落叶阔叶林，项目区域内现状植被类型图见附图16。</w:t>
            </w:r>
          </w:p>
          <w:p w14:paraId="61DF6DBF">
            <w:pPr>
              <w:spacing w:line="360" w:lineRule="auto"/>
              <w:ind w:firstLine="484" w:firstLineChars="202"/>
              <w:rPr>
                <w:bCs/>
                <w:color w:val="auto"/>
                <w:sz w:val="24"/>
              </w:rPr>
            </w:pPr>
            <w:r>
              <w:rPr>
                <w:rFonts w:ascii="Times New Roman" w:hAnsi="Times New Roman"/>
                <w:bCs/>
                <w:color w:val="auto"/>
                <w:sz w:val="24"/>
              </w:rPr>
              <w:t>本项目的临时占地在占用完毕后都可在较短时间内恢复，区域土地利用格局造成轻微影响，对农业生产的直接影响主要体现为因临时占用农田而造成经济作物减产，对于临时占地造成的农作物减产，除应对耕种农户进行经济补偿外，工程开工前，应先剥离占地范围内表层土，</w:t>
            </w:r>
            <w:r>
              <w:rPr>
                <w:rFonts w:hint="eastAsia" w:ascii="Times New Roman" w:hAnsi="Times New Roman"/>
                <w:bCs/>
                <w:color w:val="auto"/>
                <w:sz w:val="24"/>
              </w:rPr>
              <w:t>项目剥离表土集中堆放于每个井场内的临时表土剥离堆场，表土剥离堆放区设置在距离钻孔作业区较近位置，主要用于复垦时恢复原貌剥离的表土采用分别集中堆放方式，表土剥离厚度为0.</w:t>
            </w:r>
            <w:r>
              <w:rPr>
                <w:rFonts w:hint="eastAsia" w:ascii="Times New Roman" w:hAnsi="Times New Roman"/>
                <w:bCs/>
                <w:color w:val="auto"/>
                <w:sz w:val="24"/>
                <w:lang w:val="en-US" w:eastAsia="zh-CN"/>
              </w:rPr>
              <w:t>25</w:t>
            </w:r>
            <w:r>
              <w:rPr>
                <w:rFonts w:hint="eastAsia" w:ascii="Times New Roman" w:hAnsi="Times New Roman"/>
                <w:bCs/>
                <w:color w:val="auto"/>
                <w:sz w:val="24"/>
              </w:rPr>
              <w:t>m。项目表土剥离量</w:t>
            </w:r>
            <w:r>
              <w:rPr>
                <w:rFonts w:hint="eastAsia" w:ascii="Times New Roman" w:hAnsi="Times New Roman"/>
                <w:bCs/>
                <w:color w:val="auto"/>
                <w:sz w:val="24"/>
                <w:lang w:val="en-US" w:eastAsia="zh-CN"/>
              </w:rPr>
              <w:t>342</w:t>
            </w:r>
            <w:r>
              <w:rPr>
                <w:rFonts w:hint="eastAsia" w:ascii="Times New Roman" w:hAnsi="Times New Roman"/>
                <w:bCs/>
                <w:color w:val="auto"/>
                <w:sz w:val="24"/>
              </w:rPr>
              <w:t>m</w:t>
            </w:r>
            <w:r>
              <w:rPr>
                <w:rFonts w:hint="eastAsia" w:ascii="Times New Roman" w:hAnsi="Times New Roman"/>
                <w:bCs/>
                <w:color w:val="auto"/>
                <w:sz w:val="24"/>
                <w:vertAlign w:val="superscript"/>
              </w:rPr>
              <w:t>3</w:t>
            </w:r>
            <w:r>
              <w:rPr>
                <w:rFonts w:hint="eastAsia" w:ascii="Times New Roman" w:hAnsi="Times New Roman"/>
                <w:bCs/>
                <w:color w:val="auto"/>
                <w:sz w:val="24"/>
              </w:rPr>
              <w:t>，</w:t>
            </w:r>
            <w:r>
              <w:rPr>
                <w:rFonts w:ascii="Times New Roman" w:hAnsi="Times New Roman"/>
                <w:bCs/>
                <w:color w:val="auto"/>
                <w:sz w:val="24"/>
              </w:rPr>
              <w:t>独立堆存并做好水保措施；</w:t>
            </w:r>
            <w:r>
              <w:rPr>
                <w:bCs/>
                <w:color w:val="auto"/>
                <w:sz w:val="24"/>
              </w:rPr>
              <w:t>本项目的临时占地在占用完毕后都可在较短时间内恢复，区域土地利用格局造成轻微影响，在施工结束后，</w:t>
            </w:r>
            <w:r>
              <w:rPr>
                <w:rFonts w:hint="eastAsia"/>
                <w:bCs/>
                <w:color w:val="auto"/>
                <w:sz w:val="24"/>
              </w:rPr>
              <w:t>需要</w:t>
            </w:r>
            <w:r>
              <w:rPr>
                <w:bCs/>
                <w:color w:val="auto"/>
                <w:sz w:val="24"/>
              </w:rPr>
              <w:t>及时恢复原貌。</w:t>
            </w:r>
          </w:p>
          <w:p w14:paraId="2DC53EF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b/>
                <w:color w:val="auto"/>
                <w:sz w:val="21"/>
                <w:szCs w:val="21"/>
                <w:highlight w:val="none"/>
                <w:lang w:val="en-US"/>
              </w:rPr>
            </w:pPr>
            <w:r>
              <w:rPr>
                <w:rFonts w:ascii="Times New Roman" w:hAnsi="Times New Roman"/>
                <w:b/>
                <w:color w:val="auto"/>
                <w:sz w:val="21"/>
                <w:szCs w:val="21"/>
                <w:highlight w:val="none"/>
                <w:lang w:val="en-US"/>
              </w:rPr>
              <w:t>表4-</w:t>
            </w:r>
            <w:r>
              <w:rPr>
                <w:rFonts w:hint="eastAsia" w:ascii="Times New Roman" w:hAnsi="Times New Roman"/>
                <w:b/>
                <w:color w:val="auto"/>
                <w:sz w:val="21"/>
                <w:szCs w:val="21"/>
                <w:highlight w:val="none"/>
                <w:lang w:val="en-US" w:eastAsia="zh-CN"/>
              </w:rPr>
              <w:t>8</w:t>
            </w:r>
            <w:r>
              <w:rPr>
                <w:rFonts w:ascii="Times New Roman" w:hAnsi="Times New Roman"/>
                <w:b/>
                <w:color w:val="auto"/>
                <w:sz w:val="21"/>
                <w:szCs w:val="21"/>
                <w:highlight w:val="none"/>
                <w:lang w:val="en-US"/>
              </w:rPr>
              <w:t xml:space="preserve">  项目临时占地类型一览表        单位hm</w:t>
            </w:r>
            <w:r>
              <w:rPr>
                <w:rFonts w:ascii="Times New Roman" w:hAnsi="Times New Roman"/>
                <w:b/>
                <w:color w:val="auto"/>
                <w:sz w:val="21"/>
                <w:szCs w:val="21"/>
                <w:highlight w:val="none"/>
                <w:vertAlign w:val="superscript"/>
                <w:lang w:val="en-US"/>
              </w:rPr>
              <w:t>2</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1"/>
              <w:gridCol w:w="1736"/>
              <w:gridCol w:w="1739"/>
              <w:gridCol w:w="2685"/>
            </w:tblGrid>
            <w:tr w14:paraId="1EEC1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pct"/>
                  <w:noWrap w:val="0"/>
                  <w:vAlign w:val="center"/>
                </w:tcPr>
                <w:p w14:paraId="31A8F8A1">
                  <w:pPr>
                    <w:pStyle w:val="28"/>
                    <w:adjustRightInd/>
                    <w:jc w:val="center"/>
                    <w:rPr>
                      <w:rFonts w:ascii="Times New Roman" w:hAnsi="Times New Roman"/>
                      <w:color w:val="auto"/>
                      <w:sz w:val="21"/>
                      <w:szCs w:val="21"/>
                    </w:rPr>
                  </w:pPr>
                  <w:r>
                    <w:rPr>
                      <w:rFonts w:ascii="Times New Roman"/>
                      <w:color w:val="auto"/>
                      <w:sz w:val="21"/>
                      <w:szCs w:val="21"/>
                    </w:rPr>
                    <w:t>序号</w:t>
                  </w:r>
                </w:p>
              </w:tc>
              <w:tc>
                <w:tcPr>
                  <w:tcW w:w="2157" w:type="pct"/>
                  <w:gridSpan w:val="2"/>
                  <w:noWrap w:val="0"/>
                  <w:vAlign w:val="center"/>
                </w:tcPr>
                <w:p w14:paraId="4F384E22">
                  <w:pPr>
                    <w:pStyle w:val="28"/>
                    <w:adjustRightInd/>
                    <w:jc w:val="center"/>
                    <w:rPr>
                      <w:rFonts w:ascii="Times New Roman" w:hAnsi="Times New Roman"/>
                      <w:color w:val="auto"/>
                      <w:sz w:val="21"/>
                      <w:szCs w:val="21"/>
                    </w:rPr>
                  </w:pPr>
                  <w:r>
                    <w:rPr>
                      <w:rFonts w:ascii="Times New Roman"/>
                      <w:color w:val="auto"/>
                      <w:sz w:val="21"/>
                      <w:szCs w:val="21"/>
                    </w:rPr>
                    <w:t>用地类型</w:t>
                  </w:r>
                </w:p>
              </w:tc>
              <w:tc>
                <w:tcPr>
                  <w:tcW w:w="1667" w:type="pct"/>
                  <w:noWrap w:val="0"/>
                  <w:vAlign w:val="center"/>
                </w:tcPr>
                <w:p w14:paraId="6EBEB0BE">
                  <w:pPr>
                    <w:pStyle w:val="28"/>
                    <w:adjustRightInd/>
                    <w:jc w:val="center"/>
                    <w:rPr>
                      <w:rFonts w:ascii="Times New Roman" w:hAnsi="Times New Roman"/>
                      <w:color w:val="auto"/>
                      <w:sz w:val="21"/>
                      <w:szCs w:val="21"/>
                    </w:rPr>
                  </w:pPr>
                  <w:r>
                    <w:rPr>
                      <w:rFonts w:ascii="Times New Roman"/>
                      <w:color w:val="auto"/>
                      <w:sz w:val="21"/>
                      <w:szCs w:val="21"/>
                    </w:rPr>
                    <w:t>用地面积</w:t>
                  </w:r>
                </w:p>
              </w:tc>
            </w:tr>
            <w:tr w14:paraId="5205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4" w:type="pct"/>
                  <w:noWrap w:val="0"/>
                  <w:vAlign w:val="center"/>
                </w:tcPr>
                <w:p w14:paraId="4D328B63">
                  <w:pPr>
                    <w:jc w:val="center"/>
                    <w:rPr>
                      <w:rFonts w:ascii="Times New Roman" w:hAnsi="Times New Roman"/>
                      <w:color w:val="auto"/>
                      <w:szCs w:val="21"/>
                    </w:rPr>
                  </w:pPr>
                  <w:r>
                    <w:rPr>
                      <w:rFonts w:ascii="Times New Roman" w:hAnsi="Times New Roman"/>
                      <w:color w:val="auto"/>
                      <w:szCs w:val="21"/>
                    </w:rPr>
                    <w:t>1</w:t>
                  </w:r>
                </w:p>
              </w:tc>
              <w:tc>
                <w:tcPr>
                  <w:tcW w:w="1078" w:type="pct"/>
                  <w:vMerge w:val="restart"/>
                  <w:noWrap w:val="0"/>
                  <w:vAlign w:val="center"/>
                </w:tcPr>
                <w:p w14:paraId="76A32C66">
                  <w:pPr>
                    <w:pStyle w:val="28"/>
                    <w:adjustRightInd/>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耕地</w:t>
                  </w:r>
                </w:p>
              </w:tc>
              <w:tc>
                <w:tcPr>
                  <w:tcW w:w="1078" w:type="pct"/>
                  <w:shd w:val="clear" w:color="auto" w:fill="auto"/>
                  <w:noWrap w:val="0"/>
                  <w:vAlign w:val="center"/>
                </w:tcPr>
                <w:p w14:paraId="3714B9B9">
                  <w:pPr>
                    <w:pStyle w:val="28"/>
                    <w:adjustRightInd/>
                    <w:jc w:val="center"/>
                    <w:rPr>
                      <w:rFonts w:hint="eastAsia"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水田</w:t>
                  </w:r>
                </w:p>
              </w:tc>
              <w:tc>
                <w:tcPr>
                  <w:tcW w:w="1667" w:type="pct"/>
                  <w:shd w:val="clear" w:color="auto" w:fill="auto"/>
                  <w:noWrap w:val="0"/>
                  <w:vAlign w:val="center"/>
                </w:tcPr>
                <w:p w14:paraId="23673650">
                  <w:pPr>
                    <w:pStyle w:val="28"/>
                    <w:adjustRightInd/>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b w:val="0"/>
                      <w:bCs w:val="0"/>
                      <w:color w:val="auto"/>
                      <w:sz w:val="21"/>
                      <w:szCs w:val="21"/>
                      <w:lang w:val="en-US" w:eastAsia="zh-CN"/>
                    </w:rPr>
                    <w:t>0.1797</w:t>
                  </w:r>
                </w:p>
              </w:tc>
            </w:tr>
            <w:tr w14:paraId="6CDF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pct"/>
                  <w:noWrap w:val="0"/>
                  <w:vAlign w:val="center"/>
                </w:tcPr>
                <w:p w14:paraId="2341A531">
                  <w:pPr>
                    <w:jc w:val="center"/>
                    <w:rPr>
                      <w:rFonts w:ascii="Times New Roman" w:hAnsi="Times New Roman"/>
                      <w:color w:val="auto"/>
                      <w:szCs w:val="21"/>
                    </w:rPr>
                  </w:pPr>
                  <w:r>
                    <w:rPr>
                      <w:rFonts w:ascii="Times New Roman" w:hAnsi="Times New Roman"/>
                      <w:color w:val="auto"/>
                      <w:szCs w:val="21"/>
                    </w:rPr>
                    <w:t>2</w:t>
                  </w:r>
                </w:p>
              </w:tc>
              <w:tc>
                <w:tcPr>
                  <w:tcW w:w="1078" w:type="pct"/>
                  <w:vMerge w:val="continue"/>
                  <w:noWrap w:val="0"/>
                  <w:vAlign w:val="center"/>
                </w:tcPr>
                <w:p w14:paraId="3ECA9948">
                  <w:pPr>
                    <w:pStyle w:val="28"/>
                    <w:adjustRightInd/>
                    <w:jc w:val="center"/>
                    <w:rPr>
                      <w:rFonts w:ascii="Times New Roman" w:hAnsi="Times New Roman"/>
                      <w:color w:val="auto"/>
                      <w:sz w:val="21"/>
                      <w:szCs w:val="21"/>
                    </w:rPr>
                  </w:pPr>
                </w:p>
              </w:tc>
              <w:tc>
                <w:tcPr>
                  <w:tcW w:w="1078" w:type="pct"/>
                  <w:shd w:val="clear" w:color="auto" w:fill="auto"/>
                  <w:noWrap w:val="0"/>
                  <w:vAlign w:val="center"/>
                </w:tcPr>
                <w:p w14:paraId="39E89D44">
                  <w:pPr>
                    <w:pStyle w:val="28"/>
                    <w:adjustRightInd/>
                    <w:jc w:val="center"/>
                    <w:rPr>
                      <w:rFonts w:hint="eastAsia" w:ascii="仿宋" w:hAnsi="仿宋" w:eastAsia="仿宋" w:cs="仿宋"/>
                      <w:color w:val="auto"/>
                      <w:spacing w:val="-6"/>
                      <w:kern w:val="2"/>
                      <w:sz w:val="18"/>
                      <w:szCs w:val="18"/>
                      <w:highlight w:val="none"/>
                      <w:lang w:val="en-US" w:eastAsia="zh-CN" w:bidi="ar-SA"/>
                    </w:rPr>
                  </w:pPr>
                  <w:r>
                    <w:rPr>
                      <w:rFonts w:hint="eastAsia" w:ascii="Times New Roman"/>
                      <w:color w:val="auto"/>
                      <w:sz w:val="21"/>
                      <w:szCs w:val="21"/>
                      <w:lang w:val="en-US" w:eastAsia="zh-CN"/>
                    </w:rPr>
                    <w:t>旱地</w:t>
                  </w:r>
                </w:p>
              </w:tc>
              <w:tc>
                <w:tcPr>
                  <w:tcW w:w="1667" w:type="pct"/>
                  <w:shd w:val="clear" w:color="auto" w:fill="auto"/>
                  <w:noWrap w:val="0"/>
                  <w:vAlign w:val="center"/>
                </w:tcPr>
                <w:p w14:paraId="615EBEC7">
                  <w:pPr>
                    <w:pStyle w:val="28"/>
                    <w:adjustRightInd/>
                    <w:jc w:val="center"/>
                    <w:rPr>
                      <w:rFonts w:hint="eastAsia" w:ascii="宋体" w:hAnsi="宋体" w:eastAsia="宋体" w:cs="宋体"/>
                      <w:color w:val="auto"/>
                      <w:spacing w:val="-4"/>
                      <w:kern w:val="2"/>
                      <w:sz w:val="18"/>
                      <w:szCs w:val="18"/>
                      <w:highlight w:val="none"/>
                      <w:lang w:val="en-US" w:eastAsia="zh-CN" w:bidi="ar-SA"/>
                    </w:rPr>
                  </w:pPr>
                  <w:r>
                    <w:rPr>
                      <w:rFonts w:hint="eastAsia" w:ascii="Times New Roman" w:hAnsi="Times New Roman"/>
                      <w:color w:val="auto"/>
                      <w:sz w:val="21"/>
                      <w:szCs w:val="21"/>
                      <w:lang w:val="en-US" w:eastAsia="zh-CN"/>
                    </w:rPr>
                    <w:t>0</w:t>
                  </w:r>
                </w:p>
              </w:tc>
            </w:tr>
            <w:tr w14:paraId="6530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pct"/>
                  <w:noWrap w:val="0"/>
                  <w:vAlign w:val="center"/>
                </w:tcPr>
                <w:p w14:paraId="60EF3E67">
                  <w:pPr>
                    <w:jc w:val="center"/>
                    <w:rPr>
                      <w:rFonts w:ascii="Times New Roman" w:hAnsi="Times New Roman"/>
                      <w:color w:val="auto"/>
                      <w:szCs w:val="21"/>
                    </w:rPr>
                  </w:pPr>
                  <w:r>
                    <w:rPr>
                      <w:rFonts w:ascii="Times New Roman" w:hAnsi="Times New Roman"/>
                      <w:color w:val="auto"/>
                      <w:szCs w:val="21"/>
                    </w:rPr>
                    <w:t>3</w:t>
                  </w:r>
                </w:p>
              </w:tc>
              <w:tc>
                <w:tcPr>
                  <w:tcW w:w="1078" w:type="pct"/>
                  <w:noWrap w:val="0"/>
                  <w:vAlign w:val="center"/>
                </w:tcPr>
                <w:p w14:paraId="74B19901">
                  <w:pPr>
                    <w:pStyle w:val="28"/>
                    <w:adjustRightInd/>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其他农业地</w:t>
                  </w:r>
                </w:p>
              </w:tc>
              <w:tc>
                <w:tcPr>
                  <w:tcW w:w="1078" w:type="pct"/>
                  <w:shd w:val="clear" w:color="auto" w:fill="auto"/>
                  <w:noWrap w:val="0"/>
                  <w:vAlign w:val="center"/>
                </w:tcPr>
                <w:p w14:paraId="73505730">
                  <w:pPr>
                    <w:pStyle w:val="28"/>
                    <w:adjustRightInd/>
                    <w:jc w:val="center"/>
                    <w:rPr>
                      <w:rFonts w:hint="eastAsia"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沟渠</w:t>
                  </w:r>
                </w:p>
              </w:tc>
              <w:tc>
                <w:tcPr>
                  <w:tcW w:w="1667" w:type="pct"/>
                  <w:shd w:val="clear" w:color="auto" w:fill="auto"/>
                  <w:noWrap w:val="0"/>
                  <w:vAlign w:val="center"/>
                </w:tcPr>
                <w:p w14:paraId="0A2CA0C9">
                  <w:pPr>
                    <w:pStyle w:val="28"/>
                    <w:adjustRightInd/>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color w:val="auto"/>
                      <w:sz w:val="21"/>
                      <w:szCs w:val="21"/>
                      <w:lang w:val="en-US" w:eastAsia="zh-CN"/>
                    </w:rPr>
                    <w:t>0</w:t>
                  </w:r>
                </w:p>
              </w:tc>
            </w:tr>
            <w:tr w14:paraId="36FF6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2" w:type="pct"/>
                  <w:gridSpan w:val="3"/>
                  <w:noWrap w:val="0"/>
                  <w:vAlign w:val="center"/>
                </w:tcPr>
                <w:p w14:paraId="040B4377">
                  <w:pPr>
                    <w:pStyle w:val="28"/>
                    <w:adjustRightInd/>
                    <w:jc w:val="center"/>
                    <w:rPr>
                      <w:rFonts w:ascii="Times New Roman" w:hAnsi="Times New Roman"/>
                      <w:color w:val="auto"/>
                      <w:sz w:val="21"/>
                      <w:szCs w:val="21"/>
                    </w:rPr>
                  </w:pPr>
                  <w:r>
                    <w:rPr>
                      <w:rFonts w:ascii="Times New Roman"/>
                      <w:color w:val="auto"/>
                      <w:sz w:val="21"/>
                      <w:szCs w:val="21"/>
                    </w:rPr>
                    <w:t>合计</w:t>
                  </w:r>
                </w:p>
              </w:tc>
              <w:tc>
                <w:tcPr>
                  <w:tcW w:w="1667" w:type="pct"/>
                  <w:noWrap w:val="0"/>
                  <w:vAlign w:val="center"/>
                </w:tcPr>
                <w:p w14:paraId="6C847941">
                  <w:pPr>
                    <w:pStyle w:val="28"/>
                    <w:adjustRightInd/>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0.1797</w:t>
                  </w:r>
                </w:p>
              </w:tc>
            </w:tr>
          </w:tbl>
          <w:p w14:paraId="6187A843">
            <w:pPr>
              <w:spacing w:line="360" w:lineRule="auto"/>
              <w:ind w:firstLine="484" w:firstLineChars="202"/>
              <w:rPr>
                <w:rFonts w:hint="default" w:ascii="Times New Roman" w:hAnsi="Times New Roman" w:eastAsia="宋体" w:cs="Times New Roman"/>
                <w:bCs/>
                <w:color w:val="auto"/>
                <w:sz w:val="24"/>
                <w:szCs w:val="24"/>
                <w:lang w:val="en-US" w:eastAsia="zh-CN"/>
              </w:rPr>
            </w:pPr>
            <w:r>
              <w:rPr>
                <w:rFonts w:hint="eastAsia" w:ascii="Times New Roman" w:hAnsi="Times New Roman" w:cs="Times New Roman"/>
                <w:bCs/>
                <w:color w:val="auto"/>
                <w:sz w:val="24"/>
                <w:szCs w:val="24"/>
                <w:lang w:eastAsia="zh-CN"/>
              </w:rPr>
              <w:t>（</w:t>
            </w:r>
            <w:r>
              <w:rPr>
                <w:rFonts w:hint="eastAsia" w:ascii="Times New Roman" w:hAnsi="Times New Roman" w:cs="Times New Roman"/>
                <w:bCs/>
                <w:color w:val="auto"/>
                <w:sz w:val="24"/>
                <w:szCs w:val="24"/>
                <w:lang w:val="en-US" w:eastAsia="zh-CN"/>
              </w:rPr>
              <w:t>2）项目占地对植被和农业生产的影响</w:t>
            </w:r>
          </w:p>
          <w:p w14:paraId="67FBDB17">
            <w:pPr>
              <w:spacing w:line="360" w:lineRule="auto"/>
              <w:ind w:firstLine="484" w:firstLineChars="202"/>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项目占地类型主要为</w:t>
            </w:r>
            <w:r>
              <w:rPr>
                <w:rFonts w:hint="eastAsia" w:ascii="Times New Roman" w:hAnsi="Times New Roman" w:eastAsia="宋体" w:cs="Times New Roman"/>
                <w:bCs/>
                <w:color w:val="auto"/>
                <w:sz w:val="24"/>
                <w:szCs w:val="24"/>
                <w:lang w:eastAsia="zh-CN"/>
              </w:rPr>
              <w:t>农用地</w:t>
            </w:r>
            <w:r>
              <w:rPr>
                <w:rFonts w:ascii="Times New Roman" w:hAnsi="Times New Roman" w:eastAsia="宋体" w:cs="Times New Roman"/>
                <w:bCs/>
                <w:color w:val="auto"/>
                <w:sz w:val="24"/>
                <w:szCs w:val="24"/>
              </w:rPr>
              <w:t>，</w:t>
            </w:r>
            <w:r>
              <w:rPr>
                <w:rFonts w:hint="eastAsia" w:ascii="Times New Roman" w:hAnsi="Times New Roman" w:eastAsia="宋体" w:cs="Times New Roman"/>
                <w:bCs/>
                <w:color w:val="auto"/>
                <w:sz w:val="24"/>
                <w:szCs w:val="24"/>
                <w:lang w:eastAsia="zh-CN"/>
              </w:rPr>
              <w:t>种植</w:t>
            </w:r>
            <w:r>
              <w:rPr>
                <w:rFonts w:ascii="Times New Roman" w:hAnsi="Times New Roman" w:eastAsia="宋体" w:cs="Times New Roman"/>
                <w:bCs/>
                <w:color w:val="auto"/>
                <w:sz w:val="24"/>
                <w:szCs w:val="24"/>
              </w:rPr>
              <w:t>季节性农作物水稻、</w:t>
            </w:r>
            <w:r>
              <w:rPr>
                <w:rFonts w:hint="eastAsia" w:ascii="Times New Roman" w:hAnsi="Times New Roman" w:eastAsia="宋体" w:cs="Times New Roman"/>
                <w:bCs/>
                <w:color w:val="auto"/>
                <w:sz w:val="24"/>
                <w:szCs w:val="24"/>
              </w:rPr>
              <w:t>小麦</w:t>
            </w:r>
            <w:r>
              <w:rPr>
                <w:rFonts w:ascii="Times New Roman" w:hAnsi="Times New Roman" w:eastAsia="宋体" w:cs="Times New Roman"/>
                <w:bCs/>
                <w:color w:val="auto"/>
                <w:sz w:val="24"/>
                <w:szCs w:val="24"/>
              </w:rPr>
              <w:t>、蔬菜等。项目对</w:t>
            </w:r>
            <w:r>
              <w:rPr>
                <w:rFonts w:hint="eastAsia" w:ascii="Times New Roman" w:hAnsi="Times New Roman" w:eastAsia="宋体" w:cs="Times New Roman"/>
                <w:bCs/>
                <w:color w:val="auto"/>
                <w:sz w:val="24"/>
                <w:szCs w:val="24"/>
                <w:lang w:eastAsia="zh-CN"/>
              </w:rPr>
              <w:t>农作物</w:t>
            </w:r>
            <w:r>
              <w:rPr>
                <w:rFonts w:ascii="Times New Roman" w:hAnsi="Times New Roman" w:eastAsia="宋体" w:cs="Times New Roman"/>
                <w:bCs/>
                <w:color w:val="auto"/>
                <w:sz w:val="24"/>
                <w:szCs w:val="24"/>
              </w:rPr>
              <w:t>的影响主要表现因临时占用农用地造成经济作物减产</w:t>
            </w:r>
            <w:r>
              <w:rPr>
                <w:rFonts w:hint="eastAsia" w:ascii="Times New Roman" w:hAnsi="Times New Roman" w:eastAsia="宋体" w:cs="Times New Roman"/>
                <w:bCs/>
                <w:color w:val="auto"/>
                <w:sz w:val="24"/>
                <w:szCs w:val="24"/>
                <w:lang w:eastAsia="zh-CN"/>
              </w:rPr>
              <w:t>，</w:t>
            </w:r>
            <w:r>
              <w:rPr>
                <w:rFonts w:ascii="Times New Roman" w:hAnsi="Times New Roman" w:eastAsia="宋体" w:cs="Times New Roman"/>
                <w:bCs/>
                <w:color w:val="auto"/>
                <w:sz w:val="24"/>
                <w:szCs w:val="24"/>
              </w:rPr>
              <w:t>临时占地对农田的破坏，使被开挖地段的土壤耕作层发生破坏，导致耕地质量下降，主要可能耽误农作物生产，</w:t>
            </w:r>
            <w:r>
              <w:rPr>
                <w:rFonts w:hint="eastAsia" w:ascii="Times New Roman" w:hAnsi="Times New Roman" w:eastAsia="宋体" w:cs="Times New Roman"/>
                <w:bCs/>
                <w:color w:val="auto"/>
                <w:sz w:val="24"/>
                <w:szCs w:val="24"/>
                <w:lang w:eastAsia="zh-CN"/>
              </w:rPr>
              <w:t>但</w:t>
            </w:r>
            <w:r>
              <w:rPr>
                <w:rFonts w:ascii="Times New Roman" w:hAnsi="Times New Roman" w:eastAsia="宋体" w:cs="Times New Roman"/>
                <w:bCs/>
                <w:color w:val="auto"/>
                <w:sz w:val="24"/>
                <w:szCs w:val="24"/>
              </w:rPr>
              <w:t>这种影响是临时的，</w:t>
            </w:r>
            <w:r>
              <w:rPr>
                <w:rFonts w:hint="eastAsia" w:ascii="Times New Roman" w:hAnsi="Times New Roman" w:eastAsia="宋体" w:cs="Times New Roman"/>
                <w:bCs/>
                <w:color w:val="auto"/>
                <w:sz w:val="24"/>
                <w:szCs w:val="24"/>
                <w:lang w:eastAsia="zh-CN"/>
              </w:rPr>
              <w:t>在</w:t>
            </w:r>
            <w:r>
              <w:rPr>
                <w:rFonts w:ascii="Times New Roman" w:hAnsi="Times New Roman" w:eastAsia="宋体" w:cs="Times New Roman"/>
                <w:bCs/>
                <w:color w:val="auto"/>
                <w:sz w:val="24"/>
                <w:szCs w:val="24"/>
              </w:rPr>
              <w:t>施工结束后</w:t>
            </w:r>
            <w:r>
              <w:rPr>
                <w:rFonts w:hint="eastAsia" w:ascii="Times New Roman" w:hAnsi="Times New Roman" w:eastAsia="宋体" w:cs="Times New Roman"/>
                <w:bCs/>
                <w:color w:val="auto"/>
                <w:sz w:val="24"/>
                <w:szCs w:val="24"/>
                <w:lang w:eastAsia="zh-CN"/>
              </w:rPr>
              <w:t>土地复垦完成后</w:t>
            </w:r>
            <w:r>
              <w:rPr>
                <w:rFonts w:ascii="Times New Roman" w:hAnsi="Times New Roman" w:eastAsia="宋体" w:cs="Times New Roman"/>
                <w:bCs/>
                <w:color w:val="auto"/>
                <w:sz w:val="24"/>
                <w:szCs w:val="24"/>
              </w:rPr>
              <w:t>即可恢复生产。</w:t>
            </w:r>
          </w:p>
          <w:p w14:paraId="0E1876E2">
            <w:pPr>
              <w:spacing w:line="360" w:lineRule="auto"/>
              <w:ind w:firstLine="484" w:firstLineChars="202"/>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本次环评要求施工单位对临时占地除在施工过程中采取措施减少对农田破坏外，在施工结束后，一定要负责农田质量的恢复，除补偿因临时占地对农田产量的直接损失外，还将考虑施工结束后因土壤结构破坏、养分流失而造成的影响，对农作物产量的间接损失以及土壤恢复进行补偿，以用于耕作层土恢复。在恢复期对土壤进行熟化和培肥，切实做好耕地质量调查及监测工作，及时掌握耕地质量变化状况，直至恢复到原来的生产力水平。</w:t>
            </w:r>
          </w:p>
          <w:p w14:paraId="42F92566">
            <w:pPr>
              <w:spacing w:line="360" w:lineRule="auto"/>
              <w:ind w:firstLine="484" w:firstLineChars="202"/>
              <w:rPr>
                <w:rFonts w:ascii="Times New Roman" w:hAnsi="Times New Roman"/>
                <w:bCs/>
                <w:color w:val="auto"/>
                <w:sz w:val="24"/>
              </w:rPr>
            </w:pPr>
            <w:r>
              <w:rPr>
                <w:rFonts w:ascii="Times New Roman" w:hAnsi="Times New Roman"/>
                <w:bCs/>
                <w:color w:val="auto"/>
                <w:sz w:val="24"/>
              </w:rPr>
              <w:t>（</w:t>
            </w:r>
            <w:r>
              <w:rPr>
                <w:rFonts w:hint="eastAsia" w:ascii="Times New Roman" w:hAnsi="Times New Roman"/>
                <w:bCs/>
                <w:color w:val="auto"/>
                <w:sz w:val="24"/>
                <w:lang w:val="en-US" w:eastAsia="zh-CN"/>
              </w:rPr>
              <w:t>3</w:t>
            </w:r>
            <w:r>
              <w:rPr>
                <w:rFonts w:ascii="Times New Roman" w:hAnsi="Times New Roman"/>
                <w:bCs/>
                <w:color w:val="auto"/>
                <w:sz w:val="24"/>
              </w:rPr>
              <w:t>）对基本农田影响分析</w:t>
            </w:r>
          </w:p>
          <w:p w14:paraId="0AF0A166">
            <w:pPr>
              <w:spacing w:line="360" w:lineRule="auto"/>
              <w:ind w:firstLine="484" w:firstLineChars="202"/>
              <w:rPr>
                <w:rFonts w:ascii="Times New Roman" w:hAnsi="Times New Roman"/>
                <w:bCs/>
                <w:color w:val="auto"/>
                <w:sz w:val="24"/>
              </w:rPr>
            </w:pPr>
            <w:r>
              <w:rPr>
                <w:rFonts w:ascii="Times New Roman" w:hAnsi="Times New Roman"/>
                <w:bCs/>
                <w:color w:val="auto"/>
                <w:sz w:val="24"/>
              </w:rPr>
              <w:t>工程对农田生态系统的影响主要表现在以下方面：</w:t>
            </w:r>
          </w:p>
          <w:p w14:paraId="3893AE45">
            <w:pPr>
              <w:spacing w:line="360" w:lineRule="auto"/>
              <w:ind w:firstLine="484" w:firstLineChars="202"/>
              <w:rPr>
                <w:rFonts w:ascii="Times New Roman" w:hAnsi="Times New Roman"/>
                <w:bCs/>
                <w:color w:val="auto"/>
                <w:sz w:val="24"/>
              </w:rPr>
            </w:pPr>
            <w:r>
              <w:rPr>
                <w:rFonts w:ascii="宋体" w:hAnsi="宋体"/>
                <w:bCs/>
                <w:color w:val="auto"/>
                <w:sz w:val="24"/>
              </w:rPr>
              <w:t>①</w:t>
            </w:r>
            <w:r>
              <w:rPr>
                <w:rFonts w:ascii="Times New Roman" w:hAnsi="宋体"/>
                <w:bCs/>
                <w:color w:val="auto"/>
                <w:sz w:val="24"/>
              </w:rPr>
              <w:t>对植被的影响</w:t>
            </w:r>
          </w:p>
          <w:p w14:paraId="5D316B5A">
            <w:pPr>
              <w:spacing w:line="360" w:lineRule="auto"/>
              <w:ind w:firstLine="480" w:firstLineChars="200"/>
              <w:rPr>
                <w:rFonts w:ascii="Times New Roman" w:hAnsi="Times New Roman"/>
                <w:color w:val="auto"/>
                <w:kern w:val="0"/>
                <w:sz w:val="24"/>
              </w:rPr>
            </w:pPr>
            <w:r>
              <w:rPr>
                <w:rFonts w:ascii="Times New Roman" w:hAnsi="Times New Roman"/>
                <w:color w:val="auto"/>
                <w:kern w:val="0"/>
                <w:sz w:val="24"/>
                <w:lang w:bidi="ar"/>
              </w:rPr>
              <w:t>工程施工占地不可避免的对地表产生扰动，进而对地表植物资源产生影响。</w:t>
            </w:r>
            <w:r>
              <w:rPr>
                <w:rFonts w:ascii="Times New Roman" w:hAnsi="Times New Roman"/>
                <w:color w:val="auto"/>
                <w:kern w:val="0"/>
                <w:sz w:val="24"/>
              </w:rPr>
              <w:t>本项目将扰动</w:t>
            </w:r>
            <w:r>
              <w:rPr>
                <w:rFonts w:hint="eastAsia" w:ascii="Times New Roman" w:hAnsi="Times New Roman"/>
                <w:color w:val="auto"/>
                <w:kern w:val="0"/>
                <w:sz w:val="24"/>
              </w:rPr>
              <w:t>农用地</w:t>
            </w:r>
            <w:r>
              <w:rPr>
                <w:rFonts w:hint="eastAsia" w:ascii="Times New Roman" w:hAnsi="Times New Roman"/>
                <w:color w:val="auto"/>
                <w:kern w:val="0"/>
                <w:sz w:val="24"/>
                <w:lang w:val="en-US" w:eastAsia="zh-CN"/>
              </w:rPr>
              <w:t>2.0784</w:t>
            </w:r>
            <w:r>
              <w:rPr>
                <w:rFonts w:ascii="Times New Roman" w:hAnsi="Times New Roman"/>
                <w:color w:val="auto"/>
                <w:kern w:val="0"/>
                <w:szCs w:val="21"/>
              </w:rPr>
              <w:t>ha</w:t>
            </w:r>
            <w:r>
              <w:rPr>
                <w:rFonts w:ascii="Times New Roman" w:hAnsi="Times New Roman"/>
                <w:color w:val="auto"/>
                <w:kern w:val="0"/>
                <w:sz w:val="24"/>
              </w:rPr>
              <w:t>，本项目临时工程占地导致的植物生物量损失按下式计算。具体计算结果见下表。</w:t>
            </w:r>
          </w:p>
          <w:p w14:paraId="169EAFB7">
            <w:pPr>
              <w:autoSpaceDE w:val="0"/>
              <w:autoSpaceDN w:val="0"/>
              <w:adjustRightInd w:val="0"/>
              <w:spacing w:line="360" w:lineRule="auto"/>
              <w:jc w:val="center"/>
              <w:rPr>
                <w:rFonts w:ascii="Times New Roman" w:hAnsi="Times New Roman"/>
                <w:color w:val="auto"/>
                <w:kern w:val="0"/>
                <w:sz w:val="24"/>
              </w:rPr>
            </w:pPr>
            <w:r>
              <w:rPr>
                <w:rFonts w:ascii="Times New Roman" w:hAnsi="Times New Roman"/>
                <w:color w:val="auto"/>
                <w:kern w:val="0"/>
                <w:sz w:val="24"/>
              </w:rPr>
              <w:drawing>
                <wp:inline distT="0" distB="0" distL="114300" distR="114300">
                  <wp:extent cx="1266825" cy="351155"/>
                  <wp:effectExtent l="0" t="0" r="9525"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1266825" cy="351155"/>
                          </a:xfrm>
                          <a:prstGeom prst="rect">
                            <a:avLst/>
                          </a:prstGeom>
                          <a:noFill/>
                          <a:ln>
                            <a:noFill/>
                          </a:ln>
                        </pic:spPr>
                      </pic:pic>
                    </a:graphicData>
                  </a:graphic>
                </wp:inline>
              </w:drawing>
            </w:r>
          </w:p>
          <w:p w14:paraId="3734D406">
            <w:pPr>
              <w:autoSpaceDE w:val="0"/>
              <w:autoSpaceDN w:val="0"/>
              <w:adjustRightInd w:val="0"/>
              <w:spacing w:line="360" w:lineRule="auto"/>
              <w:ind w:firstLine="422" w:firstLineChars="200"/>
              <w:jc w:val="center"/>
              <w:rPr>
                <w:rFonts w:ascii="Times New Roman" w:hAnsi="Times New Roman"/>
                <w:b/>
                <w:color w:val="auto"/>
                <w:kern w:val="0"/>
                <w:szCs w:val="21"/>
              </w:rPr>
            </w:pPr>
          </w:p>
          <w:p w14:paraId="6FEC9C0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b/>
                <w:color w:val="auto"/>
                <w:sz w:val="21"/>
                <w:szCs w:val="21"/>
                <w:highlight w:val="none"/>
                <w:lang w:val="en-US"/>
              </w:rPr>
            </w:pPr>
            <w:r>
              <w:rPr>
                <w:rFonts w:ascii="Times New Roman" w:hAnsi="Times New Roman"/>
                <w:b/>
                <w:color w:val="auto"/>
                <w:sz w:val="21"/>
                <w:szCs w:val="21"/>
                <w:highlight w:val="none"/>
                <w:lang w:val="en-US"/>
              </w:rPr>
              <w:t>表4-</w:t>
            </w:r>
            <w:r>
              <w:rPr>
                <w:rFonts w:hint="eastAsia" w:ascii="Times New Roman" w:hAnsi="Times New Roman"/>
                <w:b/>
                <w:color w:val="auto"/>
                <w:sz w:val="21"/>
                <w:szCs w:val="21"/>
                <w:highlight w:val="none"/>
                <w:lang w:val="en-US" w:eastAsia="zh-CN"/>
              </w:rPr>
              <w:t xml:space="preserve">9 </w:t>
            </w:r>
            <w:r>
              <w:rPr>
                <w:rFonts w:ascii="Times New Roman" w:hAnsi="Times New Roman"/>
                <w:b/>
                <w:color w:val="auto"/>
                <w:sz w:val="21"/>
                <w:szCs w:val="21"/>
                <w:highlight w:val="none"/>
                <w:lang w:val="en-US"/>
              </w:rPr>
              <w:t xml:space="preserve"> 工程占地生物量损失表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359"/>
              <w:gridCol w:w="1605"/>
              <w:gridCol w:w="2124"/>
              <w:gridCol w:w="1635"/>
            </w:tblGrid>
            <w:tr w14:paraId="70F8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noWrap w:val="0"/>
                  <w:vAlign w:val="center"/>
                </w:tcPr>
                <w:p w14:paraId="572EF7C8">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地区</w:t>
                  </w:r>
                </w:p>
              </w:tc>
              <w:tc>
                <w:tcPr>
                  <w:tcW w:w="1359" w:type="dxa"/>
                  <w:noWrap w:val="0"/>
                  <w:vAlign w:val="center"/>
                </w:tcPr>
                <w:p w14:paraId="1C367EE9">
                  <w:pPr>
                    <w:autoSpaceDE w:val="0"/>
                    <w:autoSpaceDN w:val="0"/>
                    <w:adjustRightInd w:val="0"/>
                    <w:jc w:val="center"/>
                    <w:rPr>
                      <w:rFonts w:ascii="Times New Roman" w:hAnsi="Times New Roman"/>
                      <w:color w:val="auto"/>
                      <w:kern w:val="0"/>
                      <w:szCs w:val="21"/>
                    </w:rPr>
                  </w:pPr>
                  <w:r>
                    <w:rPr>
                      <w:rFonts w:hint="eastAsia" w:ascii="Times New Roman" w:hAnsi="Times New Roman"/>
                      <w:color w:val="auto"/>
                      <w:kern w:val="0"/>
                      <w:szCs w:val="21"/>
                    </w:rPr>
                    <w:t>用地</w:t>
                  </w:r>
                  <w:r>
                    <w:rPr>
                      <w:rFonts w:ascii="Times New Roman" w:hAnsi="Times New Roman"/>
                      <w:color w:val="auto"/>
                      <w:kern w:val="0"/>
                      <w:szCs w:val="21"/>
                    </w:rPr>
                    <w:t>类型</w:t>
                  </w:r>
                </w:p>
              </w:tc>
              <w:tc>
                <w:tcPr>
                  <w:tcW w:w="1605" w:type="dxa"/>
                  <w:noWrap w:val="0"/>
                  <w:vAlign w:val="center"/>
                </w:tcPr>
                <w:p w14:paraId="1A5FC16B">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占地面积（ha）</w:t>
                  </w:r>
                </w:p>
              </w:tc>
              <w:tc>
                <w:tcPr>
                  <w:tcW w:w="2124" w:type="dxa"/>
                  <w:noWrap w:val="0"/>
                  <w:vAlign w:val="center"/>
                </w:tcPr>
                <w:p w14:paraId="22DD2B42">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单位面积生物量（t/ha）</w:t>
                  </w:r>
                </w:p>
              </w:tc>
              <w:tc>
                <w:tcPr>
                  <w:tcW w:w="1635" w:type="dxa"/>
                  <w:noWrap w:val="0"/>
                  <w:vAlign w:val="center"/>
                </w:tcPr>
                <w:p w14:paraId="4854B182">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损失量（t）</w:t>
                  </w:r>
                </w:p>
              </w:tc>
            </w:tr>
            <w:tr w14:paraId="1960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noWrap w:val="0"/>
                  <w:vAlign w:val="center"/>
                </w:tcPr>
                <w:p w14:paraId="0D388DC4">
                  <w:pPr>
                    <w:autoSpaceDE w:val="0"/>
                    <w:autoSpaceDN w:val="0"/>
                    <w:adjustRightInd w:val="0"/>
                    <w:jc w:val="center"/>
                    <w:rPr>
                      <w:rFonts w:ascii="Times New Roman" w:hAnsi="Times New Roman"/>
                      <w:color w:val="auto"/>
                      <w:kern w:val="0"/>
                      <w:szCs w:val="21"/>
                    </w:rPr>
                  </w:pPr>
                  <w:r>
                    <w:rPr>
                      <w:rFonts w:hint="eastAsia" w:ascii="Times New Roman" w:hAnsi="Times New Roman"/>
                      <w:color w:val="auto"/>
                      <w:kern w:val="0"/>
                      <w:szCs w:val="21"/>
                      <w:lang w:val="en-US" w:eastAsia="zh-CN"/>
                    </w:rPr>
                    <w:t>3</w:t>
                  </w:r>
                  <w:r>
                    <w:rPr>
                      <w:rFonts w:ascii="Times New Roman" w:hAnsi="Times New Roman"/>
                      <w:color w:val="auto"/>
                      <w:kern w:val="0"/>
                      <w:szCs w:val="21"/>
                    </w:rPr>
                    <w:t>个井场</w:t>
                  </w:r>
                </w:p>
              </w:tc>
              <w:tc>
                <w:tcPr>
                  <w:tcW w:w="1359" w:type="dxa"/>
                  <w:noWrap w:val="0"/>
                  <w:vAlign w:val="center"/>
                </w:tcPr>
                <w:p w14:paraId="65DC39A3">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农用地</w:t>
                  </w:r>
                </w:p>
              </w:tc>
              <w:tc>
                <w:tcPr>
                  <w:tcW w:w="1605" w:type="dxa"/>
                  <w:noWrap w:val="0"/>
                  <w:vAlign w:val="center"/>
                </w:tcPr>
                <w:p w14:paraId="009CCF77">
                  <w:pPr>
                    <w:autoSpaceDE w:val="0"/>
                    <w:autoSpaceDN w:val="0"/>
                    <w:adjustRightInd w:val="0"/>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0.1797</w:t>
                  </w:r>
                </w:p>
              </w:tc>
              <w:tc>
                <w:tcPr>
                  <w:tcW w:w="2124" w:type="dxa"/>
                  <w:noWrap w:val="0"/>
                  <w:vAlign w:val="center"/>
                </w:tcPr>
                <w:p w14:paraId="2746A198">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14.6</w:t>
                  </w:r>
                </w:p>
              </w:tc>
              <w:tc>
                <w:tcPr>
                  <w:tcW w:w="1635" w:type="dxa"/>
                  <w:noWrap w:val="0"/>
                  <w:vAlign w:val="center"/>
                </w:tcPr>
                <w:p w14:paraId="5ECF3162">
                  <w:pPr>
                    <w:autoSpaceDE w:val="0"/>
                    <w:autoSpaceDN w:val="0"/>
                    <w:adjustRightInd w:val="0"/>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2.62362</w:t>
                  </w:r>
                </w:p>
              </w:tc>
            </w:tr>
            <w:tr w14:paraId="653B0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6" w:type="dxa"/>
                  <w:gridSpan w:val="2"/>
                  <w:noWrap w:val="0"/>
                  <w:vAlign w:val="center"/>
                </w:tcPr>
                <w:p w14:paraId="118831D2">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合计</w:t>
                  </w:r>
                </w:p>
              </w:tc>
              <w:tc>
                <w:tcPr>
                  <w:tcW w:w="1605" w:type="dxa"/>
                  <w:noWrap w:val="0"/>
                  <w:vAlign w:val="center"/>
                </w:tcPr>
                <w:p w14:paraId="4B05538E">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w:t>
                  </w:r>
                </w:p>
              </w:tc>
              <w:tc>
                <w:tcPr>
                  <w:tcW w:w="2124" w:type="dxa"/>
                  <w:noWrap w:val="0"/>
                  <w:vAlign w:val="center"/>
                </w:tcPr>
                <w:p w14:paraId="494E2561">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w:t>
                  </w:r>
                </w:p>
              </w:tc>
              <w:tc>
                <w:tcPr>
                  <w:tcW w:w="1635" w:type="dxa"/>
                  <w:noWrap w:val="0"/>
                  <w:vAlign w:val="center"/>
                </w:tcPr>
                <w:p w14:paraId="6B67E41D">
                  <w:pPr>
                    <w:autoSpaceDE w:val="0"/>
                    <w:autoSpaceDN w:val="0"/>
                    <w:adjustRightInd w:val="0"/>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2.62362</w:t>
                  </w:r>
                </w:p>
              </w:tc>
            </w:tr>
          </w:tbl>
          <w:p w14:paraId="5295B57D">
            <w:pPr>
              <w:autoSpaceDE w:val="0"/>
              <w:autoSpaceDN w:val="0"/>
              <w:spacing w:line="360" w:lineRule="auto"/>
              <w:rPr>
                <w:rFonts w:ascii="Times New Roman" w:hAnsi="Times New Roman"/>
                <w:color w:val="auto"/>
                <w:kern w:val="0"/>
                <w:szCs w:val="21"/>
              </w:rPr>
            </w:pPr>
            <w:r>
              <w:rPr>
                <w:rFonts w:ascii="Times New Roman" w:hAnsi="Times New Roman"/>
                <w:color w:val="auto"/>
                <w:kern w:val="0"/>
                <w:szCs w:val="21"/>
              </w:rPr>
              <w:t>注：农用地生物量参照《冬小麦生物量和产量的AquaCrop模型预测》（2011年）。</w:t>
            </w:r>
          </w:p>
          <w:p w14:paraId="43CC7231">
            <w:pPr>
              <w:autoSpaceDE w:val="0"/>
              <w:autoSpaceDN w:val="0"/>
              <w:spacing w:line="360" w:lineRule="auto"/>
              <w:ind w:firstLine="480" w:firstLineChars="200"/>
              <w:rPr>
                <w:rFonts w:hint="eastAsia" w:ascii="Times New Roman" w:hAnsi="Times New Roman"/>
                <w:color w:val="auto"/>
                <w:kern w:val="0"/>
                <w:sz w:val="24"/>
              </w:rPr>
            </w:pPr>
            <w:r>
              <w:rPr>
                <w:rFonts w:ascii="Times New Roman" w:hAnsi="Times New Roman"/>
                <w:color w:val="auto"/>
                <w:kern w:val="0"/>
                <w:sz w:val="24"/>
              </w:rPr>
              <w:t>由上表分析可知，施工期项目工程占地导致植物生物量损失约</w:t>
            </w:r>
            <w:r>
              <w:rPr>
                <w:rFonts w:hint="eastAsia" w:ascii="Times New Roman" w:hAnsi="Times New Roman"/>
                <w:color w:val="auto"/>
                <w:kern w:val="0"/>
                <w:sz w:val="24"/>
              </w:rPr>
              <w:t>3</w:t>
            </w:r>
            <w:r>
              <w:rPr>
                <w:rFonts w:hint="eastAsia" w:ascii="Times New Roman" w:hAnsi="Times New Roman"/>
                <w:color w:val="auto"/>
                <w:kern w:val="0"/>
                <w:sz w:val="24"/>
                <w:lang w:val="en-US" w:eastAsia="zh-CN"/>
              </w:rPr>
              <w:t>0.35</w:t>
            </w:r>
            <w:r>
              <w:rPr>
                <w:rFonts w:ascii="Times New Roman" w:hAnsi="Times New Roman"/>
                <w:color w:val="auto"/>
                <w:kern w:val="0"/>
                <w:sz w:val="24"/>
              </w:rPr>
              <w:t>t。本项目占地对项目区植被生物量的影响主要表现为农用地生物量损失。</w:t>
            </w:r>
          </w:p>
          <w:p w14:paraId="50C5ADB5">
            <w:pPr>
              <w:autoSpaceDE w:val="0"/>
              <w:autoSpaceDN w:val="0"/>
              <w:spacing w:line="360" w:lineRule="auto"/>
              <w:ind w:firstLine="480" w:firstLineChars="200"/>
              <w:rPr>
                <w:rFonts w:ascii="Times New Roman" w:hAnsi="Times New Roman"/>
                <w:color w:val="auto"/>
                <w:kern w:val="0"/>
                <w:sz w:val="24"/>
                <w:lang w:bidi="ar"/>
              </w:rPr>
            </w:pPr>
            <w:r>
              <w:rPr>
                <w:rFonts w:ascii="Times New Roman" w:hAnsi="Times New Roman"/>
                <w:color w:val="auto"/>
                <w:kern w:val="0"/>
                <w:sz w:val="24"/>
                <w:lang w:bidi="ar"/>
              </w:rPr>
              <w:t>本工程要求对所占农田的耕作层土壤剥离层集中堆放加以保留，待施工结束后用于所占土地的复垦，这将在一定程度上减小对区域土壤生产力的影响。施工期加强管理，严格控制施工面积，采取降低施工噪声、定期洒水以降低扬尘量等措施，基本可以使施工作业对植物的影响控制在较小范围内。而且施工作业仅对沿线植物产生影响，随着施工作业的结束，此种影响也随之消失。所以，工程对评价区植物资源影响不大。</w:t>
            </w:r>
          </w:p>
          <w:p w14:paraId="2E5A6522">
            <w:pPr>
              <w:spacing w:line="360" w:lineRule="auto"/>
              <w:ind w:firstLine="484" w:firstLineChars="202"/>
              <w:rPr>
                <w:rFonts w:ascii="Times New Roman" w:hAnsi="Times New Roman"/>
                <w:bCs/>
                <w:color w:val="auto"/>
                <w:sz w:val="24"/>
                <w:highlight w:val="none"/>
              </w:rPr>
            </w:pPr>
            <w:r>
              <w:rPr>
                <w:rFonts w:ascii="宋体" w:hAnsi="宋体"/>
                <w:bCs/>
                <w:color w:val="auto"/>
                <w:sz w:val="24"/>
                <w:highlight w:val="none"/>
              </w:rPr>
              <w:t>②</w:t>
            </w:r>
            <w:r>
              <w:rPr>
                <w:rFonts w:ascii="Times New Roman" w:hAnsi="宋体"/>
                <w:bCs/>
                <w:color w:val="auto"/>
                <w:sz w:val="24"/>
                <w:highlight w:val="none"/>
              </w:rPr>
              <w:t>对土壤的影响</w:t>
            </w:r>
          </w:p>
          <w:p w14:paraId="698BA38E">
            <w:pPr>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工程对土壤的影响主要有两方面，一是工程排放的污染物对土壤质地性状的影响；二是工程建设期的开挖对土壤结构的破坏。对场地平整产生的剥离表层土应独立集中临时堆放，钻井结束后用于场地复垦回填用土。表层土堆放区应设置截、排水沟等严格的水保措施防止水土流失。通过对井场内排水沟、地表硬化处理和各池体采取防腐防渗处理，钻井废水和钻井泥浆对土壤影响很小，散落的废水和钻井泥浆对井场内小部分区域的土壤产生较严重破坏，但影响范围有限；井场地面采用钢板敷设，有效保护占地原表层土壤。对于被占地农户进行补偿，根据耕地不同作物的市场价格，与损失方协商后进行经济补偿。对于临时占地，钻井工程施工结束后，拆除临时设施，由建设方给予被占地农民经济补偿，委托其恢复地表植被或作物。随着工程施工的结束，生态保护和临时占地的植被恢复措施的进行，有效的保护和恢复措施能保证工程对井场周围的土壤和农作物的影响得到尽快的恢复。通过上述措施，本项目建设对项目所在地土壤环境影响在当地环境可接受范围内。</w:t>
            </w:r>
          </w:p>
          <w:p w14:paraId="68A8E33A">
            <w:pPr>
              <w:spacing w:line="360" w:lineRule="auto"/>
              <w:ind w:firstLine="484" w:firstLineChars="202"/>
              <w:rPr>
                <w:rFonts w:ascii="Times New Roman" w:hAnsi="Times New Roman"/>
                <w:bCs/>
                <w:color w:val="auto"/>
                <w:sz w:val="24"/>
                <w:highlight w:val="none"/>
              </w:rPr>
            </w:pPr>
            <w:r>
              <w:rPr>
                <w:rFonts w:ascii="Times New Roman" w:hAnsi="Times New Roman"/>
                <w:bCs/>
                <w:color w:val="auto"/>
                <w:sz w:val="24"/>
                <w:highlight w:val="none"/>
              </w:rPr>
              <w:t>（</w:t>
            </w:r>
            <w:r>
              <w:rPr>
                <w:rFonts w:hint="eastAsia" w:ascii="Times New Roman" w:hAnsi="Times New Roman"/>
                <w:bCs/>
                <w:color w:val="auto"/>
                <w:sz w:val="24"/>
                <w:highlight w:val="none"/>
              </w:rPr>
              <w:t>4</w:t>
            </w:r>
            <w:r>
              <w:rPr>
                <w:rFonts w:ascii="Times New Roman" w:hAnsi="Times New Roman"/>
                <w:bCs/>
                <w:color w:val="auto"/>
                <w:sz w:val="24"/>
                <w:highlight w:val="none"/>
              </w:rPr>
              <w:t>）对野生动物影响分析</w:t>
            </w:r>
          </w:p>
          <w:p w14:paraId="37BCAA4F">
            <w:pPr>
              <w:spacing w:line="360" w:lineRule="auto"/>
              <w:ind w:firstLine="484" w:firstLineChars="202"/>
              <w:rPr>
                <w:rFonts w:ascii="Times New Roman" w:hAnsi="Times New Roman"/>
                <w:bCs/>
                <w:color w:val="auto"/>
                <w:sz w:val="24"/>
                <w:highlight w:val="none"/>
              </w:rPr>
            </w:pPr>
            <w:r>
              <w:rPr>
                <w:rFonts w:ascii="Times New Roman" w:hAnsi="Times New Roman"/>
                <w:bCs/>
                <w:color w:val="auto"/>
                <w:sz w:val="24"/>
                <w:highlight w:val="none"/>
              </w:rPr>
              <w:t>拟建项目在施工过程中对野生动物的影响主要表现为工作人员的施工活动对动物栖息地生境的干扰和破坏；施工机械噪声对动物的干扰；会惊吓干扰植被中生活的某些野生动物。由于上述原因的影响，大部分两栖类和兽类迁移它处，远离项目区范围；一部分鸟类和爬行类动物会通过迁移和飞翔来避免项目采掘面下方结构层施工所造成的影响，导致项目区周围环境的动物数量有所减少，但是距离项目区较远的区域中被影响驱赶的动物会相对集中而重新分布，因此本项目对动物种类多样性和种群数量不会产生大的影响，更不会导致动物多样性降低。在工程完工后项目区施工噪声等影响减弱后又会回到原来比较适宜生存和活动的地域。总体上本项目对周围的野生动物有一定的干扰，但是对其生存及种群数量、种类影响很小。</w:t>
            </w:r>
          </w:p>
          <w:p w14:paraId="4E594D85">
            <w:pPr>
              <w:spacing w:line="360" w:lineRule="auto"/>
              <w:ind w:firstLine="484" w:firstLineChars="202"/>
              <w:rPr>
                <w:rFonts w:ascii="Times New Roman" w:hAnsi="Times New Roman"/>
                <w:bCs/>
                <w:color w:val="auto"/>
                <w:sz w:val="24"/>
                <w:highlight w:val="none"/>
              </w:rPr>
            </w:pPr>
            <w:r>
              <w:rPr>
                <w:rFonts w:ascii="Times New Roman" w:hAnsi="Times New Roman"/>
                <w:bCs/>
                <w:color w:val="auto"/>
                <w:sz w:val="24"/>
                <w:highlight w:val="none"/>
              </w:rPr>
              <w:t>此外，施工过程施工区的各种生产活动直接或间接干扰和破坏生态环境，降低地表植被覆盖度，使该区域内野生动物失去部分觅食地、栖息地和活动区域，迫使野生动物向周围迁移，对野生动物的生境产生一定的影响。加之施工吸纳外来人口，使对野生动物的人为干扰增多，造成区域动物种群数量减少。</w:t>
            </w:r>
          </w:p>
          <w:p w14:paraId="67A36771">
            <w:pPr>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w:t>
            </w:r>
            <w:r>
              <w:rPr>
                <w:rFonts w:hint="eastAsia" w:ascii="Times New Roman" w:hAnsi="Times New Roman"/>
                <w:bCs/>
                <w:color w:val="auto"/>
                <w:sz w:val="24"/>
                <w:highlight w:val="none"/>
              </w:rPr>
              <w:t>5</w:t>
            </w:r>
            <w:r>
              <w:rPr>
                <w:rFonts w:ascii="Times New Roman" w:hAnsi="Times New Roman"/>
                <w:bCs/>
                <w:color w:val="auto"/>
                <w:sz w:val="24"/>
                <w:highlight w:val="none"/>
              </w:rPr>
              <w:t>）土地利用格局变化</w:t>
            </w:r>
          </w:p>
          <w:p w14:paraId="4FE3E9DD">
            <w:pPr>
              <w:spacing w:line="360" w:lineRule="auto"/>
              <w:rPr>
                <w:rFonts w:ascii="Times New Roman" w:hAnsi="Times New Roman"/>
                <w:bCs/>
                <w:color w:val="auto"/>
                <w:sz w:val="24"/>
                <w:highlight w:val="none"/>
              </w:rPr>
            </w:pPr>
            <w:r>
              <w:rPr>
                <w:rFonts w:ascii="Times New Roman" w:hAnsi="Times New Roman"/>
                <w:bCs/>
                <w:sz w:val="24"/>
              </w:rPr>
              <w:t>施工区土地利用类型主要为</w:t>
            </w:r>
            <w:r>
              <w:rPr>
                <w:rFonts w:hint="eastAsia" w:ascii="Times New Roman" w:hAnsi="Times New Roman"/>
                <w:bCs/>
                <w:sz w:val="24"/>
                <w:lang w:val="en-US" w:eastAsia="zh-CN"/>
              </w:rPr>
              <w:t>农用</w:t>
            </w:r>
            <w:r>
              <w:rPr>
                <w:rFonts w:ascii="Times New Roman" w:hAnsi="Times New Roman"/>
                <w:bCs/>
                <w:sz w:val="24"/>
              </w:rPr>
              <w:t>地，</w:t>
            </w:r>
            <w:r>
              <w:rPr>
                <w:rFonts w:ascii="Times New Roman" w:hAnsi="Times New Roman"/>
                <w:bCs/>
                <w:color w:val="auto"/>
                <w:sz w:val="24"/>
                <w:highlight w:val="none"/>
              </w:rPr>
              <w:t>均为临时土地，在施工期工作完毕后可在短时间内</w:t>
            </w:r>
            <w:r>
              <w:rPr>
                <w:rFonts w:hint="eastAsia" w:ascii="Times New Roman" w:hAnsi="Times New Roman"/>
                <w:bCs/>
                <w:color w:val="auto"/>
                <w:sz w:val="24"/>
                <w:highlight w:val="none"/>
              </w:rPr>
              <w:t>进行</w:t>
            </w:r>
            <w:r>
              <w:rPr>
                <w:rFonts w:ascii="Times New Roman" w:hAnsi="Times New Roman"/>
                <w:bCs/>
                <w:color w:val="auto"/>
                <w:sz w:val="24"/>
                <w:highlight w:val="none"/>
              </w:rPr>
              <w:t>复垦。因此，工程对土地利用格局产生的影响甚微。</w:t>
            </w:r>
          </w:p>
          <w:p w14:paraId="25559DF5">
            <w:pPr>
              <w:spacing w:line="360" w:lineRule="auto"/>
              <w:rPr>
                <w:rFonts w:ascii="Times New Roman" w:hAnsi="Times New Roman"/>
                <w:color w:val="auto"/>
                <w:sz w:val="24"/>
              </w:rPr>
            </w:pPr>
            <w:r>
              <w:rPr>
                <w:rFonts w:ascii="Times New Roman" w:hAnsi="Times New Roman"/>
                <w:b/>
                <w:bCs/>
                <w:color w:val="auto"/>
                <w:kern w:val="0"/>
                <w:sz w:val="24"/>
                <w:lang w:bidi="ar"/>
              </w:rPr>
              <w:t>9、</w:t>
            </w:r>
            <w:r>
              <w:rPr>
                <w:rFonts w:ascii="Times New Roman" w:hAnsi="Times New Roman"/>
                <w:b/>
                <w:color w:val="auto"/>
                <w:sz w:val="24"/>
              </w:rPr>
              <w:t>环境风险分析</w:t>
            </w:r>
          </w:p>
          <w:p w14:paraId="547E4BBF">
            <w:pPr>
              <w:spacing w:line="360" w:lineRule="auto"/>
              <w:ind w:firstLine="542" w:firstLineChars="226"/>
              <w:rPr>
                <w:rFonts w:ascii="Times New Roman" w:hAnsi="Times New Roman"/>
                <w:color w:val="auto"/>
                <w:sz w:val="24"/>
                <w:highlight w:val="none"/>
              </w:rPr>
            </w:pPr>
            <w:r>
              <w:rPr>
                <w:rFonts w:hint="eastAsia" w:ascii="Times New Roman" w:hAnsi="Times New Roman"/>
                <w:color w:val="auto"/>
                <w:sz w:val="24"/>
                <w:highlight w:val="none"/>
              </w:rPr>
              <w:t>环境风险评价是分析和预测项目存在的潜在危险、有害因素，项目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716F2A4F">
            <w:pPr>
              <w:spacing w:line="360" w:lineRule="auto"/>
              <w:ind w:firstLine="542" w:firstLineChars="226"/>
              <w:rPr>
                <w:rFonts w:ascii="Times New Roman" w:hAnsi="Times New Roman"/>
                <w:color w:val="auto"/>
                <w:sz w:val="24"/>
                <w:highlight w:val="none"/>
              </w:rPr>
            </w:pPr>
            <w:r>
              <w:rPr>
                <w:rFonts w:hint="eastAsia" w:ascii="Times New Roman" w:hAnsi="Times New Roman"/>
                <w:color w:val="auto"/>
                <w:sz w:val="24"/>
                <w:highlight w:val="none"/>
              </w:rPr>
              <w:t>拟建项目使用的原辅材料主要为粘土、水泥、纤维素、腐殖酸等，项目涉及的环境风险物质为设备维修产生的废润滑油，其储存情况见下表</w:t>
            </w:r>
          </w:p>
          <w:p w14:paraId="7D94E3A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b/>
                <w:color w:val="auto"/>
                <w:sz w:val="21"/>
                <w:szCs w:val="21"/>
                <w:highlight w:val="none"/>
                <w:lang w:val="en-US"/>
              </w:rPr>
            </w:pPr>
            <w:r>
              <w:rPr>
                <w:rFonts w:ascii="Times New Roman" w:hAnsi="Times New Roman"/>
                <w:b/>
                <w:color w:val="auto"/>
                <w:sz w:val="21"/>
                <w:szCs w:val="21"/>
                <w:highlight w:val="none"/>
                <w:lang w:val="en-US"/>
              </w:rPr>
              <w:t>表4-</w:t>
            </w:r>
            <w:r>
              <w:rPr>
                <w:rFonts w:hint="eastAsia" w:ascii="Times New Roman" w:hAnsi="Times New Roman"/>
                <w:b/>
                <w:color w:val="auto"/>
                <w:sz w:val="21"/>
                <w:szCs w:val="21"/>
                <w:highlight w:val="none"/>
                <w:lang w:val="en-US" w:eastAsia="zh-CN"/>
              </w:rPr>
              <w:t xml:space="preserve">10  </w:t>
            </w:r>
            <w:r>
              <w:rPr>
                <w:rFonts w:ascii="Times New Roman" w:hAnsi="Times New Roman"/>
                <w:b/>
                <w:color w:val="auto"/>
                <w:sz w:val="21"/>
                <w:szCs w:val="21"/>
                <w:highlight w:val="none"/>
                <w:lang w:val="en-US"/>
              </w:rPr>
              <w:t>本项目化学危险物质在线量及贮存量表</w:t>
            </w:r>
          </w:p>
          <w:tbl>
            <w:tblPr>
              <w:tblStyle w:val="20"/>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079"/>
              <w:gridCol w:w="1508"/>
              <w:gridCol w:w="907"/>
              <w:gridCol w:w="1508"/>
              <w:gridCol w:w="893"/>
              <w:gridCol w:w="1510"/>
            </w:tblGrid>
            <w:tr w14:paraId="13FA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noWrap/>
                  <w:vAlign w:val="center"/>
                </w:tcPr>
                <w:p w14:paraId="50861FF2">
                  <w:pPr>
                    <w:jc w:val="center"/>
                    <w:rPr>
                      <w:rFonts w:ascii="Times New Roman" w:hAnsi="Times New Roman"/>
                      <w:color w:val="auto"/>
                      <w:szCs w:val="21"/>
                      <w:highlight w:val="none"/>
                    </w:rPr>
                  </w:pPr>
                  <w:r>
                    <w:rPr>
                      <w:rFonts w:ascii="Times New Roman" w:hAnsi="Times New Roman"/>
                      <w:color w:val="auto"/>
                      <w:szCs w:val="21"/>
                      <w:highlight w:val="none"/>
                    </w:rPr>
                    <w:t>序号</w:t>
                  </w:r>
                </w:p>
              </w:tc>
              <w:tc>
                <w:tcPr>
                  <w:tcW w:w="669" w:type="pct"/>
                  <w:noWrap/>
                  <w:vAlign w:val="center"/>
                </w:tcPr>
                <w:p w14:paraId="7AF8F470">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井场编号</w:t>
                  </w:r>
                </w:p>
              </w:tc>
              <w:tc>
                <w:tcPr>
                  <w:tcW w:w="936" w:type="pct"/>
                  <w:noWrap/>
                  <w:vAlign w:val="center"/>
                </w:tcPr>
                <w:p w14:paraId="35661221">
                  <w:pPr>
                    <w:jc w:val="center"/>
                    <w:rPr>
                      <w:rFonts w:ascii="Times New Roman" w:hAnsi="Times New Roman"/>
                      <w:color w:val="auto"/>
                      <w:szCs w:val="21"/>
                      <w:highlight w:val="none"/>
                    </w:rPr>
                  </w:pPr>
                  <w:r>
                    <w:rPr>
                      <w:rFonts w:ascii="Times New Roman" w:hAnsi="Times New Roman"/>
                      <w:color w:val="auto"/>
                      <w:szCs w:val="21"/>
                      <w:highlight w:val="none"/>
                    </w:rPr>
                    <w:t>危险物质名称</w:t>
                  </w:r>
                </w:p>
              </w:tc>
              <w:tc>
                <w:tcPr>
                  <w:tcW w:w="563" w:type="pct"/>
                  <w:noWrap/>
                  <w:vAlign w:val="center"/>
                </w:tcPr>
                <w:p w14:paraId="5D2177F9">
                  <w:pPr>
                    <w:jc w:val="center"/>
                    <w:rPr>
                      <w:rFonts w:ascii="Times New Roman" w:hAnsi="Times New Roman"/>
                      <w:color w:val="auto"/>
                      <w:szCs w:val="21"/>
                      <w:highlight w:val="none"/>
                    </w:rPr>
                  </w:pPr>
                  <w:r>
                    <w:rPr>
                      <w:rFonts w:ascii="Times New Roman" w:hAnsi="Times New Roman"/>
                      <w:color w:val="auto"/>
                      <w:szCs w:val="21"/>
                      <w:highlight w:val="none"/>
                    </w:rPr>
                    <w:t>CAS号</w:t>
                  </w:r>
                </w:p>
              </w:tc>
              <w:tc>
                <w:tcPr>
                  <w:tcW w:w="936" w:type="pct"/>
                  <w:noWrap/>
                  <w:vAlign w:val="center"/>
                </w:tcPr>
                <w:p w14:paraId="0F0B18C3">
                  <w:pPr>
                    <w:jc w:val="center"/>
                    <w:rPr>
                      <w:rFonts w:ascii="Times New Roman" w:hAnsi="Times New Roman"/>
                      <w:color w:val="auto"/>
                      <w:szCs w:val="21"/>
                      <w:highlight w:val="none"/>
                    </w:rPr>
                  </w:pPr>
                  <w:r>
                    <w:rPr>
                      <w:rFonts w:ascii="Times New Roman" w:hAnsi="Times New Roman"/>
                      <w:color w:val="auto"/>
                      <w:szCs w:val="21"/>
                      <w:highlight w:val="none"/>
                    </w:rPr>
                    <w:t>最大存在总量</w:t>
                  </w:r>
                </w:p>
                <w:p w14:paraId="4DA2309C">
                  <w:pPr>
                    <w:jc w:val="center"/>
                    <w:rPr>
                      <w:rFonts w:ascii="Times New Roman" w:hAnsi="Times New Roman"/>
                      <w:color w:val="auto"/>
                      <w:szCs w:val="21"/>
                      <w:highlight w:val="none"/>
                    </w:rPr>
                  </w:pPr>
                  <w:r>
                    <w:rPr>
                      <w:rFonts w:ascii="Times New Roman" w:hAnsi="Times New Roman"/>
                      <w:color w:val="auto"/>
                      <w:szCs w:val="21"/>
                      <w:highlight w:val="none"/>
                    </w:rPr>
                    <w:t>qn/t</w:t>
                  </w:r>
                </w:p>
              </w:tc>
              <w:tc>
                <w:tcPr>
                  <w:tcW w:w="554" w:type="pct"/>
                  <w:noWrap/>
                  <w:vAlign w:val="center"/>
                </w:tcPr>
                <w:p w14:paraId="1F1AAB33">
                  <w:pPr>
                    <w:jc w:val="center"/>
                    <w:rPr>
                      <w:rFonts w:ascii="Times New Roman" w:hAnsi="Times New Roman"/>
                      <w:color w:val="auto"/>
                      <w:szCs w:val="21"/>
                      <w:highlight w:val="none"/>
                    </w:rPr>
                  </w:pPr>
                  <w:r>
                    <w:rPr>
                      <w:rFonts w:ascii="Times New Roman" w:hAnsi="Times New Roman"/>
                      <w:color w:val="auto"/>
                      <w:szCs w:val="21"/>
                      <w:highlight w:val="none"/>
                    </w:rPr>
                    <w:t>临界量</w:t>
                  </w:r>
                </w:p>
                <w:p w14:paraId="7ECF6433">
                  <w:pPr>
                    <w:jc w:val="center"/>
                    <w:rPr>
                      <w:rFonts w:ascii="Times New Roman" w:hAnsi="Times New Roman"/>
                      <w:color w:val="auto"/>
                      <w:szCs w:val="21"/>
                      <w:highlight w:val="none"/>
                    </w:rPr>
                  </w:pPr>
                  <w:r>
                    <w:rPr>
                      <w:rFonts w:ascii="Times New Roman" w:hAnsi="Times New Roman"/>
                      <w:color w:val="auto"/>
                      <w:szCs w:val="21"/>
                      <w:highlight w:val="none"/>
                    </w:rPr>
                    <w:t>Qn/t</w:t>
                  </w:r>
                </w:p>
              </w:tc>
              <w:tc>
                <w:tcPr>
                  <w:tcW w:w="937" w:type="pct"/>
                  <w:noWrap/>
                  <w:vAlign w:val="center"/>
                </w:tcPr>
                <w:p w14:paraId="78624195">
                  <w:pPr>
                    <w:jc w:val="center"/>
                    <w:rPr>
                      <w:rFonts w:ascii="Times New Roman" w:hAnsi="Times New Roman"/>
                      <w:color w:val="auto"/>
                      <w:szCs w:val="21"/>
                      <w:highlight w:val="none"/>
                    </w:rPr>
                  </w:pPr>
                  <w:r>
                    <w:rPr>
                      <w:rFonts w:ascii="Times New Roman" w:hAnsi="Times New Roman"/>
                      <w:color w:val="auto"/>
                      <w:szCs w:val="21"/>
                      <w:highlight w:val="none"/>
                    </w:rPr>
                    <w:t>该种危险物质</w:t>
                  </w:r>
                </w:p>
                <w:p w14:paraId="255A714A">
                  <w:pPr>
                    <w:jc w:val="center"/>
                    <w:rPr>
                      <w:rFonts w:ascii="Times New Roman" w:hAnsi="Times New Roman"/>
                      <w:color w:val="auto"/>
                      <w:szCs w:val="21"/>
                      <w:highlight w:val="none"/>
                    </w:rPr>
                  </w:pPr>
                  <w:r>
                    <w:rPr>
                      <w:rFonts w:ascii="Times New Roman" w:hAnsi="Times New Roman"/>
                      <w:color w:val="auto"/>
                      <w:szCs w:val="21"/>
                      <w:highlight w:val="none"/>
                    </w:rPr>
                    <w:t>Q值</w:t>
                  </w:r>
                </w:p>
              </w:tc>
            </w:tr>
            <w:tr w14:paraId="31FF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noWrap/>
                  <w:vAlign w:val="center"/>
                </w:tcPr>
                <w:p w14:paraId="1E23F46D">
                  <w:pPr>
                    <w:jc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w:t>
                  </w:r>
                </w:p>
              </w:tc>
              <w:tc>
                <w:tcPr>
                  <w:tcW w:w="669" w:type="pct"/>
                  <w:noWrap/>
                  <w:vAlign w:val="center"/>
                </w:tcPr>
                <w:p w14:paraId="36C62BC3">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DG-1孔</w:t>
                  </w:r>
                </w:p>
              </w:tc>
              <w:tc>
                <w:tcPr>
                  <w:tcW w:w="936" w:type="pct"/>
                  <w:shd w:val="clear" w:color="auto" w:fill="auto"/>
                  <w:noWrap/>
                  <w:vAlign w:val="center"/>
                </w:tcPr>
                <w:p w14:paraId="3ABDB1DD">
                  <w:pPr>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Cs w:val="21"/>
                      <w:highlight w:val="none"/>
                    </w:rPr>
                    <w:t>废润滑油</w:t>
                  </w:r>
                </w:p>
              </w:tc>
              <w:tc>
                <w:tcPr>
                  <w:tcW w:w="563" w:type="pct"/>
                  <w:shd w:val="clear" w:color="auto" w:fill="auto"/>
                  <w:noWrap/>
                  <w:vAlign w:val="center"/>
                </w:tcPr>
                <w:p w14:paraId="62766D6B">
                  <w:pPr>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Cs w:val="21"/>
                      <w:highlight w:val="none"/>
                    </w:rPr>
                    <w:t>—</w:t>
                  </w:r>
                </w:p>
              </w:tc>
              <w:tc>
                <w:tcPr>
                  <w:tcW w:w="936" w:type="pct"/>
                  <w:shd w:val="clear" w:color="auto" w:fill="auto"/>
                  <w:noWrap/>
                  <w:vAlign w:val="center"/>
                </w:tcPr>
                <w:p w14:paraId="568F61C6">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bCs/>
                      <w:color w:val="auto"/>
                      <w:szCs w:val="21"/>
                      <w:highlight w:val="none"/>
                      <w:lang w:val="en-US" w:eastAsia="zh-CN"/>
                    </w:rPr>
                    <w:t>0.01</w:t>
                  </w:r>
                </w:p>
              </w:tc>
              <w:tc>
                <w:tcPr>
                  <w:tcW w:w="554" w:type="pct"/>
                  <w:shd w:val="clear" w:color="auto" w:fill="auto"/>
                  <w:noWrap/>
                  <w:vAlign w:val="center"/>
                </w:tcPr>
                <w:p w14:paraId="52254C00">
                  <w:pPr>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Cs w:val="21"/>
                      <w:highlight w:val="none"/>
                    </w:rPr>
                    <w:t>2500</w:t>
                  </w:r>
                </w:p>
              </w:tc>
              <w:tc>
                <w:tcPr>
                  <w:tcW w:w="937" w:type="pct"/>
                  <w:noWrap/>
                  <w:vAlign w:val="center"/>
                </w:tcPr>
                <w:p w14:paraId="3C955DD9">
                  <w:pPr>
                    <w:jc w:val="center"/>
                    <w:rPr>
                      <w:rFonts w:hint="eastAsia" w:ascii="Times New Roman" w:hAnsi="Times New Roman"/>
                      <w:color w:val="auto"/>
                      <w:szCs w:val="21"/>
                      <w:highlight w:val="none"/>
                      <w:lang w:eastAsia="zh-CN"/>
                    </w:rPr>
                  </w:pPr>
                  <w:r>
                    <w:rPr>
                      <w:rFonts w:hint="eastAsia" w:ascii="Times New Roman" w:hAnsi="Times New Roman"/>
                      <w:color w:val="auto"/>
                      <w:szCs w:val="21"/>
                      <w:highlight w:val="none"/>
                      <w:lang w:eastAsia="zh-CN"/>
                    </w:rPr>
                    <w:t>0.0000</w:t>
                  </w:r>
                  <w:r>
                    <w:rPr>
                      <w:rFonts w:hint="eastAsia" w:ascii="Times New Roman" w:hAnsi="Times New Roman"/>
                      <w:color w:val="auto"/>
                      <w:szCs w:val="21"/>
                      <w:highlight w:val="none"/>
                      <w:lang w:val="en-US" w:eastAsia="zh-CN"/>
                    </w:rPr>
                    <w:t>04</w:t>
                  </w:r>
                </w:p>
              </w:tc>
            </w:tr>
            <w:tr w14:paraId="6984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2" w:type="pct"/>
                  <w:gridSpan w:val="6"/>
                  <w:shd w:val="clear" w:color="auto" w:fill="auto"/>
                  <w:noWrap/>
                  <w:vAlign w:val="center"/>
                </w:tcPr>
                <w:p w14:paraId="4B6333EE">
                  <w:pPr>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Cs w:val="21"/>
                      <w:highlight w:val="none"/>
                    </w:rPr>
                    <w:t>项目Q值∑</w:t>
                  </w:r>
                </w:p>
              </w:tc>
              <w:tc>
                <w:tcPr>
                  <w:tcW w:w="937" w:type="pct"/>
                  <w:shd w:val="clear" w:color="auto" w:fill="auto"/>
                  <w:noWrap/>
                  <w:vAlign w:val="center"/>
                </w:tcPr>
                <w:p w14:paraId="59879C9C">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Cs w:val="21"/>
                      <w:highlight w:val="none"/>
                      <w:lang w:eastAsia="zh-CN"/>
                    </w:rPr>
                    <w:t>0.0000</w:t>
                  </w:r>
                  <w:r>
                    <w:rPr>
                      <w:rFonts w:hint="eastAsia" w:ascii="Times New Roman" w:hAnsi="Times New Roman"/>
                      <w:color w:val="auto"/>
                      <w:szCs w:val="21"/>
                      <w:highlight w:val="none"/>
                      <w:lang w:val="en-US" w:eastAsia="zh-CN"/>
                    </w:rPr>
                    <w:t>04</w:t>
                  </w:r>
                </w:p>
              </w:tc>
            </w:tr>
            <w:tr w14:paraId="1F316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noWrap/>
                  <w:vAlign w:val="center"/>
                </w:tcPr>
                <w:p w14:paraId="545E5909">
                  <w:pPr>
                    <w:jc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2</w:t>
                  </w:r>
                </w:p>
              </w:tc>
              <w:tc>
                <w:tcPr>
                  <w:tcW w:w="669" w:type="pct"/>
                  <w:noWrap/>
                  <w:vAlign w:val="center"/>
                </w:tcPr>
                <w:p w14:paraId="22F0D27E">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DG-2孔</w:t>
                  </w:r>
                </w:p>
              </w:tc>
              <w:tc>
                <w:tcPr>
                  <w:tcW w:w="936" w:type="pct"/>
                  <w:shd w:val="clear" w:color="auto" w:fill="auto"/>
                  <w:noWrap/>
                  <w:vAlign w:val="center"/>
                </w:tcPr>
                <w:p w14:paraId="21162C1A">
                  <w:pPr>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Cs w:val="21"/>
                      <w:highlight w:val="none"/>
                    </w:rPr>
                    <w:t>废润滑油</w:t>
                  </w:r>
                </w:p>
              </w:tc>
              <w:tc>
                <w:tcPr>
                  <w:tcW w:w="563" w:type="pct"/>
                  <w:shd w:val="clear" w:color="auto" w:fill="auto"/>
                  <w:noWrap/>
                  <w:vAlign w:val="center"/>
                </w:tcPr>
                <w:p w14:paraId="3CC0F7CA">
                  <w:pPr>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Cs w:val="21"/>
                      <w:highlight w:val="none"/>
                    </w:rPr>
                    <w:t>—</w:t>
                  </w:r>
                </w:p>
              </w:tc>
              <w:tc>
                <w:tcPr>
                  <w:tcW w:w="936" w:type="pct"/>
                  <w:shd w:val="clear" w:color="auto" w:fill="auto"/>
                  <w:noWrap/>
                  <w:vAlign w:val="center"/>
                </w:tcPr>
                <w:p w14:paraId="5C74F897">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bCs/>
                      <w:color w:val="auto"/>
                      <w:szCs w:val="21"/>
                      <w:highlight w:val="none"/>
                      <w:lang w:val="en-US" w:eastAsia="zh-CN"/>
                    </w:rPr>
                    <w:t>0.01</w:t>
                  </w:r>
                </w:p>
              </w:tc>
              <w:tc>
                <w:tcPr>
                  <w:tcW w:w="554" w:type="pct"/>
                  <w:shd w:val="clear" w:color="auto" w:fill="auto"/>
                  <w:noWrap/>
                  <w:vAlign w:val="center"/>
                </w:tcPr>
                <w:p w14:paraId="32AEB613">
                  <w:pPr>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Cs w:val="21"/>
                      <w:highlight w:val="none"/>
                    </w:rPr>
                    <w:t>2500</w:t>
                  </w:r>
                </w:p>
              </w:tc>
              <w:tc>
                <w:tcPr>
                  <w:tcW w:w="937" w:type="pct"/>
                  <w:noWrap/>
                  <w:vAlign w:val="center"/>
                </w:tcPr>
                <w:p w14:paraId="1B7E27D8">
                  <w:pPr>
                    <w:jc w:val="center"/>
                    <w:rPr>
                      <w:rFonts w:hint="eastAsia" w:ascii="Times New Roman" w:hAnsi="Times New Roman"/>
                      <w:color w:val="auto"/>
                      <w:szCs w:val="21"/>
                      <w:highlight w:val="none"/>
                      <w:lang w:eastAsia="zh-CN"/>
                    </w:rPr>
                  </w:pPr>
                  <w:r>
                    <w:rPr>
                      <w:rFonts w:hint="eastAsia" w:ascii="Times New Roman" w:hAnsi="Times New Roman"/>
                      <w:color w:val="auto"/>
                      <w:szCs w:val="21"/>
                      <w:highlight w:val="none"/>
                      <w:lang w:eastAsia="zh-CN"/>
                    </w:rPr>
                    <w:t>0.0000</w:t>
                  </w:r>
                  <w:r>
                    <w:rPr>
                      <w:rFonts w:hint="eastAsia" w:ascii="Times New Roman" w:hAnsi="Times New Roman"/>
                      <w:color w:val="auto"/>
                      <w:szCs w:val="21"/>
                      <w:highlight w:val="none"/>
                      <w:lang w:val="en-US" w:eastAsia="zh-CN"/>
                    </w:rPr>
                    <w:t>04</w:t>
                  </w:r>
                </w:p>
              </w:tc>
            </w:tr>
            <w:tr w14:paraId="3AF3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2" w:type="pct"/>
                  <w:gridSpan w:val="6"/>
                  <w:shd w:val="clear" w:color="auto" w:fill="auto"/>
                  <w:noWrap/>
                  <w:vAlign w:val="center"/>
                </w:tcPr>
                <w:p w14:paraId="039EA1D5">
                  <w:pPr>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Cs w:val="21"/>
                      <w:highlight w:val="none"/>
                    </w:rPr>
                    <w:t>项目Q值∑</w:t>
                  </w:r>
                </w:p>
              </w:tc>
              <w:tc>
                <w:tcPr>
                  <w:tcW w:w="937" w:type="pct"/>
                  <w:shd w:val="clear" w:color="auto" w:fill="auto"/>
                  <w:noWrap/>
                  <w:vAlign w:val="center"/>
                </w:tcPr>
                <w:p w14:paraId="3740A8EE">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Cs w:val="21"/>
                      <w:highlight w:val="none"/>
                      <w:lang w:eastAsia="zh-CN"/>
                    </w:rPr>
                    <w:t>0.0000</w:t>
                  </w:r>
                  <w:r>
                    <w:rPr>
                      <w:rFonts w:hint="eastAsia" w:ascii="Times New Roman" w:hAnsi="Times New Roman"/>
                      <w:color w:val="auto"/>
                      <w:szCs w:val="21"/>
                      <w:highlight w:val="none"/>
                      <w:lang w:val="en-US" w:eastAsia="zh-CN"/>
                    </w:rPr>
                    <w:t>04</w:t>
                  </w:r>
                </w:p>
              </w:tc>
            </w:tr>
            <w:tr w14:paraId="5C4D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2" w:type="pct"/>
                  <w:noWrap/>
                  <w:vAlign w:val="center"/>
                </w:tcPr>
                <w:p w14:paraId="7809F6BB">
                  <w:pPr>
                    <w:jc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3</w:t>
                  </w:r>
                </w:p>
              </w:tc>
              <w:tc>
                <w:tcPr>
                  <w:tcW w:w="669" w:type="pct"/>
                  <w:noWrap/>
                  <w:vAlign w:val="center"/>
                </w:tcPr>
                <w:p w14:paraId="2BE971F5">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DG-3孔</w:t>
                  </w:r>
                </w:p>
              </w:tc>
              <w:tc>
                <w:tcPr>
                  <w:tcW w:w="936" w:type="pct"/>
                  <w:shd w:val="clear" w:color="auto" w:fill="auto"/>
                  <w:noWrap/>
                  <w:vAlign w:val="center"/>
                </w:tcPr>
                <w:p w14:paraId="62690192">
                  <w:pPr>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Cs w:val="21"/>
                      <w:highlight w:val="none"/>
                    </w:rPr>
                    <w:t>废润滑油</w:t>
                  </w:r>
                </w:p>
              </w:tc>
              <w:tc>
                <w:tcPr>
                  <w:tcW w:w="563" w:type="pct"/>
                  <w:shd w:val="clear" w:color="auto" w:fill="auto"/>
                  <w:noWrap/>
                  <w:vAlign w:val="center"/>
                </w:tcPr>
                <w:p w14:paraId="354D68C1">
                  <w:pPr>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Cs w:val="21"/>
                      <w:highlight w:val="none"/>
                    </w:rPr>
                    <w:t>—</w:t>
                  </w:r>
                </w:p>
              </w:tc>
              <w:tc>
                <w:tcPr>
                  <w:tcW w:w="936" w:type="pct"/>
                  <w:shd w:val="clear" w:color="auto" w:fill="auto"/>
                  <w:noWrap/>
                  <w:vAlign w:val="center"/>
                </w:tcPr>
                <w:p w14:paraId="6AD349DF">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bCs/>
                      <w:color w:val="auto"/>
                      <w:szCs w:val="21"/>
                      <w:highlight w:val="none"/>
                      <w:lang w:val="en-US" w:eastAsia="zh-CN"/>
                    </w:rPr>
                    <w:t>0.01</w:t>
                  </w:r>
                </w:p>
              </w:tc>
              <w:tc>
                <w:tcPr>
                  <w:tcW w:w="554" w:type="pct"/>
                  <w:shd w:val="clear" w:color="auto" w:fill="auto"/>
                  <w:noWrap/>
                  <w:vAlign w:val="center"/>
                </w:tcPr>
                <w:p w14:paraId="62B0399E">
                  <w:pPr>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Cs w:val="21"/>
                      <w:highlight w:val="none"/>
                    </w:rPr>
                    <w:t>2500</w:t>
                  </w:r>
                </w:p>
              </w:tc>
              <w:tc>
                <w:tcPr>
                  <w:tcW w:w="937" w:type="pct"/>
                  <w:noWrap/>
                  <w:vAlign w:val="center"/>
                </w:tcPr>
                <w:p w14:paraId="79E29F05">
                  <w:pPr>
                    <w:jc w:val="center"/>
                    <w:rPr>
                      <w:rFonts w:hint="eastAsia" w:ascii="Times New Roman" w:hAnsi="Times New Roman"/>
                      <w:color w:val="auto"/>
                      <w:szCs w:val="21"/>
                      <w:highlight w:val="none"/>
                      <w:lang w:eastAsia="zh-CN"/>
                    </w:rPr>
                  </w:pPr>
                  <w:r>
                    <w:rPr>
                      <w:rFonts w:hint="eastAsia" w:ascii="Times New Roman" w:hAnsi="Times New Roman"/>
                      <w:color w:val="auto"/>
                      <w:szCs w:val="21"/>
                      <w:highlight w:val="none"/>
                      <w:lang w:eastAsia="zh-CN"/>
                    </w:rPr>
                    <w:t>0.0000</w:t>
                  </w:r>
                  <w:r>
                    <w:rPr>
                      <w:rFonts w:hint="eastAsia" w:ascii="Times New Roman" w:hAnsi="Times New Roman"/>
                      <w:color w:val="auto"/>
                      <w:szCs w:val="21"/>
                      <w:highlight w:val="none"/>
                      <w:lang w:val="en-US" w:eastAsia="zh-CN"/>
                    </w:rPr>
                    <w:t>04</w:t>
                  </w:r>
                </w:p>
              </w:tc>
            </w:tr>
            <w:tr w14:paraId="33AD0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2" w:type="pct"/>
                  <w:gridSpan w:val="6"/>
                  <w:shd w:val="clear" w:color="auto" w:fill="auto"/>
                  <w:noWrap/>
                  <w:vAlign w:val="center"/>
                </w:tcPr>
                <w:p w14:paraId="14F9C409">
                  <w:pPr>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Cs w:val="21"/>
                      <w:highlight w:val="none"/>
                    </w:rPr>
                    <w:t>项目Q值∑</w:t>
                  </w:r>
                </w:p>
              </w:tc>
              <w:tc>
                <w:tcPr>
                  <w:tcW w:w="937" w:type="pct"/>
                  <w:shd w:val="clear" w:color="auto" w:fill="auto"/>
                  <w:noWrap/>
                  <w:vAlign w:val="center"/>
                </w:tcPr>
                <w:p w14:paraId="536DB194">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Cs w:val="21"/>
                      <w:highlight w:val="none"/>
                      <w:lang w:eastAsia="zh-CN"/>
                    </w:rPr>
                    <w:t>0.0000</w:t>
                  </w:r>
                  <w:r>
                    <w:rPr>
                      <w:rFonts w:hint="eastAsia" w:ascii="Times New Roman" w:hAnsi="Times New Roman"/>
                      <w:color w:val="auto"/>
                      <w:szCs w:val="21"/>
                      <w:highlight w:val="none"/>
                      <w:lang w:val="en-US" w:eastAsia="zh-CN"/>
                    </w:rPr>
                    <w:t>04</w:t>
                  </w:r>
                </w:p>
              </w:tc>
            </w:tr>
          </w:tbl>
          <w:p w14:paraId="76BD170E">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评价工作等级划分见下表。</w:t>
            </w:r>
          </w:p>
          <w:p w14:paraId="1B24343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b/>
                <w:color w:val="auto"/>
                <w:sz w:val="21"/>
                <w:szCs w:val="21"/>
                <w:highlight w:val="none"/>
                <w:lang w:val="en-US"/>
              </w:rPr>
            </w:pPr>
            <w:r>
              <w:rPr>
                <w:rFonts w:ascii="Times New Roman" w:hAnsi="Times New Roman"/>
                <w:b/>
                <w:color w:val="auto"/>
                <w:sz w:val="21"/>
                <w:szCs w:val="21"/>
                <w:highlight w:val="none"/>
                <w:lang w:val="en-US"/>
              </w:rPr>
              <w:t>表4-</w:t>
            </w:r>
            <w:r>
              <w:rPr>
                <w:rFonts w:hint="eastAsia" w:ascii="Times New Roman" w:hAnsi="Times New Roman"/>
                <w:b/>
                <w:color w:val="auto"/>
                <w:sz w:val="21"/>
                <w:szCs w:val="21"/>
                <w:highlight w:val="none"/>
                <w:lang w:val="en-US" w:eastAsia="zh-CN"/>
              </w:rPr>
              <w:t>11</w:t>
            </w:r>
            <w:r>
              <w:rPr>
                <w:rFonts w:hint="eastAsia" w:ascii="Times New Roman" w:hAnsi="Times New Roman"/>
                <w:b/>
                <w:color w:val="auto"/>
                <w:sz w:val="21"/>
                <w:szCs w:val="21"/>
                <w:highlight w:val="none"/>
                <w:lang w:val="en-US"/>
              </w:rPr>
              <w:t xml:space="preserve"> </w:t>
            </w:r>
            <w:r>
              <w:rPr>
                <w:rFonts w:ascii="Times New Roman" w:hAnsi="Times New Roman"/>
                <w:b/>
                <w:color w:val="auto"/>
                <w:sz w:val="21"/>
                <w:szCs w:val="21"/>
                <w:highlight w:val="none"/>
                <w:lang w:val="en-US"/>
              </w:rPr>
              <w:t xml:space="preserve"> 评价工作等级划分</w:t>
            </w:r>
          </w:p>
          <w:tbl>
            <w:tblPr>
              <w:tblStyle w:val="2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95"/>
              <w:gridCol w:w="1669"/>
              <w:gridCol w:w="1585"/>
              <w:gridCol w:w="1585"/>
              <w:gridCol w:w="1586"/>
            </w:tblGrid>
            <w:tr w14:paraId="7D709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5" w:type="dxa"/>
                  <w:tcBorders>
                    <w:top w:val="single" w:color="000000" w:sz="4" w:space="0"/>
                    <w:left w:val="single" w:color="000000" w:sz="4" w:space="0"/>
                    <w:bottom w:val="single" w:color="000000" w:sz="4" w:space="0"/>
                    <w:right w:val="single" w:color="000000" w:sz="4" w:space="0"/>
                  </w:tcBorders>
                  <w:noWrap/>
                  <w:vAlign w:val="center"/>
                </w:tcPr>
                <w:p w14:paraId="45566740">
                  <w:pPr>
                    <w:snapToGrid w:val="0"/>
                    <w:jc w:val="center"/>
                    <w:rPr>
                      <w:rFonts w:ascii="Times New Roman" w:hAnsi="Times New Roman"/>
                      <w:color w:val="auto"/>
                      <w:szCs w:val="21"/>
                      <w:highlight w:val="none"/>
                    </w:rPr>
                  </w:pPr>
                  <w:r>
                    <w:rPr>
                      <w:rFonts w:ascii="Times New Roman" w:hAnsi="Times New Roman"/>
                      <w:color w:val="auto"/>
                      <w:szCs w:val="21"/>
                      <w:highlight w:val="none"/>
                    </w:rPr>
                    <w:t>环境风险潜势</w:t>
                  </w:r>
                </w:p>
              </w:tc>
              <w:tc>
                <w:tcPr>
                  <w:tcW w:w="1669" w:type="dxa"/>
                  <w:tcBorders>
                    <w:top w:val="single" w:color="000000" w:sz="4" w:space="0"/>
                    <w:left w:val="single" w:color="000000" w:sz="4" w:space="0"/>
                    <w:bottom w:val="single" w:color="000000" w:sz="4" w:space="0"/>
                    <w:right w:val="single" w:color="000000" w:sz="4" w:space="0"/>
                  </w:tcBorders>
                  <w:noWrap/>
                  <w:vAlign w:val="center"/>
                </w:tcPr>
                <w:p w14:paraId="5135BC4A">
                  <w:pPr>
                    <w:snapToGrid w:val="0"/>
                    <w:jc w:val="center"/>
                    <w:rPr>
                      <w:rFonts w:ascii="Times New Roman" w:hAnsi="Times New Roman"/>
                      <w:color w:val="auto"/>
                      <w:szCs w:val="21"/>
                      <w:highlight w:val="none"/>
                    </w:rPr>
                  </w:pPr>
                  <w:r>
                    <w:rPr>
                      <w:rFonts w:ascii="Times New Roman" w:hAnsi="Times New Roman"/>
                      <w:color w:val="auto"/>
                      <w:szCs w:val="21"/>
                      <w:highlight w:val="none"/>
                    </w:rPr>
                    <w:t>Ⅳ/Ⅳ</w:t>
                  </w:r>
                  <w:r>
                    <w:rPr>
                      <w:rFonts w:ascii="Times New Roman" w:hAnsi="Times New Roman"/>
                      <w:color w:val="auto"/>
                      <w:szCs w:val="21"/>
                      <w:highlight w:val="none"/>
                      <w:vertAlign w:val="superscript"/>
                    </w:rPr>
                    <w:t>+</w:t>
                  </w:r>
                </w:p>
              </w:tc>
              <w:tc>
                <w:tcPr>
                  <w:tcW w:w="1585" w:type="dxa"/>
                  <w:tcBorders>
                    <w:top w:val="single" w:color="000000" w:sz="4" w:space="0"/>
                    <w:left w:val="single" w:color="000000" w:sz="4" w:space="0"/>
                    <w:bottom w:val="single" w:color="000000" w:sz="4" w:space="0"/>
                    <w:right w:val="single" w:color="000000" w:sz="4" w:space="0"/>
                  </w:tcBorders>
                  <w:noWrap/>
                  <w:vAlign w:val="center"/>
                </w:tcPr>
                <w:p w14:paraId="42483CBA">
                  <w:pPr>
                    <w:snapToGrid w:val="0"/>
                    <w:jc w:val="center"/>
                    <w:rPr>
                      <w:rFonts w:ascii="Times New Roman" w:hAnsi="Times New Roman"/>
                      <w:color w:val="auto"/>
                      <w:szCs w:val="21"/>
                      <w:highlight w:val="none"/>
                    </w:rPr>
                  </w:pPr>
                  <w:r>
                    <w:rPr>
                      <w:rFonts w:ascii="Times New Roman" w:hAnsi="Times New Roman"/>
                      <w:color w:val="auto"/>
                      <w:szCs w:val="21"/>
                      <w:highlight w:val="none"/>
                    </w:rPr>
                    <w:t>Ⅲ</w:t>
                  </w:r>
                </w:p>
              </w:tc>
              <w:tc>
                <w:tcPr>
                  <w:tcW w:w="1585" w:type="dxa"/>
                  <w:tcBorders>
                    <w:top w:val="single" w:color="000000" w:sz="4" w:space="0"/>
                    <w:left w:val="single" w:color="000000" w:sz="4" w:space="0"/>
                    <w:bottom w:val="single" w:color="000000" w:sz="4" w:space="0"/>
                    <w:right w:val="single" w:color="000000" w:sz="4" w:space="0"/>
                  </w:tcBorders>
                  <w:noWrap/>
                  <w:vAlign w:val="center"/>
                </w:tcPr>
                <w:p w14:paraId="4F446B2B">
                  <w:pPr>
                    <w:snapToGrid w:val="0"/>
                    <w:jc w:val="center"/>
                    <w:rPr>
                      <w:rFonts w:ascii="Times New Roman" w:hAnsi="Times New Roman"/>
                      <w:color w:val="auto"/>
                      <w:szCs w:val="21"/>
                      <w:highlight w:val="none"/>
                    </w:rPr>
                  </w:pPr>
                  <w:r>
                    <w:rPr>
                      <w:rFonts w:ascii="Times New Roman" w:hAnsi="Times New Roman"/>
                      <w:color w:val="auto"/>
                      <w:szCs w:val="21"/>
                      <w:highlight w:val="none"/>
                    </w:rPr>
                    <w:t>Ⅱ</w:t>
                  </w:r>
                </w:p>
              </w:tc>
              <w:tc>
                <w:tcPr>
                  <w:tcW w:w="1586" w:type="dxa"/>
                  <w:tcBorders>
                    <w:top w:val="single" w:color="000000" w:sz="4" w:space="0"/>
                    <w:left w:val="single" w:color="000000" w:sz="4" w:space="0"/>
                    <w:bottom w:val="single" w:color="000000" w:sz="4" w:space="0"/>
                    <w:right w:val="single" w:color="000000" w:sz="4" w:space="0"/>
                  </w:tcBorders>
                  <w:noWrap/>
                  <w:vAlign w:val="center"/>
                </w:tcPr>
                <w:p w14:paraId="2F2225E1">
                  <w:pPr>
                    <w:snapToGrid w:val="0"/>
                    <w:jc w:val="center"/>
                    <w:rPr>
                      <w:rFonts w:ascii="Times New Roman" w:hAnsi="Times New Roman"/>
                      <w:color w:val="auto"/>
                      <w:szCs w:val="21"/>
                      <w:highlight w:val="none"/>
                    </w:rPr>
                  </w:pPr>
                  <w:r>
                    <w:rPr>
                      <w:rFonts w:ascii="Times New Roman" w:hAnsi="Times New Roman"/>
                      <w:color w:val="auto"/>
                      <w:szCs w:val="21"/>
                      <w:highlight w:val="none"/>
                    </w:rPr>
                    <w:t>Ⅰ</w:t>
                  </w:r>
                </w:p>
              </w:tc>
            </w:tr>
            <w:tr w14:paraId="1EDA7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5" w:type="dxa"/>
                  <w:tcBorders>
                    <w:top w:val="single" w:color="000000" w:sz="4" w:space="0"/>
                    <w:left w:val="single" w:color="000000" w:sz="4" w:space="0"/>
                    <w:bottom w:val="single" w:color="000000" w:sz="4" w:space="0"/>
                    <w:right w:val="single" w:color="000000" w:sz="4" w:space="0"/>
                  </w:tcBorders>
                  <w:noWrap/>
                  <w:vAlign w:val="center"/>
                </w:tcPr>
                <w:p w14:paraId="61D086B5">
                  <w:pPr>
                    <w:snapToGrid w:val="0"/>
                    <w:jc w:val="center"/>
                    <w:rPr>
                      <w:rFonts w:ascii="Times New Roman" w:hAnsi="Times New Roman"/>
                      <w:color w:val="auto"/>
                      <w:szCs w:val="21"/>
                      <w:highlight w:val="none"/>
                    </w:rPr>
                  </w:pPr>
                  <w:r>
                    <w:rPr>
                      <w:rFonts w:ascii="Times New Roman" w:hAnsi="Times New Roman"/>
                      <w:color w:val="auto"/>
                      <w:szCs w:val="21"/>
                      <w:highlight w:val="none"/>
                    </w:rPr>
                    <w:t>评价工作等级</w:t>
                  </w:r>
                </w:p>
              </w:tc>
              <w:tc>
                <w:tcPr>
                  <w:tcW w:w="1669" w:type="dxa"/>
                  <w:tcBorders>
                    <w:top w:val="single" w:color="000000" w:sz="4" w:space="0"/>
                    <w:left w:val="single" w:color="000000" w:sz="4" w:space="0"/>
                    <w:bottom w:val="single" w:color="000000" w:sz="4" w:space="0"/>
                    <w:right w:val="single" w:color="000000" w:sz="4" w:space="0"/>
                  </w:tcBorders>
                  <w:noWrap/>
                  <w:vAlign w:val="center"/>
                </w:tcPr>
                <w:p w14:paraId="2FADEDB2">
                  <w:pPr>
                    <w:snapToGrid w:val="0"/>
                    <w:jc w:val="center"/>
                    <w:rPr>
                      <w:rFonts w:ascii="Times New Roman" w:hAnsi="Times New Roman"/>
                      <w:color w:val="auto"/>
                      <w:szCs w:val="21"/>
                      <w:highlight w:val="none"/>
                    </w:rPr>
                  </w:pPr>
                  <w:r>
                    <w:rPr>
                      <w:rFonts w:ascii="Times New Roman" w:hAnsi="Times New Roman"/>
                      <w:color w:val="auto"/>
                      <w:szCs w:val="21"/>
                      <w:highlight w:val="none"/>
                    </w:rPr>
                    <w:t>一</w:t>
                  </w:r>
                </w:p>
              </w:tc>
              <w:tc>
                <w:tcPr>
                  <w:tcW w:w="1585" w:type="dxa"/>
                  <w:tcBorders>
                    <w:top w:val="single" w:color="000000" w:sz="4" w:space="0"/>
                    <w:left w:val="single" w:color="000000" w:sz="4" w:space="0"/>
                    <w:bottom w:val="single" w:color="000000" w:sz="4" w:space="0"/>
                    <w:right w:val="single" w:color="000000" w:sz="4" w:space="0"/>
                  </w:tcBorders>
                  <w:noWrap/>
                  <w:vAlign w:val="center"/>
                </w:tcPr>
                <w:p w14:paraId="0AE8A264">
                  <w:pPr>
                    <w:snapToGrid w:val="0"/>
                    <w:jc w:val="center"/>
                    <w:rPr>
                      <w:rFonts w:ascii="Times New Roman" w:hAnsi="Times New Roman"/>
                      <w:color w:val="auto"/>
                      <w:szCs w:val="21"/>
                      <w:highlight w:val="none"/>
                    </w:rPr>
                  </w:pPr>
                  <w:r>
                    <w:rPr>
                      <w:rFonts w:ascii="Times New Roman" w:hAnsi="Times New Roman"/>
                      <w:color w:val="auto"/>
                      <w:szCs w:val="21"/>
                      <w:highlight w:val="none"/>
                    </w:rPr>
                    <w:t>二</w:t>
                  </w:r>
                </w:p>
              </w:tc>
              <w:tc>
                <w:tcPr>
                  <w:tcW w:w="1585" w:type="dxa"/>
                  <w:tcBorders>
                    <w:top w:val="single" w:color="000000" w:sz="4" w:space="0"/>
                    <w:left w:val="single" w:color="000000" w:sz="4" w:space="0"/>
                    <w:bottom w:val="single" w:color="000000" w:sz="4" w:space="0"/>
                    <w:right w:val="single" w:color="000000" w:sz="4" w:space="0"/>
                  </w:tcBorders>
                  <w:noWrap/>
                  <w:vAlign w:val="center"/>
                </w:tcPr>
                <w:p w14:paraId="10B372F4">
                  <w:pPr>
                    <w:snapToGrid w:val="0"/>
                    <w:jc w:val="center"/>
                    <w:rPr>
                      <w:rFonts w:ascii="Times New Roman" w:hAnsi="Times New Roman"/>
                      <w:color w:val="auto"/>
                      <w:szCs w:val="21"/>
                      <w:highlight w:val="none"/>
                    </w:rPr>
                  </w:pPr>
                  <w:r>
                    <w:rPr>
                      <w:rFonts w:ascii="Times New Roman" w:hAnsi="Times New Roman"/>
                      <w:color w:val="auto"/>
                      <w:szCs w:val="21"/>
                      <w:highlight w:val="none"/>
                    </w:rPr>
                    <w:t>三</w:t>
                  </w:r>
                </w:p>
              </w:tc>
              <w:tc>
                <w:tcPr>
                  <w:tcW w:w="1586" w:type="dxa"/>
                  <w:tcBorders>
                    <w:top w:val="single" w:color="000000" w:sz="4" w:space="0"/>
                    <w:left w:val="single" w:color="000000" w:sz="4" w:space="0"/>
                    <w:bottom w:val="single" w:color="000000" w:sz="4" w:space="0"/>
                    <w:right w:val="single" w:color="000000" w:sz="4" w:space="0"/>
                  </w:tcBorders>
                  <w:noWrap/>
                  <w:vAlign w:val="center"/>
                </w:tcPr>
                <w:p w14:paraId="74D410BF">
                  <w:pPr>
                    <w:snapToGrid w:val="0"/>
                    <w:jc w:val="center"/>
                    <w:rPr>
                      <w:rFonts w:ascii="Times New Roman" w:hAnsi="Times New Roman"/>
                      <w:color w:val="auto"/>
                      <w:szCs w:val="21"/>
                      <w:highlight w:val="none"/>
                    </w:rPr>
                  </w:pPr>
                  <w:r>
                    <w:rPr>
                      <w:rFonts w:ascii="Times New Roman" w:hAnsi="Times New Roman"/>
                      <w:color w:val="auto"/>
                      <w:szCs w:val="21"/>
                      <w:highlight w:val="none"/>
                    </w:rPr>
                    <w:t>简单分析</w:t>
                  </w:r>
                  <w:r>
                    <w:rPr>
                      <w:rFonts w:ascii="Times New Roman" w:hAnsi="Times New Roman"/>
                      <w:color w:val="auto"/>
                      <w:szCs w:val="21"/>
                      <w:highlight w:val="none"/>
                      <w:vertAlign w:val="superscript"/>
                    </w:rPr>
                    <w:t>a</w:t>
                  </w:r>
                </w:p>
              </w:tc>
            </w:tr>
            <w:tr w14:paraId="1F4EE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20" w:type="dxa"/>
                  <w:gridSpan w:val="5"/>
                  <w:tcBorders>
                    <w:top w:val="single" w:color="000000" w:sz="4" w:space="0"/>
                    <w:left w:val="single" w:color="000000" w:sz="4" w:space="0"/>
                    <w:bottom w:val="single" w:color="000000" w:sz="4" w:space="0"/>
                    <w:right w:val="single" w:color="000000" w:sz="4" w:space="0"/>
                  </w:tcBorders>
                  <w:noWrap/>
                  <w:vAlign w:val="center"/>
                </w:tcPr>
                <w:p w14:paraId="70E68A57">
                  <w:pPr>
                    <w:snapToGrid w:val="0"/>
                    <w:jc w:val="left"/>
                    <w:rPr>
                      <w:rFonts w:ascii="Times New Roman" w:hAnsi="Times New Roman"/>
                      <w:color w:val="auto"/>
                      <w:sz w:val="18"/>
                      <w:szCs w:val="18"/>
                      <w:highlight w:val="none"/>
                    </w:rPr>
                  </w:pPr>
                  <w:r>
                    <w:rPr>
                      <w:rFonts w:ascii="Times New Roman" w:hAnsi="Times New Roman"/>
                      <w:color w:val="auto"/>
                      <w:sz w:val="18"/>
                      <w:szCs w:val="18"/>
                      <w:highlight w:val="none"/>
                    </w:rPr>
                    <w:t>a是相对于详细评价工作内容而言，在描述危险物质、环境影响途径、环境危害后果、风险防范措施等方面给出定性的说明。</w:t>
                  </w:r>
                </w:p>
              </w:tc>
            </w:tr>
          </w:tbl>
          <w:p w14:paraId="59BDDC6F">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根据《建设项目环境风险评价技术导则》（HJ169-2018）相关规定，本项目风险潜势为Ⅰ，</w:t>
            </w:r>
            <w:r>
              <w:rPr>
                <w:rFonts w:hint="eastAsia" w:ascii="Times New Roman" w:hAnsi="Times New Roman"/>
                <w:color w:val="auto"/>
                <w:sz w:val="24"/>
                <w:highlight w:val="none"/>
                <w:lang w:val="en-US" w:eastAsia="zh-CN"/>
              </w:rPr>
              <w:t>各个井场</w:t>
            </w:r>
            <w:r>
              <w:rPr>
                <w:rFonts w:ascii="Times New Roman" w:hAnsi="Times New Roman"/>
                <w:color w:val="auto"/>
                <w:sz w:val="24"/>
                <w:highlight w:val="none"/>
              </w:rPr>
              <w:t>评价等级</w:t>
            </w:r>
            <w:r>
              <w:rPr>
                <w:rFonts w:hint="eastAsia" w:ascii="Times New Roman" w:hAnsi="Times New Roman"/>
                <w:color w:val="auto"/>
                <w:sz w:val="24"/>
                <w:highlight w:val="none"/>
                <w:lang w:val="en-US" w:eastAsia="zh-CN"/>
              </w:rPr>
              <w:t>均</w:t>
            </w:r>
            <w:r>
              <w:rPr>
                <w:rFonts w:ascii="Times New Roman" w:hAnsi="Times New Roman"/>
                <w:color w:val="auto"/>
                <w:sz w:val="24"/>
                <w:highlight w:val="none"/>
              </w:rPr>
              <w:t>为简单分析。</w:t>
            </w:r>
          </w:p>
          <w:p w14:paraId="66146C96">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本项目施工期间可能存在的环境风险为危险废物（废润滑油）泄漏，项目危废</w:t>
            </w:r>
            <w:r>
              <w:rPr>
                <w:rFonts w:hint="eastAsia" w:ascii="Times New Roman" w:hAnsi="Times New Roman"/>
                <w:color w:val="auto"/>
                <w:sz w:val="24"/>
                <w:highlight w:val="none"/>
                <w:lang w:val="en-US" w:eastAsia="zh-CN"/>
              </w:rPr>
              <w:t>暂存于各井场</w:t>
            </w:r>
            <w:r>
              <w:rPr>
                <w:rFonts w:hint="eastAsia" w:ascii="Times New Roman" w:hAnsi="Times New Roman"/>
                <w:color w:val="auto"/>
                <w:sz w:val="24"/>
                <w:highlight w:val="none"/>
                <w:lang w:eastAsia="zh-CN"/>
              </w:rPr>
              <w:t>危废暂存间</w:t>
            </w:r>
            <w:r>
              <w:rPr>
                <w:rFonts w:hint="eastAsia" w:ascii="Times New Roman" w:hAnsi="Times New Roman"/>
                <w:color w:val="auto"/>
                <w:sz w:val="24"/>
                <w:highlight w:val="none"/>
              </w:rPr>
              <w:t>，</w:t>
            </w:r>
            <w:r>
              <w:rPr>
                <w:rFonts w:hint="eastAsia" w:ascii="Times New Roman" w:hAnsi="Times New Roman"/>
                <w:color w:val="auto"/>
                <w:sz w:val="24"/>
                <w:highlight w:val="none"/>
                <w:lang w:eastAsia="zh-CN"/>
              </w:rPr>
              <w:t>危废暂存间</w:t>
            </w:r>
            <w:r>
              <w:rPr>
                <w:rFonts w:hint="eastAsia" w:ascii="Times New Roman" w:hAnsi="Times New Roman"/>
                <w:color w:val="auto"/>
                <w:sz w:val="24"/>
                <w:highlight w:val="none"/>
              </w:rPr>
              <w:t>建设</w:t>
            </w:r>
            <w:r>
              <w:rPr>
                <w:rFonts w:hint="eastAsia" w:ascii="Times New Roman" w:hAnsi="Times New Roman"/>
                <w:color w:val="auto"/>
                <w:sz w:val="24"/>
                <w:highlight w:val="none"/>
                <w:lang w:val="en-US" w:eastAsia="zh-CN"/>
              </w:rPr>
              <w:t>应</w:t>
            </w:r>
            <w:r>
              <w:rPr>
                <w:rFonts w:hint="eastAsia" w:ascii="Times New Roman" w:hAnsi="Times New Roman"/>
                <w:color w:val="auto"/>
                <w:sz w:val="24"/>
                <w:highlight w:val="none"/>
              </w:rPr>
              <w:t>满足</w:t>
            </w:r>
            <w:r>
              <w:rPr>
                <w:rFonts w:hint="eastAsia" w:ascii="Times New Roman" w:hAnsi="Times New Roman"/>
                <w:color w:val="auto"/>
                <w:sz w:val="24"/>
                <w:highlight w:val="none"/>
                <w:lang w:val="en-US" w:eastAsia="zh-CN"/>
              </w:rPr>
              <w:t>防雨、防渗</w:t>
            </w:r>
            <w:r>
              <w:rPr>
                <w:rFonts w:hint="eastAsia" w:ascii="Times New Roman" w:hAnsi="Times New Roman"/>
                <w:color w:val="auto"/>
                <w:sz w:val="24"/>
                <w:highlight w:val="none"/>
              </w:rPr>
              <w:t>要求，项目发生危废泄漏的可能性很小，即使发生少量泄漏也能进行有效收集，不会对周边环境产生影响。项目施工竖井钻孔过程中下入套管，并用水泥固结牢固，使用的水泥及钻井泥浆均不属于环境风险物质，且浆液输送采用密闭的管道进行输送，不会发生冒浆跑浆事件。</w:t>
            </w:r>
          </w:p>
          <w:p w14:paraId="4F08494D">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建设单位在施工时还应着重做好以下措施，防范环境风险：</w:t>
            </w:r>
          </w:p>
          <w:p w14:paraId="2604C987">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1）建立健全管理机制和机构，全面落实安全生产责任制，并严格执行。补充和完善现有的安全管理制度、岗位安全操作规程和作业安全规程。严格执行安全监督检查制度。认真做好用油设备的日查、周查、月查安全检查记录，对发现的异常情况安全隐患必须及时报告并在符合安全条件的情况下立即整改。</w:t>
            </w:r>
          </w:p>
          <w:p w14:paraId="79666F4F">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（2）加强对职工的安全、环保、事故应急处理、消防、个人安全防护知识和职工操作技能的教育培训工作。实行全员培训，定期考核、持证上岗。</w:t>
            </w:r>
          </w:p>
          <w:p w14:paraId="0797E849">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（3）严格危废管理，规范收集，及时处置，尽量减少危废在施工场地的暂存时间。</w:t>
            </w:r>
          </w:p>
          <w:p w14:paraId="583C543F">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（4）为防止钻井过程中可能发生的</w:t>
            </w:r>
            <w:r>
              <w:rPr>
                <w:rFonts w:hint="eastAsia" w:ascii="Times New Roman" w:hAnsi="Times New Roman"/>
                <w:color w:val="auto"/>
                <w:sz w:val="24"/>
                <w:highlight w:val="none"/>
                <w:lang w:val="en-US" w:eastAsia="zh-CN"/>
              </w:rPr>
              <w:t>煤</w:t>
            </w:r>
            <w:r>
              <w:rPr>
                <w:rFonts w:hint="eastAsia" w:ascii="Times New Roman" w:hAnsi="Times New Roman"/>
                <w:color w:val="auto"/>
                <w:sz w:val="24"/>
                <w:highlight w:val="none"/>
              </w:rPr>
              <w:t>气溢出，在钻井井口需设置甲烷气体监测设备，并在</w:t>
            </w:r>
            <w:r>
              <w:rPr>
                <w:rFonts w:hint="eastAsia" w:ascii="Times New Roman" w:hAnsi="Times New Roman"/>
                <w:color w:val="auto"/>
                <w:sz w:val="24"/>
                <w:highlight w:val="none"/>
                <w:lang w:val="en-US" w:eastAsia="zh-CN"/>
              </w:rPr>
              <w:t>井场内</w:t>
            </w:r>
            <w:r>
              <w:rPr>
                <w:rFonts w:hint="eastAsia" w:ascii="Times New Roman" w:hAnsi="Times New Roman"/>
                <w:color w:val="auto"/>
                <w:sz w:val="24"/>
                <w:highlight w:val="none"/>
              </w:rPr>
              <w:t>设置灭火器材。严格管理火种，划定禁火区，严禁携带火种进入禁火区内。</w:t>
            </w:r>
          </w:p>
          <w:p w14:paraId="7A0253F6">
            <w:pPr>
              <w:pStyle w:val="43"/>
              <w:ind w:firstLine="480"/>
              <w:jc w:val="both"/>
              <w:rPr>
                <w:rFonts w:ascii="Times New Roman" w:hAnsi="Times New Roman"/>
                <w:b/>
                <w:color w:val="auto"/>
                <w:sz w:val="21"/>
                <w:szCs w:val="21"/>
                <w:highlight w:val="none"/>
                <w:lang w:eastAsia="zh-CN"/>
              </w:rPr>
            </w:pPr>
            <w:r>
              <w:rPr>
                <w:rFonts w:ascii="Times New Roman" w:hAnsi="Times New Roman"/>
                <w:color w:val="auto"/>
                <w:sz w:val="24"/>
                <w:szCs w:val="24"/>
                <w:highlight w:val="none"/>
                <w:lang w:eastAsia="zh-CN"/>
              </w:rPr>
              <w:t>本工程环境风险简单分析表见下表。</w:t>
            </w:r>
          </w:p>
          <w:p w14:paraId="56A1BCE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b/>
                <w:color w:val="auto"/>
                <w:sz w:val="21"/>
                <w:szCs w:val="21"/>
                <w:highlight w:val="none"/>
                <w:lang w:val="en-US" w:eastAsia="zh-CN"/>
              </w:rPr>
            </w:pPr>
            <w:r>
              <w:rPr>
                <w:rFonts w:hint="default" w:ascii="Times New Roman" w:hAnsi="Times New Roman"/>
                <w:b/>
                <w:color w:val="auto"/>
                <w:sz w:val="21"/>
                <w:szCs w:val="21"/>
                <w:highlight w:val="none"/>
                <w:lang w:val="en-US" w:eastAsia="zh-CN"/>
              </w:rPr>
              <w:t>表4-</w:t>
            </w:r>
            <w:r>
              <w:rPr>
                <w:rFonts w:hint="eastAsia" w:ascii="Times New Roman" w:hAnsi="Times New Roman"/>
                <w:b/>
                <w:color w:val="auto"/>
                <w:sz w:val="21"/>
                <w:szCs w:val="21"/>
                <w:highlight w:val="none"/>
                <w:lang w:val="en-US" w:eastAsia="zh-CN"/>
              </w:rPr>
              <w:t>12</w:t>
            </w:r>
            <w:r>
              <w:rPr>
                <w:rFonts w:ascii="Times New Roman" w:hAnsi="Times New Roman"/>
                <w:b/>
                <w:color w:val="auto"/>
                <w:sz w:val="21"/>
                <w:szCs w:val="21"/>
                <w:highlight w:val="none"/>
                <w:lang w:val="en-US" w:eastAsia="zh-CN"/>
              </w:rPr>
              <w:t xml:space="preserve"> </w:t>
            </w:r>
            <w:r>
              <w:rPr>
                <w:rFonts w:hint="default" w:ascii="Times New Roman" w:hAnsi="Times New Roman"/>
                <w:b/>
                <w:color w:val="auto"/>
                <w:sz w:val="21"/>
                <w:szCs w:val="21"/>
                <w:highlight w:val="none"/>
                <w:lang w:val="en-US" w:eastAsia="zh-CN"/>
              </w:rPr>
              <w:t xml:space="preserve"> 建设项目环境风险简单分析内容表</w:t>
            </w:r>
          </w:p>
          <w:tbl>
            <w:tblPr>
              <w:tblStyle w:val="2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00"/>
              <w:gridCol w:w="1411"/>
              <w:gridCol w:w="1407"/>
              <w:gridCol w:w="1278"/>
              <w:gridCol w:w="1272"/>
              <w:gridCol w:w="1152"/>
            </w:tblGrid>
            <w:tr w14:paraId="542B4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00" w:type="dxa"/>
                  <w:tcBorders>
                    <w:top w:val="single" w:color="000000" w:sz="4" w:space="0"/>
                    <w:left w:val="single" w:color="000000" w:sz="4" w:space="0"/>
                    <w:bottom w:val="single" w:color="000000" w:sz="4" w:space="0"/>
                    <w:right w:val="single" w:color="000000" w:sz="4" w:space="0"/>
                  </w:tcBorders>
                  <w:noWrap w:val="0"/>
                  <w:vAlign w:val="center"/>
                </w:tcPr>
                <w:p w14:paraId="0664C900">
                  <w:pPr>
                    <w:jc w:val="center"/>
                    <w:rPr>
                      <w:rFonts w:ascii="Times New Roman" w:hAnsi="Times New Roman"/>
                      <w:color w:val="auto"/>
                      <w:szCs w:val="21"/>
                    </w:rPr>
                  </w:pPr>
                  <w:r>
                    <w:rPr>
                      <w:rFonts w:ascii="Times New Roman" w:hAnsi="Times New Roman"/>
                      <w:color w:val="auto"/>
                      <w:szCs w:val="21"/>
                    </w:rPr>
                    <w:t>建设项目名称</w:t>
                  </w:r>
                </w:p>
              </w:tc>
              <w:tc>
                <w:tcPr>
                  <w:tcW w:w="6520" w:type="dxa"/>
                  <w:gridSpan w:val="5"/>
                  <w:tcBorders>
                    <w:top w:val="single" w:color="000000" w:sz="4" w:space="0"/>
                    <w:left w:val="single" w:color="000000" w:sz="4" w:space="0"/>
                    <w:bottom w:val="single" w:color="000000" w:sz="4" w:space="0"/>
                    <w:right w:val="single" w:color="000000" w:sz="4" w:space="0"/>
                  </w:tcBorders>
                  <w:noWrap w:val="0"/>
                  <w:vAlign w:val="center"/>
                </w:tcPr>
                <w:p w14:paraId="0C9B6D27">
                  <w:pPr>
                    <w:jc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朱集西煤矿盾构机探查钻孔项目</w:t>
                  </w:r>
                </w:p>
              </w:tc>
            </w:tr>
            <w:tr w14:paraId="34ED0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00" w:type="dxa"/>
                  <w:tcBorders>
                    <w:top w:val="single" w:color="000000" w:sz="4" w:space="0"/>
                    <w:left w:val="single" w:color="000000" w:sz="4" w:space="0"/>
                    <w:bottom w:val="single" w:color="000000" w:sz="4" w:space="0"/>
                    <w:right w:val="single" w:color="000000" w:sz="4" w:space="0"/>
                  </w:tcBorders>
                  <w:noWrap w:val="0"/>
                  <w:vAlign w:val="center"/>
                </w:tcPr>
                <w:p w14:paraId="01DBC6B8">
                  <w:pPr>
                    <w:jc w:val="center"/>
                    <w:rPr>
                      <w:rFonts w:ascii="Times New Roman" w:hAnsi="Times New Roman"/>
                      <w:color w:val="auto"/>
                      <w:szCs w:val="21"/>
                    </w:rPr>
                  </w:pPr>
                  <w:r>
                    <w:rPr>
                      <w:rFonts w:ascii="Times New Roman" w:hAnsi="Times New Roman"/>
                      <w:color w:val="auto"/>
                      <w:szCs w:val="21"/>
                    </w:rPr>
                    <w:t>建设地点</w:t>
                  </w: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33A9F2E1">
                  <w:pPr>
                    <w:jc w:val="center"/>
                    <w:rPr>
                      <w:rFonts w:ascii="Times New Roman" w:hAnsi="Times New Roman"/>
                      <w:color w:val="auto"/>
                      <w:szCs w:val="21"/>
                    </w:rPr>
                  </w:pPr>
                  <w:r>
                    <w:rPr>
                      <w:rFonts w:ascii="Times New Roman" w:hAnsi="Times New Roman"/>
                      <w:color w:val="auto"/>
                      <w:szCs w:val="21"/>
                    </w:rPr>
                    <w:t>（安徽）省</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14:paraId="6E8BA986">
                  <w:pPr>
                    <w:jc w:val="center"/>
                    <w:rPr>
                      <w:rFonts w:ascii="Times New Roman" w:hAnsi="Times New Roman"/>
                      <w:color w:val="auto"/>
                      <w:szCs w:val="21"/>
                    </w:rPr>
                  </w:pPr>
                  <w:r>
                    <w:rPr>
                      <w:rFonts w:ascii="Times New Roman" w:hAnsi="Times New Roman"/>
                      <w:color w:val="auto"/>
                      <w:szCs w:val="21"/>
                    </w:rPr>
                    <w:t>（淮南）市</w:t>
                  </w:r>
                </w:p>
              </w:tc>
              <w:tc>
                <w:tcPr>
                  <w:tcW w:w="1278" w:type="dxa"/>
                  <w:tcBorders>
                    <w:top w:val="single" w:color="000000" w:sz="4" w:space="0"/>
                    <w:left w:val="single" w:color="000000" w:sz="4" w:space="0"/>
                    <w:bottom w:val="single" w:color="000000" w:sz="4" w:space="0"/>
                    <w:right w:val="single" w:color="000000" w:sz="4" w:space="0"/>
                  </w:tcBorders>
                  <w:noWrap w:val="0"/>
                  <w:vAlign w:val="center"/>
                </w:tcPr>
                <w:p w14:paraId="4E05296A">
                  <w:pPr>
                    <w:jc w:val="center"/>
                    <w:rPr>
                      <w:rFonts w:ascii="Times New Roman" w:hAnsi="Times New Roman"/>
                      <w:color w:val="auto"/>
                      <w:szCs w:val="21"/>
                    </w:rPr>
                  </w:pPr>
                  <w:r>
                    <w:rPr>
                      <w:rFonts w:ascii="Times New Roman" w:hAnsi="Times New Roman"/>
                      <w:color w:val="auto"/>
                      <w:szCs w:val="21"/>
                    </w:rPr>
                    <w:t>（潘集）区</w:t>
                  </w:r>
                </w:p>
              </w:tc>
              <w:tc>
                <w:tcPr>
                  <w:tcW w:w="1272" w:type="dxa"/>
                  <w:tcBorders>
                    <w:top w:val="single" w:color="000000" w:sz="4" w:space="0"/>
                    <w:left w:val="single" w:color="000000" w:sz="4" w:space="0"/>
                    <w:bottom w:val="single" w:color="000000" w:sz="4" w:space="0"/>
                    <w:right w:val="single" w:color="000000" w:sz="4" w:space="0"/>
                  </w:tcBorders>
                  <w:noWrap w:val="0"/>
                  <w:vAlign w:val="center"/>
                </w:tcPr>
                <w:p w14:paraId="7DFC6746">
                  <w:pPr>
                    <w:jc w:val="center"/>
                    <w:rPr>
                      <w:rFonts w:ascii="Times New Roman" w:hAnsi="Times New Roman"/>
                      <w:color w:val="auto"/>
                      <w:szCs w:val="21"/>
                    </w:rPr>
                  </w:pPr>
                  <w:r>
                    <w:rPr>
                      <w:rFonts w:ascii="Times New Roman" w:hAnsi="Times New Roman"/>
                      <w:color w:val="auto"/>
                      <w:szCs w:val="21"/>
                    </w:rPr>
                    <w:t>（）县</w:t>
                  </w:r>
                </w:p>
              </w:tc>
              <w:tc>
                <w:tcPr>
                  <w:tcW w:w="1152" w:type="dxa"/>
                  <w:tcBorders>
                    <w:top w:val="single" w:color="000000" w:sz="4" w:space="0"/>
                    <w:left w:val="single" w:color="000000" w:sz="4" w:space="0"/>
                    <w:bottom w:val="single" w:color="000000" w:sz="4" w:space="0"/>
                    <w:right w:val="single" w:color="000000" w:sz="4" w:space="0"/>
                  </w:tcBorders>
                  <w:noWrap w:val="0"/>
                  <w:vAlign w:val="center"/>
                </w:tcPr>
                <w:p w14:paraId="428A0101">
                  <w:pPr>
                    <w:jc w:val="center"/>
                    <w:rPr>
                      <w:rFonts w:ascii="Times New Roman" w:hAnsi="Times New Roman"/>
                      <w:color w:val="auto"/>
                      <w:szCs w:val="21"/>
                    </w:rPr>
                  </w:pPr>
                  <w:r>
                    <w:rPr>
                      <w:rFonts w:ascii="Times New Roman" w:hAnsi="Times New Roman"/>
                      <w:color w:val="auto"/>
                      <w:szCs w:val="21"/>
                    </w:rPr>
                    <w:t>（）园区</w:t>
                  </w:r>
                </w:p>
              </w:tc>
            </w:tr>
            <w:tr w14:paraId="56A23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00" w:type="dxa"/>
                  <w:tcBorders>
                    <w:top w:val="single" w:color="000000" w:sz="4" w:space="0"/>
                    <w:left w:val="single" w:color="000000" w:sz="4" w:space="0"/>
                    <w:bottom w:val="single" w:color="000000" w:sz="4" w:space="0"/>
                    <w:right w:val="single" w:color="000000" w:sz="4" w:space="0"/>
                  </w:tcBorders>
                  <w:noWrap w:val="0"/>
                  <w:vAlign w:val="center"/>
                </w:tcPr>
                <w:p w14:paraId="6F7185B3">
                  <w:pPr>
                    <w:jc w:val="center"/>
                    <w:rPr>
                      <w:rFonts w:ascii="Times New Roman" w:hAnsi="Times New Roman"/>
                      <w:color w:val="auto"/>
                      <w:szCs w:val="21"/>
                    </w:rPr>
                  </w:pPr>
                  <w:r>
                    <w:rPr>
                      <w:rFonts w:ascii="Times New Roman" w:hAnsi="Times New Roman"/>
                      <w:color w:val="auto"/>
                      <w:szCs w:val="21"/>
                    </w:rPr>
                    <w:t>主要危险物质及分布</w:t>
                  </w:r>
                </w:p>
              </w:tc>
              <w:tc>
                <w:tcPr>
                  <w:tcW w:w="6520" w:type="dxa"/>
                  <w:gridSpan w:val="5"/>
                  <w:tcBorders>
                    <w:top w:val="single" w:color="000000" w:sz="4" w:space="0"/>
                    <w:left w:val="single" w:color="000000" w:sz="4" w:space="0"/>
                    <w:bottom w:val="single" w:color="000000" w:sz="4" w:space="0"/>
                    <w:right w:val="single" w:color="000000" w:sz="4" w:space="0"/>
                  </w:tcBorders>
                  <w:noWrap w:val="0"/>
                  <w:vAlign w:val="center"/>
                </w:tcPr>
                <w:p w14:paraId="7F1C0220">
                  <w:pPr>
                    <w:jc w:val="left"/>
                    <w:rPr>
                      <w:rFonts w:ascii="Times New Roman" w:hAnsi="Times New Roman"/>
                      <w:color w:val="auto"/>
                      <w:szCs w:val="21"/>
                    </w:rPr>
                  </w:pPr>
                  <w:r>
                    <w:rPr>
                      <w:rFonts w:ascii="Times New Roman" w:hAnsi="Times New Roman"/>
                      <w:color w:val="auto"/>
                      <w:szCs w:val="21"/>
                    </w:rPr>
                    <w:t>本工程施工期涉及的危险物质主要为废润滑油</w:t>
                  </w:r>
                  <w:r>
                    <w:rPr>
                      <w:rFonts w:hint="eastAsia" w:ascii="Times New Roman" w:hAnsi="Times New Roman"/>
                      <w:color w:val="auto"/>
                      <w:szCs w:val="21"/>
                    </w:rPr>
                    <w:t>及</w:t>
                  </w:r>
                  <w:r>
                    <w:rPr>
                      <w:rFonts w:ascii="Times New Roman" w:hAnsi="Times New Roman"/>
                      <w:color w:val="auto"/>
                      <w:szCs w:val="21"/>
                    </w:rPr>
                    <w:t>钻井过程中可能发生的甲烷气体溢出</w:t>
                  </w:r>
                </w:p>
              </w:tc>
            </w:tr>
            <w:tr w14:paraId="5804D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6" w:hRule="atLeast"/>
              </w:trPr>
              <w:tc>
                <w:tcPr>
                  <w:tcW w:w="1400" w:type="dxa"/>
                  <w:tcBorders>
                    <w:top w:val="single" w:color="000000" w:sz="4" w:space="0"/>
                    <w:left w:val="single" w:color="000000" w:sz="4" w:space="0"/>
                    <w:bottom w:val="single" w:color="000000" w:sz="4" w:space="0"/>
                    <w:right w:val="single" w:color="000000" w:sz="4" w:space="0"/>
                  </w:tcBorders>
                  <w:noWrap w:val="0"/>
                  <w:vAlign w:val="center"/>
                </w:tcPr>
                <w:p w14:paraId="0462F597">
                  <w:pPr>
                    <w:jc w:val="center"/>
                    <w:rPr>
                      <w:rFonts w:ascii="Times New Roman" w:hAnsi="Times New Roman"/>
                      <w:color w:val="auto"/>
                      <w:szCs w:val="21"/>
                    </w:rPr>
                  </w:pPr>
                  <w:r>
                    <w:rPr>
                      <w:rFonts w:ascii="Times New Roman" w:hAnsi="Times New Roman"/>
                      <w:color w:val="auto"/>
                      <w:szCs w:val="21"/>
                    </w:rPr>
                    <w:t>环境影响途径及危害后果（大气、地表水、地下水等）</w:t>
                  </w:r>
                </w:p>
              </w:tc>
              <w:tc>
                <w:tcPr>
                  <w:tcW w:w="6520" w:type="dxa"/>
                  <w:gridSpan w:val="5"/>
                  <w:tcBorders>
                    <w:top w:val="single" w:color="000000" w:sz="4" w:space="0"/>
                    <w:left w:val="single" w:color="000000" w:sz="4" w:space="0"/>
                    <w:bottom w:val="single" w:color="000000" w:sz="4" w:space="0"/>
                    <w:right w:val="single" w:color="000000" w:sz="4" w:space="0"/>
                  </w:tcBorders>
                  <w:noWrap w:val="0"/>
                  <w:vAlign w:val="center"/>
                </w:tcPr>
                <w:p w14:paraId="3E0325A6">
                  <w:pPr>
                    <w:jc w:val="left"/>
                    <w:rPr>
                      <w:rFonts w:ascii="Times New Roman" w:hAnsi="Times New Roman"/>
                      <w:color w:val="auto"/>
                      <w:szCs w:val="21"/>
                    </w:rPr>
                  </w:pPr>
                  <w:r>
                    <w:rPr>
                      <w:rFonts w:ascii="Times New Roman" w:hAnsi="Times New Roman"/>
                      <w:color w:val="auto"/>
                      <w:szCs w:val="21"/>
                    </w:rPr>
                    <w:t>本工程风险源主要为危险物质泄漏。</w:t>
                  </w:r>
                  <w:r>
                    <w:rPr>
                      <w:rFonts w:hint="eastAsia" w:ascii="Times New Roman" w:hAnsi="Times New Roman"/>
                      <w:color w:val="auto"/>
                      <w:szCs w:val="21"/>
                    </w:rPr>
                    <w:t>废</w:t>
                  </w:r>
                  <w:r>
                    <w:rPr>
                      <w:rFonts w:hint="eastAsia" w:ascii="Times New Roman" w:hAnsi="Times New Roman"/>
                      <w:color w:val="auto"/>
                      <w:szCs w:val="21"/>
                      <w:lang w:val="en-US" w:eastAsia="zh-CN"/>
                    </w:rPr>
                    <w:t>润滑</w:t>
                  </w:r>
                  <w:r>
                    <w:rPr>
                      <w:rFonts w:hint="eastAsia" w:ascii="Times New Roman" w:hAnsi="Times New Roman"/>
                      <w:color w:val="auto"/>
                      <w:szCs w:val="21"/>
                    </w:rPr>
                    <w:t>油如不采取防滴漏、泄露等措施，可能会导致废</w:t>
                  </w:r>
                  <w:r>
                    <w:rPr>
                      <w:rFonts w:hint="eastAsia" w:ascii="Times New Roman" w:hAnsi="Times New Roman"/>
                      <w:color w:val="auto"/>
                      <w:szCs w:val="21"/>
                      <w:lang w:val="en-US" w:eastAsia="zh-CN"/>
                    </w:rPr>
                    <w:t>润滑</w:t>
                  </w:r>
                  <w:r>
                    <w:rPr>
                      <w:rFonts w:hint="eastAsia" w:ascii="Times New Roman" w:hAnsi="Times New Roman"/>
                      <w:color w:val="auto"/>
                      <w:szCs w:val="21"/>
                    </w:rPr>
                    <w:t>油泄露，对周边环境造成污染</w:t>
                  </w:r>
                  <w:r>
                    <w:rPr>
                      <w:rFonts w:ascii="Times New Roman" w:hAnsi="Times New Roman"/>
                      <w:color w:val="auto"/>
                      <w:szCs w:val="21"/>
                    </w:rPr>
                    <w:t>。钻井过程中可能发生的甲烷气体溢出可能引起火灾爆炸</w:t>
                  </w:r>
                  <w:r>
                    <w:rPr>
                      <w:rFonts w:hint="eastAsia" w:ascii="Times New Roman" w:hAnsi="Times New Roman"/>
                      <w:color w:val="auto"/>
                      <w:szCs w:val="21"/>
                    </w:rPr>
                    <w:t>。</w:t>
                  </w:r>
                </w:p>
              </w:tc>
            </w:tr>
            <w:tr w14:paraId="6CF79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trPr>
              <w:tc>
                <w:tcPr>
                  <w:tcW w:w="1400" w:type="dxa"/>
                  <w:tcBorders>
                    <w:top w:val="single" w:color="000000" w:sz="4" w:space="0"/>
                    <w:left w:val="single" w:color="000000" w:sz="4" w:space="0"/>
                    <w:bottom w:val="single" w:color="auto" w:sz="4" w:space="0"/>
                    <w:right w:val="single" w:color="000000" w:sz="4" w:space="0"/>
                  </w:tcBorders>
                  <w:noWrap w:val="0"/>
                  <w:vAlign w:val="center"/>
                </w:tcPr>
                <w:p w14:paraId="2F1F3C06">
                  <w:pPr>
                    <w:jc w:val="center"/>
                    <w:rPr>
                      <w:rFonts w:ascii="Times New Roman" w:hAnsi="Times New Roman"/>
                      <w:color w:val="auto"/>
                      <w:szCs w:val="21"/>
                    </w:rPr>
                  </w:pPr>
                  <w:r>
                    <w:rPr>
                      <w:rFonts w:ascii="Times New Roman" w:hAnsi="Times New Roman"/>
                      <w:color w:val="auto"/>
                      <w:szCs w:val="21"/>
                    </w:rPr>
                    <w:t>风险防范措施要求</w:t>
                  </w:r>
                </w:p>
              </w:tc>
              <w:tc>
                <w:tcPr>
                  <w:tcW w:w="6520" w:type="dxa"/>
                  <w:gridSpan w:val="5"/>
                  <w:tcBorders>
                    <w:top w:val="single" w:color="000000" w:sz="4" w:space="0"/>
                    <w:left w:val="single" w:color="000000" w:sz="4" w:space="0"/>
                    <w:bottom w:val="single" w:color="auto" w:sz="4" w:space="0"/>
                    <w:right w:val="single" w:color="000000" w:sz="4" w:space="0"/>
                  </w:tcBorders>
                  <w:noWrap w:val="0"/>
                  <w:vAlign w:val="center"/>
                </w:tcPr>
                <w:p w14:paraId="47A84611">
                  <w:pPr>
                    <w:rPr>
                      <w:rFonts w:ascii="Times New Roman" w:hAnsi="Times New Roman"/>
                      <w:color w:val="auto"/>
                      <w:szCs w:val="21"/>
                    </w:rPr>
                  </w:pPr>
                  <w:r>
                    <w:rPr>
                      <w:rFonts w:ascii="Times New Roman" w:hAnsi="Times New Roman"/>
                      <w:color w:val="auto"/>
                      <w:szCs w:val="21"/>
                    </w:rPr>
                    <w:t>1.发生事故时，应及时组织人群转移。</w:t>
                  </w:r>
                </w:p>
                <w:p w14:paraId="363D807D">
                  <w:pPr>
                    <w:rPr>
                      <w:rFonts w:ascii="Times New Roman" w:hAnsi="Times New Roman"/>
                      <w:color w:val="auto"/>
                      <w:szCs w:val="21"/>
                    </w:rPr>
                  </w:pPr>
                  <w:r>
                    <w:rPr>
                      <w:rFonts w:ascii="Times New Roman" w:hAnsi="Times New Roman"/>
                      <w:color w:val="auto"/>
                      <w:szCs w:val="21"/>
                    </w:rPr>
                    <w:t xml:space="preserve">2.各井场场地按相关要求规定进行防渗措施。 </w:t>
                  </w:r>
                </w:p>
                <w:p w14:paraId="60DE20AB">
                  <w:pPr>
                    <w:pStyle w:val="28"/>
                    <w:rPr>
                      <w:rFonts w:hint="eastAsia" w:eastAsia="宋体"/>
                      <w:color w:val="auto"/>
                      <w:sz w:val="21"/>
                      <w:szCs w:val="21"/>
                      <w:lang w:eastAsia="zh-CN"/>
                    </w:rPr>
                  </w:pPr>
                  <w:r>
                    <w:rPr>
                      <w:rFonts w:hint="eastAsia" w:ascii="Times New Roman" w:hAnsi="Times New Roman"/>
                      <w:color w:val="auto"/>
                      <w:kern w:val="2"/>
                      <w:sz w:val="21"/>
                      <w:szCs w:val="21"/>
                      <w:lang w:val="en-US" w:eastAsia="zh-CN"/>
                    </w:rPr>
                    <w:t>3</w:t>
                  </w:r>
                  <w:r>
                    <w:rPr>
                      <w:rFonts w:hint="eastAsia" w:ascii="Times New Roman" w:hAnsi="Times New Roman"/>
                      <w:color w:val="auto"/>
                      <w:kern w:val="2"/>
                      <w:sz w:val="21"/>
                      <w:szCs w:val="21"/>
                    </w:rPr>
                    <w:t>.</w:t>
                  </w:r>
                  <w:r>
                    <w:rPr>
                      <w:rFonts w:ascii="Times New Roman" w:hAnsi="Times New Roman"/>
                      <w:color w:val="auto"/>
                      <w:kern w:val="2"/>
                      <w:sz w:val="21"/>
                      <w:szCs w:val="21"/>
                    </w:rPr>
                    <w:t>为防止钻井过程中可能发生的甲烷气体溢出</w:t>
                  </w:r>
                  <w:r>
                    <w:rPr>
                      <w:rFonts w:hint="eastAsia" w:ascii="Times New Roman" w:hAnsi="Times New Roman"/>
                      <w:color w:val="auto"/>
                      <w:kern w:val="2"/>
                      <w:sz w:val="21"/>
                      <w:szCs w:val="21"/>
                    </w:rPr>
                    <w:t>，在</w:t>
                  </w:r>
                  <w:r>
                    <w:rPr>
                      <w:rFonts w:ascii="Times New Roman" w:hAnsi="Times New Roman"/>
                      <w:color w:val="auto"/>
                      <w:kern w:val="2"/>
                      <w:sz w:val="21"/>
                      <w:szCs w:val="21"/>
                    </w:rPr>
                    <w:t>钻井井口需设置甲烷气体监测设备</w:t>
                  </w:r>
                  <w:r>
                    <w:rPr>
                      <w:rFonts w:hint="eastAsia" w:ascii="Times New Roman" w:hAnsi="Times New Roman"/>
                      <w:color w:val="auto"/>
                      <w:kern w:val="2"/>
                      <w:sz w:val="21"/>
                      <w:szCs w:val="21"/>
                    </w:rPr>
                    <w:t>，</w:t>
                  </w:r>
                  <w:r>
                    <w:rPr>
                      <w:rFonts w:ascii="Times New Roman" w:hAnsi="Times New Roman"/>
                      <w:color w:val="auto"/>
                      <w:kern w:val="2"/>
                      <w:sz w:val="21"/>
                      <w:szCs w:val="21"/>
                    </w:rPr>
                    <w:t>并在钻井平台设置灭火器材。严格管理火种，划定禁火区，严禁携带火种进入禁火区内</w:t>
                  </w:r>
                  <w:r>
                    <w:rPr>
                      <w:rFonts w:hint="eastAsia" w:ascii="Times New Roman" w:hAnsi="Times New Roman"/>
                      <w:color w:val="auto"/>
                      <w:kern w:val="2"/>
                      <w:sz w:val="21"/>
                      <w:szCs w:val="21"/>
                      <w:lang w:eastAsia="zh-CN"/>
                    </w:rPr>
                    <w:t>。</w:t>
                  </w:r>
                </w:p>
              </w:tc>
            </w:tr>
          </w:tbl>
          <w:p w14:paraId="09A8AB00">
            <w:pPr>
              <w:pStyle w:val="5"/>
              <w:spacing w:line="360" w:lineRule="auto"/>
              <w:ind w:firstLine="482"/>
              <w:rPr>
                <w:rFonts w:ascii="Times New Roman" w:hAnsi="Times New Roman"/>
                <w:b/>
                <w:bCs/>
                <w:color w:val="auto"/>
                <w:sz w:val="24"/>
                <w:lang w:val="en-US" w:eastAsia="zh-CN"/>
              </w:rPr>
            </w:pPr>
            <w:r>
              <w:rPr>
                <w:rFonts w:ascii="Times New Roman" w:hAnsi="Times New Roman"/>
                <w:b/>
                <w:bCs/>
                <w:color w:val="auto"/>
                <w:kern w:val="0"/>
                <w:sz w:val="24"/>
                <w:lang w:val="en-US" w:eastAsia="zh-CN" w:bidi="ar"/>
              </w:rPr>
              <w:t>10、</w:t>
            </w:r>
            <w:r>
              <w:rPr>
                <w:rFonts w:ascii="Times New Roman" w:hAnsi="Times New Roman"/>
                <w:b/>
                <w:bCs/>
                <w:color w:val="auto"/>
                <w:sz w:val="24"/>
                <w:lang w:val="en-US" w:eastAsia="zh-CN"/>
              </w:rPr>
              <w:t>临时道路恢复措施</w:t>
            </w:r>
          </w:p>
          <w:p w14:paraId="76A864EB">
            <w:pPr>
              <w:spacing w:line="360" w:lineRule="auto"/>
              <w:ind w:firstLine="480" w:firstLineChars="200"/>
              <w:rPr>
                <w:rStyle w:val="41"/>
                <w:rFonts w:hint="eastAsia" w:ascii="Times New Roman" w:hAnsi="宋体" w:eastAsia="宋体" w:cs="Times New Roman"/>
                <w:color w:val="auto"/>
                <w:kern w:val="0"/>
                <w:lang w:val="en-US" w:eastAsia="zh-CN" w:bidi="ar-SA"/>
              </w:rPr>
            </w:pPr>
            <w:r>
              <w:rPr>
                <w:rFonts w:ascii="Times New Roman" w:hAnsi="Times New Roman"/>
                <w:sz w:val="24"/>
              </w:rPr>
              <w:t>施工结束后，新增施工区道路恢复原有地貌</w:t>
            </w:r>
            <w:r>
              <w:rPr>
                <w:rFonts w:hint="eastAsia" w:ascii="Times New Roman" w:hAnsi="Times New Roman"/>
                <w:sz w:val="24"/>
                <w:lang w:eastAsia="zh-CN"/>
              </w:rPr>
              <w:t>。</w:t>
            </w:r>
          </w:p>
        </w:tc>
      </w:tr>
      <w:tr w14:paraId="7E14C1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31" w:type="dxa"/>
          <w:trHeight w:val="4098" w:hRule="atLeast"/>
          <w:jc w:val="center"/>
        </w:trPr>
        <w:tc>
          <w:tcPr>
            <w:tcW w:w="456" w:type="dxa"/>
            <w:noWrap w:val="0"/>
            <w:tcMar>
              <w:left w:w="28" w:type="dxa"/>
              <w:right w:w="28" w:type="dxa"/>
            </w:tcMar>
            <w:vAlign w:val="center"/>
          </w:tcPr>
          <w:p w14:paraId="2708ACA1">
            <w:pPr>
              <w:pStyle w:val="19"/>
              <w:adjustRightInd w:val="0"/>
              <w:snapToGrid w:val="0"/>
              <w:spacing w:before="0" w:beforeAutospacing="0" w:after="0" w:afterAutospacing="0"/>
              <w:jc w:val="center"/>
              <w:rPr>
                <w:rFonts w:ascii="Times New Roman" w:hAnsi="Times New Roman"/>
                <w:bCs/>
                <w:color w:val="auto"/>
                <w:kern w:val="2"/>
                <w:szCs w:val="24"/>
                <w:lang w:val="en-US" w:eastAsia="zh-CN"/>
              </w:rPr>
            </w:pPr>
            <w:r>
              <w:rPr>
                <w:rFonts w:ascii="Times New Roman" w:hAnsi="Times New Roman"/>
                <w:bCs/>
                <w:color w:val="auto"/>
                <w:spacing w:val="10"/>
                <w:kern w:val="2"/>
                <w:szCs w:val="24"/>
                <w:lang w:val="en-US" w:eastAsia="zh-CN"/>
              </w:rPr>
              <w:t>运营期生态环境影响分析</w:t>
            </w:r>
          </w:p>
        </w:tc>
        <w:tc>
          <w:tcPr>
            <w:tcW w:w="8146" w:type="dxa"/>
            <w:noWrap w:val="0"/>
            <w:vAlign w:val="top"/>
          </w:tcPr>
          <w:p w14:paraId="60BF8E4F">
            <w:pPr>
              <w:spacing w:line="440" w:lineRule="exact"/>
              <w:ind w:firstLine="480" w:firstLineChars="200"/>
              <w:rPr>
                <w:rFonts w:ascii="Times New Roman" w:hAnsi="Times New Roman"/>
                <w:bCs/>
                <w:color w:val="auto"/>
                <w:sz w:val="24"/>
              </w:rPr>
            </w:pPr>
            <w:r>
              <w:rPr>
                <w:rFonts w:hint="eastAsia" w:ascii="Times New Roman" w:hAnsi="Times New Roman"/>
                <w:bCs/>
                <w:color w:val="auto"/>
                <w:sz w:val="24"/>
              </w:rPr>
              <w:t>本项目施工期结束后，将拆除施工现场其它建筑物后并恢复施工占地土地利用类型。因此，本项目的生态环境的影响主要表现在施工期，不涉及运营期生态环境影响。</w:t>
            </w:r>
          </w:p>
        </w:tc>
      </w:tr>
      <w:tr w14:paraId="66DDA5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31" w:type="dxa"/>
          <w:trHeight w:val="3931" w:hRule="atLeast"/>
          <w:jc w:val="center"/>
        </w:trPr>
        <w:tc>
          <w:tcPr>
            <w:tcW w:w="456" w:type="dxa"/>
            <w:noWrap w:val="0"/>
            <w:vAlign w:val="center"/>
          </w:tcPr>
          <w:p w14:paraId="2474AFD7">
            <w:pPr>
              <w:pStyle w:val="19"/>
              <w:adjustRightInd w:val="0"/>
              <w:snapToGrid w:val="0"/>
              <w:spacing w:before="0" w:beforeAutospacing="0" w:after="0" w:afterAutospacing="0"/>
              <w:jc w:val="center"/>
              <w:rPr>
                <w:rFonts w:ascii="Times New Roman" w:hAnsi="Times New Roman"/>
                <w:bCs/>
                <w:color w:val="auto"/>
                <w:kern w:val="2"/>
                <w:szCs w:val="24"/>
                <w:lang w:val="en-US" w:eastAsia="zh-CN"/>
              </w:rPr>
            </w:pPr>
            <w:r>
              <w:rPr>
                <w:rFonts w:ascii="Times New Roman" w:hAnsi="Times New Roman"/>
                <w:bCs/>
                <w:color w:val="auto"/>
                <w:kern w:val="2"/>
                <w:szCs w:val="24"/>
                <w:lang w:val="en-US" w:eastAsia="zh-CN"/>
              </w:rPr>
              <w:t>选址选线环境合理性分析</w:t>
            </w:r>
          </w:p>
        </w:tc>
        <w:tc>
          <w:tcPr>
            <w:tcW w:w="8146" w:type="dxa"/>
            <w:noWrap w:val="0"/>
            <w:vAlign w:val="top"/>
          </w:tcPr>
          <w:p w14:paraId="02714125">
            <w:pPr>
              <w:spacing w:line="360" w:lineRule="auto"/>
              <w:ind w:firstLine="480" w:firstLineChars="200"/>
              <w:rPr>
                <w:rFonts w:ascii="Times New Roman" w:hAnsi="Times New Roman"/>
                <w:sz w:val="24"/>
              </w:rPr>
            </w:pPr>
            <w:r>
              <w:rPr>
                <w:rFonts w:ascii="Times New Roman" w:hAnsi="Times New Roman"/>
                <w:sz w:val="24"/>
              </w:rPr>
              <w:t>项目临时用地面积为</w:t>
            </w:r>
            <w:r>
              <w:rPr>
                <w:rFonts w:hint="eastAsia" w:ascii="Times New Roman" w:hAnsi="Times New Roman"/>
                <w:sz w:val="24"/>
                <w:lang w:eastAsia="zh-CN"/>
              </w:rPr>
              <w:t>1797</w:t>
            </w:r>
            <w:r>
              <w:rPr>
                <w:rFonts w:ascii="Times New Roman" w:hAnsi="Times New Roman"/>
                <w:sz w:val="24"/>
              </w:rPr>
              <w:t>m</w:t>
            </w:r>
            <w:r>
              <w:rPr>
                <w:rFonts w:ascii="Times New Roman" w:hAnsi="Times New Roman"/>
                <w:sz w:val="24"/>
                <w:vertAlign w:val="superscript"/>
              </w:rPr>
              <w:t>2</w:t>
            </w:r>
            <w:r>
              <w:rPr>
                <w:rFonts w:ascii="Times New Roman" w:hAnsi="Times New Roman"/>
                <w:sz w:val="24"/>
              </w:rPr>
              <w:t>。根据《土地复垦条例》和《土地复垦条例实施办法》中有关要求，是指对生产建设活动和自然灾害损毁的土地，采取整治措施，使其达到可供利用状态的活动。按照</w:t>
            </w:r>
            <w:r>
              <w:rPr>
                <w:rFonts w:hint="eastAsia" w:ascii="Times New Roman" w:hAnsi="Times New Roman"/>
                <w:sz w:val="24"/>
                <w:lang w:eastAsia="zh-CN"/>
              </w:rPr>
              <w:t>“</w:t>
            </w:r>
            <w:r>
              <w:rPr>
                <w:rFonts w:ascii="Times New Roman" w:hAnsi="Times New Roman"/>
                <w:sz w:val="24"/>
              </w:rPr>
              <w:t>谁损毁，谁复垦</w:t>
            </w:r>
            <w:r>
              <w:rPr>
                <w:rFonts w:hint="eastAsia" w:ascii="Times New Roman" w:hAnsi="Times New Roman"/>
                <w:sz w:val="24"/>
                <w:lang w:eastAsia="zh-CN"/>
              </w:rPr>
              <w:t>”</w:t>
            </w:r>
            <w:r>
              <w:rPr>
                <w:rFonts w:ascii="Times New Roman" w:hAnsi="Times New Roman"/>
                <w:sz w:val="24"/>
              </w:rPr>
              <w:t>的原则，由生产建设单位或者个人负责复垦，以恢复其原有使用功能予以合理利用。为保护和合理利用耕作层土壤，施工前将耕作层土壤取出集中堆置贮存，用作本项目土地复垦后的表层土壤，改良复垦土地的土壤，使其尽快熟化以利于农业耕作，恢复原有使用功能。</w:t>
            </w:r>
          </w:p>
          <w:p w14:paraId="4DDCEB6D">
            <w:pPr>
              <w:spacing w:line="360" w:lineRule="auto"/>
              <w:ind w:firstLine="480" w:firstLineChars="200"/>
              <w:rPr>
                <w:rFonts w:ascii="Times New Roman" w:hAnsi="Times New Roman"/>
                <w:sz w:val="24"/>
              </w:rPr>
            </w:pPr>
            <w:r>
              <w:rPr>
                <w:rFonts w:hint="eastAsia" w:ascii="Times New Roman" w:hAnsi="Times New Roman"/>
                <w:kern w:val="0"/>
                <w:sz w:val="24"/>
              </w:rPr>
              <w:t>根据工程设计规划，对采矿权平面范围内深部煤炭资源进行补充勘探需在设计的范围之内，探查工程设计钻孔目的与任务明确，针对性强，设计钻孔位置不可移动，因此，钻孔在选址时不可避让基本农田。</w:t>
            </w:r>
          </w:p>
          <w:p w14:paraId="2F409D47">
            <w:pPr>
              <w:spacing w:line="360" w:lineRule="auto"/>
              <w:ind w:firstLine="480" w:firstLineChars="200"/>
              <w:rPr>
                <w:rFonts w:ascii="Times New Roman" w:hAnsi="Times New Roman"/>
                <w:sz w:val="24"/>
              </w:rPr>
            </w:pPr>
            <w:r>
              <w:rPr>
                <w:rFonts w:ascii="Times New Roman" w:hAnsi="Times New Roman"/>
                <w:sz w:val="24"/>
              </w:rPr>
              <w:t>项目施工期采取有效的污染防治措施后，污染物均达标排放，对周围环境影响较小；</w:t>
            </w:r>
            <w:r>
              <w:rPr>
                <w:rFonts w:ascii="Times New Roman" w:hAnsi="Times New Roman"/>
                <w:kern w:val="0"/>
                <w:sz w:val="24"/>
              </w:rPr>
              <w:t>项目周围1km范围内没有历史文物古迹、风景名胜区及重要生态功能区；项目区域具有水、电及交通便利等有利条件。综上所述，</w:t>
            </w:r>
            <w:r>
              <w:rPr>
                <w:rFonts w:ascii="Times New Roman" w:hAnsi="Times New Roman"/>
                <w:sz w:val="24"/>
              </w:rPr>
              <w:t>本项目选</w:t>
            </w:r>
            <w:r>
              <w:rPr>
                <w:rFonts w:ascii="Times New Roman" w:hAnsi="Times New Roman"/>
                <w:kern w:val="0"/>
                <w:sz w:val="24"/>
              </w:rPr>
              <w:t>址基本合理可行</w:t>
            </w:r>
            <w:r>
              <w:rPr>
                <w:rFonts w:ascii="Times New Roman" w:hAnsi="Times New Roman"/>
                <w:sz w:val="24"/>
              </w:rPr>
              <w:t>。</w:t>
            </w:r>
          </w:p>
          <w:p w14:paraId="5CDE6DC1">
            <w:pPr>
              <w:spacing w:line="360" w:lineRule="auto"/>
              <w:ind w:firstLine="480" w:firstLineChars="200"/>
              <w:rPr>
                <w:rFonts w:ascii="Times New Roman" w:hAnsi="Times New Roman"/>
                <w:sz w:val="24"/>
              </w:rPr>
            </w:pPr>
            <w:r>
              <w:rPr>
                <w:rFonts w:ascii="Times New Roman" w:hAnsi="Times New Roman"/>
                <w:sz w:val="24"/>
              </w:rPr>
              <w:t>1、生态敏感性分析</w:t>
            </w:r>
          </w:p>
          <w:p w14:paraId="5C257175">
            <w:pPr>
              <w:spacing w:line="360" w:lineRule="auto"/>
              <w:ind w:firstLine="480" w:firstLineChars="200"/>
              <w:rPr>
                <w:rFonts w:ascii="Times New Roman" w:hAnsi="Times New Roman"/>
                <w:sz w:val="24"/>
              </w:rPr>
            </w:pPr>
            <w:r>
              <w:rPr>
                <w:rFonts w:ascii="Times New Roman" w:hAnsi="Times New Roman"/>
                <w:sz w:val="24"/>
              </w:rPr>
              <w:t>项目位于农村地区，占地类型主要为农田，种植适时农作物，评价范围内不涉及自然保护区、森林公园、地质公园、风景名胜区、文物古迹保护区、集中式饮用水源保护区等环境敏感区；不在《安徽省生态功能区划》禁止开发区、重点保护区范围内，生态环境总体不敏感。</w:t>
            </w:r>
          </w:p>
          <w:p w14:paraId="237E885F">
            <w:pPr>
              <w:spacing w:line="360" w:lineRule="auto"/>
              <w:ind w:firstLine="480" w:firstLineChars="200"/>
              <w:rPr>
                <w:rFonts w:ascii="Times New Roman" w:hAnsi="Times New Roman"/>
                <w:sz w:val="24"/>
              </w:rPr>
            </w:pPr>
            <w:r>
              <w:rPr>
                <w:rFonts w:ascii="Times New Roman" w:hAnsi="Times New Roman"/>
                <w:sz w:val="24"/>
              </w:rPr>
              <w:t>2、项目用地可行性分析</w:t>
            </w:r>
          </w:p>
          <w:p w14:paraId="48426972">
            <w:pPr>
              <w:spacing w:line="360" w:lineRule="auto"/>
              <w:ind w:firstLine="480" w:firstLineChars="200"/>
              <w:rPr>
                <w:rFonts w:ascii="Times New Roman" w:hAnsi="Times New Roman"/>
                <w:sz w:val="24"/>
              </w:rPr>
            </w:pPr>
            <w:r>
              <w:rPr>
                <w:rFonts w:ascii="Times New Roman" w:hAnsi="Times New Roman"/>
                <w:sz w:val="24"/>
              </w:rPr>
              <w:t>本项目属于</w:t>
            </w:r>
            <w:r>
              <w:rPr>
                <w:rFonts w:hint="eastAsia" w:ascii="Times New Roman" w:hAnsi="Times New Roman"/>
                <w:sz w:val="24"/>
              </w:rPr>
              <w:t>四十六、专业技术服务业99中的陆地矿产资源地质勘查（含油气资源勘探）；二氧化碳地质封存中其他</w:t>
            </w:r>
            <w:r>
              <w:rPr>
                <w:rFonts w:ascii="Times New Roman" w:hAnsi="Times New Roman"/>
                <w:sz w:val="24"/>
              </w:rPr>
              <w:t>，</w:t>
            </w:r>
            <w:r>
              <w:rPr>
                <w:rFonts w:ascii="Times New Roman" w:hAnsi="Times New Roman"/>
                <w:color w:val="auto"/>
                <w:sz w:val="24"/>
              </w:rPr>
              <w:t>临时用地面积为</w:t>
            </w:r>
            <w:r>
              <w:rPr>
                <w:rFonts w:hint="eastAsia" w:ascii="Times New Roman" w:hAnsi="Times New Roman"/>
                <w:color w:val="auto"/>
                <w:sz w:val="24"/>
                <w:lang w:eastAsia="zh-CN"/>
              </w:rPr>
              <w:t>1797</w:t>
            </w:r>
            <w:r>
              <w:rPr>
                <w:rFonts w:ascii="Times New Roman" w:hAnsi="Times New Roman"/>
                <w:color w:val="auto"/>
                <w:sz w:val="24"/>
              </w:rPr>
              <w:t>m</w:t>
            </w:r>
            <w:r>
              <w:rPr>
                <w:rFonts w:ascii="Times New Roman" w:hAnsi="Times New Roman"/>
                <w:color w:val="auto"/>
                <w:sz w:val="24"/>
                <w:vertAlign w:val="superscript"/>
              </w:rPr>
              <w:t>2</w:t>
            </w:r>
            <w:r>
              <w:rPr>
                <w:rFonts w:ascii="Times New Roman" w:hAnsi="Times New Roman"/>
                <w:color w:val="auto"/>
                <w:sz w:val="24"/>
              </w:rPr>
              <w:t>，用地时间预计为</w:t>
            </w:r>
            <w:r>
              <w:rPr>
                <w:rFonts w:hint="eastAsia" w:ascii="Times New Roman" w:hAnsi="Times New Roman"/>
                <w:color w:val="auto"/>
                <w:sz w:val="24"/>
                <w:lang w:val="en-US" w:eastAsia="zh-CN"/>
              </w:rPr>
              <w:t>6</w:t>
            </w:r>
            <w:r>
              <w:rPr>
                <w:rFonts w:hint="eastAsia" w:ascii="Times New Roman" w:hAnsi="Times New Roman"/>
                <w:color w:val="auto"/>
                <w:sz w:val="24"/>
              </w:rPr>
              <w:t>个月</w:t>
            </w:r>
            <w:r>
              <w:rPr>
                <w:rFonts w:ascii="Times New Roman" w:hAnsi="Times New Roman"/>
                <w:color w:val="auto"/>
                <w:sz w:val="24"/>
              </w:rPr>
              <w:t>。中安联合煤化有限责任公</w:t>
            </w:r>
            <w:r>
              <w:rPr>
                <w:rFonts w:ascii="Times New Roman" w:hAnsi="Times New Roman"/>
                <w:sz w:val="24"/>
              </w:rPr>
              <w:t>司办理了项目临时用地相关手续。项目租用安徽省淮南市</w:t>
            </w:r>
            <w:r>
              <w:rPr>
                <w:rFonts w:hint="eastAsia" w:ascii="Times New Roman" w:hAnsi="Times New Roman"/>
                <w:sz w:val="24"/>
                <w:lang w:eastAsia="zh-CN"/>
              </w:rPr>
              <w:t>凤台县大兴镇</w:t>
            </w:r>
            <w:r>
              <w:rPr>
                <w:rFonts w:ascii="Times New Roman" w:hAnsi="Times New Roman"/>
                <w:sz w:val="24"/>
              </w:rPr>
              <w:t>境内的土地作为本项目的临时建设用地。</w:t>
            </w:r>
          </w:p>
          <w:p w14:paraId="36D41873">
            <w:pPr>
              <w:spacing w:line="360" w:lineRule="auto"/>
              <w:ind w:firstLine="480" w:firstLineChars="200"/>
              <w:rPr>
                <w:rFonts w:ascii="Times New Roman" w:hAnsi="Times New Roman"/>
                <w:sz w:val="24"/>
              </w:rPr>
            </w:pPr>
            <w:r>
              <w:rPr>
                <w:rFonts w:ascii="Times New Roman" w:hAnsi="Times New Roman"/>
                <w:sz w:val="24"/>
              </w:rPr>
              <w:t>3、环境制约性分析</w:t>
            </w:r>
          </w:p>
          <w:p w14:paraId="01BACC0C">
            <w:pPr>
              <w:spacing w:line="360" w:lineRule="auto"/>
              <w:ind w:firstLine="480" w:firstLineChars="200"/>
              <w:rPr>
                <w:rFonts w:ascii="Times New Roman" w:hAnsi="Times New Roman"/>
                <w:sz w:val="24"/>
              </w:rPr>
            </w:pPr>
            <w:r>
              <w:rPr>
                <w:rFonts w:ascii="Times New Roman" w:hAnsi="Times New Roman"/>
                <w:sz w:val="24"/>
              </w:rPr>
              <w:t>项目所在地主要为农田，项目占地范围内无大型管网，项目周边无其他独立工矿用地。</w:t>
            </w:r>
          </w:p>
          <w:p w14:paraId="76329AC8">
            <w:pPr>
              <w:spacing w:line="360" w:lineRule="auto"/>
              <w:ind w:firstLine="480" w:firstLineChars="200"/>
              <w:rPr>
                <w:rFonts w:ascii="Times New Roman" w:hAnsi="Times New Roman"/>
                <w:sz w:val="24"/>
              </w:rPr>
            </w:pPr>
            <w:r>
              <w:rPr>
                <w:rFonts w:ascii="Times New Roman" w:hAnsi="Times New Roman"/>
                <w:sz w:val="24"/>
              </w:rPr>
              <w:t>项目产生的危险废物主要为废润滑油，收集后交由有资质单位处置，不排放，对环境影响小。通过采取评价提出的必要的可行的环境保护措施和风险防范措施，项目不改变区域环境功能，对周边居民的影响小，环境影响可接受。</w:t>
            </w:r>
          </w:p>
          <w:p w14:paraId="00FC3F02">
            <w:pPr>
              <w:spacing w:line="360" w:lineRule="auto"/>
              <w:ind w:firstLine="480" w:firstLineChars="200"/>
              <w:rPr>
                <w:rFonts w:ascii="Times New Roman" w:hAnsi="Times New Roman"/>
                <w:bCs/>
                <w:color w:val="auto"/>
              </w:rPr>
            </w:pPr>
            <w:r>
              <w:rPr>
                <w:rFonts w:ascii="Times New Roman" w:hAnsi="Times New Roman"/>
                <w:sz w:val="24"/>
              </w:rPr>
              <w:t>综上所述，工程选址符合相关技术规范要求，且不属于环境敏感区、不涉及淮南市生态保护红线，在采取必要的环境保护措施和风险防范措施，对环境的影响可得到有效控制，从环境保护角度分析本项目选址合理。</w:t>
            </w:r>
          </w:p>
        </w:tc>
      </w:tr>
    </w:tbl>
    <w:p w14:paraId="7EEC4512">
      <w:pPr>
        <w:pStyle w:val="19"/>
        <w:jc w:val="center"/>
        <w:rPr>
          <w:rFonts w:ascii="Times New Roman" w:hAnsi="Times New Roman" w:eastAsia="黑体"/>
          <w:snapToGrid w:val="0"/>
          <w:color w:val="auto"/>
          <w:sz w:val="36"/>
          <w:szCs w:val="36"/>
        </w:rPr>
        <w:sectPr>
          <w:pgSz w:w="11906" w:h="16838"/>
          <w:pgMar w:top="1440" w:right="1800" w:bottom="1440" w:left="1800" w:header="851" w:footer="1077" w:gutter="0"/>
          <w:pgNumType w:fmt="decimal"/>
          <w:cols w:space="720" w:num="1"/>
          <w:docGrid w:linePitch="312" w:charSpace="0"/>
        </w:sectPr>
      </w:pPr>
    </w:p>
    <w:p w14:paraId="03E21D3E">
      <w:pPr>
        <w:bidi w:val="0"/>
        <w:rPr>
          <w:color w:val="auto"/>
        </w:rPr>
      </w:pPr>
    </w:p>
    <w:p w14:paraId="2A69D98D">
      <w:pPr>
        <w:pStyle w:val="19"/>
        <w:jc w:val="center"/>
        <w:outlineLvl w:val="0"/>
        <w:rPr>
          <w:rFonts w:ascii="Times New Roman" w:hAnsi="Times New Roman" w:eastAsia="黑体"/>
          <w:snapToGrid w:val="0"/>
          <w:color w:val="auto"/>
          <w:sz w:val="30"/>
          <w:szCs w:val="30"/>
        </w:rPr>
      </w:pPr>
      <w:bookmarkStart w:id="16" w:name="_Toc31829"/>
      <w:r>
        <w:rPr>
          <w:rFonts w:ascii="Times New Roman" w:hAnsi="Times New Roman" w:eastAsia="黑体"/>
          <w:snapToGrid w:val="0"/>
          <w:color w:val="auto"/>
          <w:sz w:val="30"/>
          <w:szCs w:val="30"/>
        </w:rPr>
        <w:t>五、主要生态环境保护措施</w:t>
      </w:r>
      <w:bookmarkEnd w:id="16"/>
    </w:p>
    <w:tbl>
      <w:tblPr>
        <w:tblStyle w:val="20"/>
        <w:tblW w:w="87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7980"/>
      </w:tblGrid>
      <w:tr w14:paraId="14A0EA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59" w:hRule="atLeast"/>
          <w:jc w:val="center"/>
        </w:trPr>
        <w:tc>
          <w:tcPr>
            <w:tcW w:w="753" w:type="dxa"/>
            <w:noWrap w:val="0"/>
            <w:tcMar>
              <w:left w:w="28" w:type="dxa"/>
              <w:right w:w="28" w:type="dxa"/>
            </w:tcMar>
            <w:vAlign w:val="center"/>
          </w:tcPr>
          <w:p w14:paraId="74379456">
            <w:pPr>
              <w:keepNext w:val="0"/>
              <w:keepLines w:val="0"/>
              <w:pageBreakBefore w:val="0"/>
              <w:kinsoku/>
              <w:wordWrap/>
              <w:overflowPunct/>
              <w:topLinePunct w:val="0"/>
              <w:bidi w:val="0"/>
              <w:adjustRightInd w:val="0"/>
              <w:snapToGrid w:val="0"/>
              <w:jc w:val="center"/>
              <w:textAlignment w:val="auto"/>
              <w:rPr>
                <w:rFonts w:ascii="Times New Roman" w:hAnsi="Times New Roman"/>
                <w:bCs/>
                <w:color w:val="auto"/>
                <w:sz w:val="24"/>
              </w:rPr>
            </w:pPr>
            <w:r>
              <w:rPr>
                <w:rFonts w:ascii="Times New Roman" w:hAnsi="Times New Roman"/>
                <w:bCs/>
                <w:color w:val="auto"/>
                <w:spacing w:val="10"/>
                <w:sz w:val="24"/>
              </w:rPr>
              <w:t>施工期生态环境保护措施</w:t>
            </w:r>
          </w:p>
        </w:tc>
        <w:tc>
          <w:tcPr>
            <w:tcW w:w="7980" w:type="dxa"/>
            <w:noWrap w:val="0"/>
            <w:vAlign w:val="top"/>
          </w:tcPr>
          <w:p w14:paraId="257899D0">
            <w:pPr>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1、大气污染物防治措施</w:t>
            </w:r>
          </w:p>
          <w:p w14:paraId="52DA68D3">
            <w:pPr>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项目施工过程中的大气污染主要来自于施工场地的扬尘、施工机械的尾气。这些废气的影响是局部的、暂时的，影响的程度及范围有限，随着施工期的结束而逐渐消失。</w:t>
            </w:r>
          </w:p>
          <w:p w14:paraId="3EFB966A">
            <w:pPr>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为减轻扬尘对区域环境空气的不利影响，应按照《安徽省大气污染防治条例》《安徽省大气污染防治行动计划实施方案》（皖政（2013）89号）、《安徽省人民政府办公厅关于印发安徽省重污染天气应急预案的通知》（皖政办秘〔2017〕97号）、《安徽省人民政府关于2018年重点工作及责任分解的通知》（皖政〔2018〕23号）及省大气办关于印发《2018年安徽省大气污染防治重点工作任务》的通知（皖大气办〔2018〕7号）、《防治城市扬尘污染技术规范》（HJ/T393-2007）、《建筑工程施工和预拌混凝土生产扬尘污染防治标准（试行）》《淮南市扬尘污染防治条例》等要求，施工企业要在开工前制定相应的施工现场扬尘控制措施。</w:t>
            </w:r>
          </w:p>
          <w:p w14:paraId="3DFD2BE7">
            <w:pPr>
              <w:spacing w:line="360" w:lineRule="auto"/>
              <w:ind w:firstLine="480" w:firstLineChars="200"/>
              <w:rPr>
                <w:rStyle w:val="41"/>
                <w:rFonts w:hint="default" w:ascii="Times New Roman" w:hAnsi="宋体"/>
                <w:color w:val="auto"/>
                <w:kern w:val="0"/>
              </w:rPr>
            </w:pPr>
            <w:r>
              <w:rPr>
                <w:rStyle w:val="41"/>
                <w:rFonts w:hint="default" w:ascii="Times New Roman" w:hAnsi="宋体"/>
                <w:color w:val="auto"/>
                <w:kern w:val="0"/>
              </w:rPr>
              <w:t>施工期间应特别注意施工扬尘的防治问题，须制定必要的防治措施，以减少施工扬尘对周围环境的影响。对于</w:t>
            </w:r>
            <w:r>
              <w:rPr>
                <w:rStyle w:val="41"/>
                <w:rFonts w:hint="eastAsia" w:ascii="Times New Roman" w:hAnsi="宋体"/>
                <w:color w:val="auto"/>
                <w:kern w:val="0"/>
                <w:lang w:val="en-US" w:eastAsia="zh-CN"/>
              </w:rPr>
              <w:t>井场范围内</w:t>
            </w:r>
            <w:r>
              <w:rPr>
                <w:rStyle w:val="41"/>
                <w:rFonts w:hint="default" w:ascii="Times New Roman" w:hAnsi="宋体"/>
                <w:color w:val="auto"/>
                <w:kern w:val="0"/>
              </w:rPr>
              <w:t>的扬尘治理，还要做到</w:t>
            </w:r>
            <w:r>
              <w:rPr>
                <w:rStyle w:val="41"/>
                <w:rFonts w:hint="eastAsia" w:ascii="Times New Roman" w:hAnsi="宋体"/>
                <w:color w:val="auto"/>
                <w:kern w:val="0"/>
                <w:lang w:eastAsia="zh-CN"/>
              </w:rPr>
              <w:t>“</w:t>
            </w:r>
            <w:r>
              <w:rPr>
                <w:rStyle w:val="41"/>
                <w:rFonts w:hint="default" w:ascii="Times New Roman" w:hAnsi="宋体"/>
                <w:color w:val="auto"/>
                <w:kern w:val="0"/>
              </w:rPr>
              <w:t>六个百分百</w:t>
            </w:r>
            <w:r>
              <w:rPr>
                <w:rStyle w:val="41"/>
                <w:rFonts w:hint="eastAsia" w:ascii="Times New Roman" w:hAnsi="宋体"/>
                <w:color w:val="auto"/>
                <w:kern w:val="0"/>
                <w:lang w:eastAsia="zh-CN"/>
              </w:rPr>
              <w:t>”</w:t>
            </w:r>
            <w:r>
              <w:rPr>
                <w:rStyle w:val="41"/>
                <w:rFonts w:hint="default" w:ascii="Times New Roman" w:hAnsi="宋体"/>
                <w:color w:val="auto"/>
                <w:kern w:val="0"/>
              </w:rPr>
              <w:t>措施：</w:t>
            </w:r>
          </w:p>
          <w:p w14:paraId="509FA7ED">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①现场封闭管理百分之百施工现场硬质围挡应连续设置，围挡不低于2.5m，做到坚固、平稳、整洁、美观。在建工程外立面应用安全网实现全封闭围护。</w:t>
            </w:r>
          </w:p>
          <w:p w14:paraId="5C81C428">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②场区道路硬化百分之百</w:t>
            </w:r>
          </w:p>
          <w:p w14:paraId="0EE792AD">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主要通道、进出道路、材料加工区及办公生活区地面进行硬化处理。</w:t>
            </w:r>
          </w:p>
          <w:p w14:paraId="47450C00">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③渣土物料蓬盖百分之百</w:t>
            </w:r>
          </w:p>
          <w:p w14:paraId="02C3BC41">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施工现场内裸露的场地和集中堆放的土方应采取覆盖、固化或绿化等防尘措施。易产生扬尘的物料要篷盖。</w:t>
            </w:r>
          </w:p>
          <w:p w14:paraId="2C8C4204">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④洒水清扫保洁百分之百</w:t>
            </w:r>
          </w:p>
          <w:p w14:paraId="0C814FF1">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施工现场设专人负责卫生保洁，每天上午、下午各进行二次洒水降尘，遇到干旱和大风天气时，应增加洒水降尘次数，确保无浮土扬尘。开挖、回填等土方作业时，要辅以洒水压尘等措施。工程竣工后，施工现场的临设、围挡、垃圾等必须及时清理完毕，清理时必须采取有效的降尘措施。</w:t>
            </w:r>
          </w:p>
          <w:p w14:paraId="2181F1A1">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⑤物料密闭运输百分之百易产生扬尘的建筑材料、渣土应采取密闭搬运、存储或采用防尘布苫盖等防尘措施。严禁熔融沥青、焚烧垃圾等有毒有害物质，禁止无牌无证车辆进入施工现场。</w:t>
            </w:r>
          </w:p>
          <w:p w14:paraId="4BC6CC25">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⑥出入车辆清洗百分之百</w:t>
            </w:r>
          </w:p>
          <w:p w14:paraId="15A8CED1">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施工现场出入口处设置自动车辆冲洗装置和沉淀池，运输车辆底盘和车轮冲洗干净后方可驶离施工现场。</w:t>
            </w:r>
          </w:p>
          <w:p w14:paraId="3DA91897">
            <w:pPr>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要加强现场管理，做好文明标化施工，采取配置工地滞尘防护网、设置围档和硬化道路，及车辆出场冲洗等措施，最大程度减少扬尘对周围大气环境的危害，必要时采用水雾以降低和防止二次扬尘。其次，在土方挖掘、平整阶段，运土车辆必须做到净车出场，最大限度减少泥土撒落构成扬尘污染，在运输、装卸建筑材料时，应采用封闭车辆运输，尤其是泥砂等。</w:t>
            </w:r>
          </w:p>
          <w:p w14:paraId="3212A2AC">
            <w:pPr>
              <w:adjustRightInd w:val="0"/>
              <w:snapToGrid w:val="0"/>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同时环评建议通过如下措施降低施工期对大气环境的影响：</w:t>
            </w:r>
          </w:p>
          <w:p w14:paraId="4D3AB4D5">
            <w:pPr>
              <w:adjustRightInd w:val="0"/>
              <w:snapToGrid w:val="0"/>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（1）施工单位应根据《建设工程施工现场管理规定》的要求设置现场平面布置图、工程概况牌、安全生产牌、消防保卫牌、文明施工牌、环境保护牌、管理人员名单及监督电话牌等；</w:t>
            </w:r>
          </w:p>
          <w:p w14:paraId="0D8FAA05">
            <w:pPr>
              <w:adjustRightInd w:val="0"/>
              <w:snapToGrid w:val="0"/>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（2）施工现场围挡高度符合《建筑施工安全检查标准》（JGJ59-2011）要求，围挡应连续、密闭、坚固、稳定、整洁、美观，同时围挡上部宜设置朝向场内区域的喷雾装置，每组间隔不宜大于4m。</w:t>
            </w:r>
          </w:p>
          <w:p w14:paraId="172CFFAA">
            <w:pPr>
              <w:adjustRightInd w:val="0"/>
              <w:snapToGrid w:val="0"/>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（3）施工现场非作业地面裸露的场地必须绿化或严密覆盖；</w:t>
            </w:r>
          </w:p>
          <w:p w14:paraId="6A97A436">
            <w:pPr>
              <w:adjustRightInd w:val="0"/>
              <w:snapToGrid w:val="0"/>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（4）施工现场采取围挡、严密遮盖等防尘措施；</w:t>
            </w:r>
          </w:p>
          <w:p w14:paraId="79F87B7D">
            <w:pPr>
              <w:adjustRightInd w:val="0"/>
              <w:snapToGrid w:val="0"/>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（5）施工作业环境要整洁干净，应设置洒水降尘设施；</w:t>
            </w:r>
          </w:p>
          <w:p w14:paraId="2C747468">
            <w:pPr>
              <w:adjustRightInd w:val="0"/>
              <w:snapToGrid w:val="0"/>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（6）启动Ⅲ级（黄色）或以上重污染天气预警或气象预报风速达到四级以上时，不得进行土方挖填、转运等易产生扬尘的作业；</w:t>
            </w:r>
          </w:p>
          <w:p w14:paraId="1254AFE0">
            <w:pPr>
              <w:adjustRightInd w:val="0"/>
              <w:snapToGrid w:val="0"/>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（7）确保渣土运输车辆安装GPS定位系统，严格实施密闭运输，落实出入井场车辆冲洗措施；</w:t>
            </w:r>
          </w:p>
          <w:p w14:paraId="19377C5E">
            <w:pPr>
              <w:adjustRightInd w:val="0"/>
              <w:snapToGrid w:val="0"/>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（8）建立施工工地管理清单，将施工工地扬尘污染防治纳入文明施工管理范畴，建立扬尘控制责任制度，扬尘治理费用列入工程造价；</w:t>
            </w:r>
          </w:p>
          <w:p w14:paraId="3EDA4A5E">
            <w:pPr>
              <w:adjustRightInd w:val="0"/>
              <w:snapToGrid w:val="0"/>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（9）建筑施工工地要做到工地周边围挡、物料堆放覆盖、土方开挖湿法作业、路面硬化、出入车辆清洗、渣土车辆密闭运输</w:t>
            </w:r>
            <w:r>
              <w:rPr>
                <w:rStyle w:val="41"/>
                <w:rFonts w:hint="eastAsia" w:ascii="Times New Roman" w:hAnsi="宋体"/>
                <w:color w:val="auto"/>
                <w:kern w:val="0"/>
                <w:highlight w:val="none"/>
                <w:lang w:eastAsia="zh-CN"/>
              </w:rPr>
              <w:t>“</w:t>
            </w:r>
            <w:r>
              <w:rPr>
                <w:rStyle w:val="41"/>
                <w:rFonts w:hint="default" w:ascii="Times New Roman" w:hAnsi="宋体"/>
                <w:color w:val="auto"/>
                <w:kern w:val="0"/>
                <w:highlight w:val="none"/>
              </w:rPr>
              <w:t>六个百分之百</w:t>
            </w:r>
            <w:r>
              <w:rPr>
                <w:rStyle w:val="41"/>
                <w:rFonts w:hint="eastAsia" w:ascii="Times New Roman" w:hAnsi="宋体"/>
                <w:color w:val="auto"/>
                <w:kern w:val="0"/>
                <w:highlight w:val="none"/>
                <w:lang w:eastAsia="zh-CN"/>
              </w:rPr>
              <w:t>”</w:t>
            </w:r>
            <w:r>
              <w:rPr>
                <w:rStyle w:val="41"/>
                <w:rFonts w:hint="default" w:ascii="Times New Roman" w:hAnsi="宋体"/>
                <w:color w:val="auto"/>
                <w:kern w:val="0"/>
                <w:highlight w:val="none"/>
              </w:rPr>
              <w:t>；</w:t>
            </w:r>
          </w:p>
          <w:p w14:paraId="41EBA7DC">
            <w:pPr>
              <w:adjustRightInd w:val="0"/>
              <w:snapToGrid w:val="0"/>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（10）加强施工机械设备及车辆的养护，定期对施工机械和施工运输车辆排放的尾气进行检查监测，加强机械维修保养；</w:t>
            </w:r>
          </w:p>
          <w:p w14:paraId="5077C2BC">
            <w:pPr>
              <w:adjustRightInd w:val="0"/>
              <w:snapToGrid w:val="0"/>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（11）运送散装物料车辆应保持良好的密封状态，车辆不应装载过满，以免在运输途中颠簸洒落；在晴朗多风天气，装载土料时，应适当加湿或用帆布覆盖；</w:t>
            </w:r>
          </w:p>
          <w:p w14:paraId="1B26122B">
            <w:pPr>
              <w:adjustRightInd w:val="0"/>
              <w:snapToGrid w:val="0"/>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（12）保持车辆进出施工场地路面清洁，设置洗车平台，完善排水设施，运输车辆应当在除泥、冲洗干净后，方可驶出施工工地；</w:t>
            </w:r>
          </w:p>
          <w:p w14:paraId="572B4A5C">
            <w:pPr>
              <w:adjustRightInd w:val="0"/>
              <w:snapToGrid w:val="0"/>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（13）工地应有专人负责逸散性材料、垃圾、渣土、裸地等密闭、覆盖、洒水作业以及车辆清洗作业等，并记录扬尘控制措施的实施情况。</w:t>
            </w:r>
          </w:p>
          <w:p w14:paraId="529D61A1">
            <w:pPr>
              <w:adjustRightInd w:val="0"/>
              <w:snapToGrid w:val="0"/>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（14）施工结束时，应及时对施工占用场地恢复地面道路及植被。</w:t>
            </w:r>
          </w:p>
          <w:p w14:paraId="596237B0">
            <w:pPr>
              <w:adjustRightInd w:val="0"/>
              <w:snapToGrid w:val="0"/>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通过以上措施，可在一定程度上减少扬尘的产生，从而减少对大气环境的影响。</w:t>
            </w:r>
          </w:p>
          <w:p w14:paraId="7B055F0D">
            <w:pPr>
              <w:widowControl/>
              <w:adjustRightInd w:val="0"/>
              <w:snapToGrid w:val="0"/>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2、水污染物防治措施</w:t>
            </w:r>
          </w:p>
          <w:p w14:paraId="57EB2069">
            <w:pPr>
              <w:widowControl/>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（1）废水回用可行性分析</w:t>
            </w:r>
          </w:p>
          <w:p w14:paraId="1A8CD26E">
            <w:pPr>
              <w:widowControl/>
              <w:spacing w:line="360" w:lineRule="auto"/>
              <w:ind w:firstLine="480" w:firstLineChars="200"/>
              <w:rPr>
                <w:rStyle w:val="41"/>
                <w:rFonts w:hint="default" w:ascii="Times New Roman" w:hAnsi="Times New Roman" w:cs="Times New Roman"/>
                <w:color w:val="auto"/>
                <w:kern w:val="0"/>
                <w:highlight w:val="none"/>
              </w:rPr>
            </w:pPr>
            <w:r>
              <w:rPr>
                <w:rStyle w:val="41"/>
                <w:rFonts w:hint="default" w:ascii="Times New Roman" w:hAnsi="Times New Roman" w:cs="Times New Roman"/>
                <w:color w:val="auto"/>
                <w:kern w:val="0"/>
                <w:highlight w:val="none"/>
                <w:lang w:val="en-US" w:eastAsia="zh-CN"/>
              </w:rPr>
              <w:t>①</w:t>
            </w:r>
            <w:r>
              <w:rPr>
                <w:rStyle w:val="41"/>
                <w:rFonts w:hint="default" w:ascii="Times New Roman" w:hAnsi="Times New Roman" w:cs="Times New Roman"/>
                <w:color w:val="auto"/>
                <w:kern w:val="0"/>
                <w:highlight w:val="none"/>
              </w:rPr>
              <w:t>水量回用可行性分析：本项目废水主要包括钻井工艺废水、车辆冲洗废水以及生活污水。</w:t>
            </w:r>
            <w:r>
              <w:rPr>
                <w:rFonts w:hint="default" w:ascii="Times New Roman" w:hAnsi="Times New Roman" w:eastAsia="宋体" w:cs="Times New Roman"/>
                <w:color w:val="auto"/>
                <w:sz w:val="24"/>
                <w:highlight w:val="none"/>
                <w:lang w:val="en-US" w:eastAsia="zh-CN"/>
              </w:rPr>
              <w:t>本次项目</w:t>
            </w:r>
            <w:r>
              <w:rPr>
                <w:rFonts w:hint="default" w:ascii="Times New Roman" w:hAnsi="Times New Roman" w:eastAsia="宋体" w:cs="Times New Roman"/>
                <w:color w:val="auto"/>
                <w:sz w:val="24"/>
                <w:highlight w:val="none"/>
              </w:rPr>
              <w:t>每个钻孔总用</w:t>
            </w:r>
            <w:r>
              <w:rPr>
                <w:rFonts w:hint="default" w:ascii="Times New Roman" w:hAnsi="Times New Roman" w:eastAsia="宋体" w:cs="Times New Roman"/>
                <w:color w:val="auto"/>
                <w:sz w:val="24"/>
                <w:highlight w:val="none"/>
                <w:lang w:val="en-US" w:eastAsia="zh-CN"/>
              </w:rPr>
              <w:t>新鲜</w:t>
            </w:r>
            <w:r>
              <w:rPr>
                <w:rFonts w:hint="default" w:ascii="Times New Roman" w:hAnsi="Times New Roman" w:eastAsia="宋体" w:cs="Times New Roman"/>
                <w:color w:val="auto"/>
                <w:sz w:val="24"/>
                <w:highlight w:val="none"/>
              </w:rPr>
              <w:t>水约为</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0m³，共</w:t>
            </w:r>
            <w:r>
              <w:rPr>
                <w:rFonts w:hint="eastAsia"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个</w:t>
            </w:r>
            <w:r>
              <w:rPr>
                <w:rFonts w:hint="default" w:ascii="Times New Roman" w:hAnsi="Times New Roman" w:eastAsia="宋体" w:cs="Times New Roman"/>
                <w:color w:val="auto"/>
                <w:sz w:val="24"/>
                <w:highlight w:val="none"/>
              </w:rPr>
              <w:t>钻孔，钻井总用水量</w:t>
            </w:r>
            <w:r>
              <w:rPr>
                <w:rFonts w:hint="default" w:ascii="Times New Roman" w:hAnsi="Times New Roman" w:eastAsia="宋体"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8</w:t>
            </w:r>
            <w:r>
              <w:rPr>
                <w:rFonts w:hint="default" w:ascii="Times New Roman" w:hAnsi="Times New Roman" w:eastAsia="宋体" w:cs="Times New Roman"/>
                <w:color w:val="auto"/>
                <w:sz w:val="24"/>
                <w:highlight w:val="none"/>
              </w:rPr>
              <w:t>0m³</w:t>
            </w:r>
            <w:r>
              <w:rPr>
                <w:rFonts w:hint="eastAsia"/>
                <w:color w:val="auto"/>
                <w:sz w:val="24"/>
                <w:highlight w:val="none"/>
              </w:rPr>
              <w:t>，</w:t>
            </w:r>
            <w:r>
              <w:rPr>
                <w:rFonts w:hint="eastAsia"/>
                <w:color w:val="auto"/>
                <w:sz w:val="24"/>
                <w:highlight w:val="none"/>
                <w:lang w:val="en-US" w:eastAsia="zh-CN"/>
              </w:rPr>
              <w:t>本项目各</w:t>
            </w:r>
            <w:r>
              <w:rPr>
                <w:rFonts w:hint="eastAsia"/>
                <w:color w:val="auto"/>
                <w:sz w:val="24"/>
                <w:highlight w:val="none"/>
              </w:rPr>
              <w:t>井场</w:t>
            </w:r>
            <w:r>
              <w:rPr>
                <w:rFonts w:hint="eastAsia"/>
                <w:color w:val="auto"/>
                <w:sz w:val="24"/>
                <w:highlight w:val="none"/>
                <w:lang w:val="en-US" w:eastAsia="zh-CN"/>
              </w:rPr>
              <w:t>钻井工程</w:t>
            </w:r>
            <w:r>
              <w:rPr>
                <w:rFonts w:hint="eastAsia"/>
                <w:color w:val="auto"/>
                <w:sz w:val="24"/>
                <w:highlight w:val="none"/>
              </w:rPr>
              <w:t>预计约</w:t>
            </w:r>
            <w:r>
              <w:rPr>
                <w:rFonts w:hint="eastAsia"/>
                <w:color w:val="auto"/>
                <w:sz w:val="24"/>
                <w:highlight w:val="none"/>
                <w:lang w:val="en-US" w:eastAsia="zh-CN"/>
              </w:rPr>
              <w:t>5</w:t>
            </w:r>
            <w:r>
              <w:rPr>
                <w:rFonts w:hint="eastAsia"/>
                <w:color w:val="auto"/>
                <w:sz w:val="24"/>
                <w:highlight w:val="none"/>
              </w:rPr>
              <w:t>个月，循环水量约</w:t>
            </w:r>
            <w:r>
              <w:rPr>
                <w:rFonts w:hint="eastAsia" w:ascii="Times New Roman" w:hAnsi="Times New Roman" w:cs="Times New Roman"/>
                <w:color w:val="auto"/>
                <w:sz w:val="24"/>
                <w:highlight w:val="none"/>
                <w:lang w:val="en-US" w:eastAsia="zh-CN"/>
              </w:rPr>
              <w:t>72</w:t>
            </w:r>
            <w:r>
              <w:rPr>
                <w:rFonts w:hint="default" w:ascii="Times New Roman" w:hAnsi="Times New Roman" w:cs="Times New Roman"/>
                <w:color w:val="auto"/>
                <w:sz w:val="24"/>
                <w:highlight w:val="none"/>
              </w:rPr>
              <w:t>m³/d</w:t>
            </w:r>
            <w:r>
              <w:rPr>
                <w:rFonts w:hint="eastAsia"/>
                <w:color w:val="auto"/>
                <w:sz w:val="24"/>
                <w:highlight w:val="none"/>
              </w:rPr>
              <w:t>。</w:t>
            </w:r>
            <w:r>
              <w:rPr>
                <w:rStyle w:val="41"/>
                <w:rFonts w:hint="default" w:ascii="Times New Roman" w:hAnsi="Times New Roman" w:cs="Times New Roman"/>
                <w:color w:val="auto"/>
                <w:kern w:val="0"/>
                <w:highlight w:val="none"/>
              </w:rPr>
              <w:t>每个井场设1个</w:t>
            </w:r>
            <w:r>
              <w:rPr>
                <w:rStyle w:val="41"/>
                <w:rFonts w:hint="eastAsia" w:ascii="Times New Roman" w:hAnsi="Times New Roman" w:cs="Times New Roman"/>
                <w:color w:val="auto"/>
                <w:kern w:val="0"/>
                <w:highlight w:val="none"/>
                <w:lang w:eastAsia="zh-CN"/>
              </w:rPr>
              <w:t>泥浆池</w:t>
            </w:r>
            <w:r>
              <w:rPr>
                <w:rStyle w:val="41"/>
                <w:rFonts w:hint="default" w:ascii="Times New Roman" w:hAnsi="Times New Roman" w:cs="Times New Roman"/>
                <w:color w:val="auto"/>
                <w:kern w:val="0"/>
                <w:highlight w:val="none"/>
              </w:rPr>
              <w:t>，容积</w:t>
            </w:r>
            <w:r>
              <w:rPr>
                <w:rStyle w:val="41"/>
                <w:rFonts w:hint="default" w:ascii="Times New Roman" w:hAnsi="Times New Roman" w:cs="Times New Roman"/>
                <w:color w:val="auto"/>
                <w:kern w:val="0"/>
                <w:highlight w:val="none"/>
                <w:lang w:val="en-US" w:eastAsia="zh-CN"/>
              </w:rPr>
              <w:t>36</w:t>
            </w:r>
            <w:r>
              <w:rPr>
                <w:rStyle w:val="41"/>
                <w:rFonts w:hint="default" w:ascii="Times New Roman" w:hAnsi="Times New Roman" w:cs="Times New Roman"/>
                <w:color w:val="auto"/>
                <w:kern w:val="0"/>
                <w:highlight w:val="none"/>
              </w:rPr>
              <w:t>m</w:t>
            </w:r>
            <w:r>
              <w:rPr>
                <w:rStyle w:val="41"/>
                <w:rFonts w:hint="default" w:ascii="Times New Roman" w:hAnsi="Times New Roman" w:cs="Times New Roman"/>
                <w:color w:val="auto"/>
                <w:kern w:val="0"/>
                <w:highlight w:val="none"/>
                <w:vertAlign w:val="superscript"/>
              </w:rPr>
              <w:t>3</w:t>
            </w:r>
            <w:r>
              <w:rPr>
                <w:rStyle w:val="41"/>
                <w:rFonts w:hint="default" w:ascii="Times New Roman" w:hAnsi="Times New Roman" w:cs="Times New Roman"/>
                <w:color w:val="auto"/>
                <w:kern w:val="0"/>
                <w:highlight w:val="none"/>
              </w:rPr>
              <w:t>，钻井泥浆通过泥浆泵以</w:t>
            </w:r>
            <w:r>
              <w:rPr>
                <w:rStyle w:val="41"/>
                <w:rFonts w:hint="eastAsia" w:ascii="Times New Roman" w:hAnsi="Times New Roman" w:cs="Times New Roman"/>
                <w:color w:val="auto"/>
                <w:kern w:val="0"/>
                <w:highlight w:val="none"/>
                <w:lang w:eastAsia="zh-CN"/>
              </w:rPr>
              <w:t>泥浆池</w:t>
            </w:r>
            <w:r>
              <w:rPr>
                <w:rStyle w:val="41"/>
                <w:rFonts w:hint="default" w:ascii="Times New Roman" w:hAnsi="Times New Roman" w:cs="Times New Roman"/>
                <w:color w:val="auto"/>
                <w:kern w:val="0"/>
                <w:highlight w:val="none"/>
              </w:rPr>
              <w:t>沉淀后循环使用，不外排；</w:t>
            </w:r>
            <w:r>
              <w:rPr>
                <w:rFonts w:eastAsia="宋体"/>
                <w:color w:val="auto"/>
                <w:sz w:val="24"/>
                <w:highlight w:val="none"/>
              </w:rPr>
              <w:t>项目施工期</w:t>
            </w:r>
            <w:r>
              <w:rPr>
                <w:rFonts w:hint="eastAsia"/>
                <w:color w:val="auto"/>
                <w:sz w:val="24"/>
                <w:highlight w:val="none"/>
                <w:lang w:val="en-US" w:eastAsia="zh-CN"/>
              </w:rPr>
              <w:t>每个井场</w:t>
            </w:r>
            <w:r>
              <w:rPr>
                <w:rFonts w:eastAsia="宋体"/>
                <w:color w:val="auto"/>
                <w:sz w:val="24"/>
                <w:highlight w:val="none"/>
              </w:rPr>
              <w:t>每天进出车辆共约</w:t>
            </w:r>
            <w:r>
              <w:rPr>
                <w:rFonts w:hint="eastAsia" w:eastAsia="宋体"/>
                <w:color w:val="auto"/>
                <w:sz w:val="24"/>
                <w:highlight w:val="none"/>
                <w:lang w:val="en-US" w:eastAsia="zh-CN"/>
              </w:rPr>
              <w:t>4</w:t>
            </w:r>
            <w:r>
              <w:rPr>
                <w:rFonts w:eastAsia="宋体"/>
                <w:color w:val="auto"/>
                <w:sz w:val="24"/>
                <w:highlight w:val="none"/>
              </w:rPr>
              <w:t>辆次，则冲洗用水量约为</w:t>
            </w:r>
            <w:r>
              <w:rPr>
                <w:rFonts w:hint="eastAsia" w:ascii="Times New Roman" w:hAnsi="Times New Roman"/>
                <w:color w:val="auto"/>
                <w:sz w:val="24"/>
                <w:szCs w:val="24"/>
                <w:highlight w:val="none"/>
                <w:lang w:val="en-US" w:eastAsia="zh-CN"/>
              </w:rPr>
              <w:t>172.8</w:t>
            </w:r>
            <w:r>
              <w:rPr>
                <w:rFonts w:hint="eastAsia" w:ascii="Times New Roman" w:hAnsi="Times New Roman" w:eastAsia="宋体"/>
                <w:color w:val="auto"/>
                <w:sz w:val="24"/>
                <w:szCs w:val="24"/>
                <w:highlight w:val="none"/>
                <w:lang w:val="en-US" w:eastAsia="zh-CN"/>
              </w:rPr>
              <w:t>m</w:t>
            </w:r>
            <w:r>
              <w:rPr>
                <w:rFonts w:hint="eastAsia" w:ascii="Times New Roman" w:hAnsi="Times New Roman" w:eastAsia="宋体"/>
                <w:color w:val="auto"/>
                <w:sz w:val="24"/>
                <w:szCs w:val="24"/>
                <w:highlight w:val="none"/>
                <w:vertAlign w:val="superscript"/>
                <w:lang w:val="en-US" w:eastAsia="zh-CN"/>
              </w:rPr>
              <w:t>3</w:t>
            </w:r>
            <w:r>
              <w:rPr>
                <w:rFonts w:hint="eastAsia" w:ascii="Times New Roman" w:hAnsi="Times New Roman" w:eastAsia="宋体"/>
                <w:color w:val="auto"/>
                <w:sz w:val="24"/>
                <w:szCs w:val="24"/>
                <w:highlight w:val="none"/>
                <w:lang w:val="en-US" w:eastAsia="zh-CN"/>
              </w:rPr>
              <w:t>（</w:t>
            </w:r>
            <w:r>
              <w:rPr>
                <w:rFonts w:hint="eastAsia" w:ascii="Times New Roman" w:hAnsi="Times New Roman"/>
                <w:color w:val="auto"/>
                <w:sz w:val="24"/>
                <w:szCs w:val="24"/>
                <w:highlight w:val="none"/>
                <w:lang w:val="en-US" w:eastAsia="zh-CN"/>
              </w:rPr>
              <w:t>0.96</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/d</w:t>
            </w:r>
            <w:r>
              <w:rPr>
                <w:rFonts w:hint="eastAsia" w:ascii="Times New Roman" w:hAnsi="Times New Roman" w:eastAsia="宋体"/>
                <w:color w:val="auto"/>
                <w:sz w:val="24"/>
                <w:szCs w:val="24"/>
                <w:highlight w:val="none"/>
                <w:lang w:val="en-US" w:eastAsia="zh-CN"/>
              </w:rPr>
              <w:t>）</w:t>
            </w:r>
            <w:r>
              <w:rPr>
                <w:rFonts w:eastAsia="宋体"/>
                <w:color w:val="auto"/>
                <w:sz w:val="24"/>
                <w:highlight w:val="none"/>
              </w:rPr>
              <w:t>。冲洗水约有</w:t>
            </w:r>
            <w:r>
              <w:rPr>
                <w:rFonts w:hint="eastAsia" w:eastAsia="宋体"/>
                <w:color w:val="auto"/>
                <w:sz w:val="24"/>
                <w:highlight w:val="none"/>
              </w:rPr>
              <w:t>2</w:t>
            </w:r>
            <w:r>
              <w:rPr>
                <w:rFonts w:eastAsia="宋体"/>
                <w:color w:val="auto"/>
                <w:sz w:val="24"/>
                <w:highlight w:val="none"/>
              </w:rPr>
              <w:t>0%蒸发，其余</w:t>
            </w:r>
            <w:r>
              <w:rPr>
                <w:rFonts w:hint="eastAsia" w:eastAsia="宋体"/>
                <w:color w:val="auto"/>
                <w:sz w:val="24"/>
                <w:highlight w:val="none"/>
              </w:rPr>
              <w:t>约</w:t>
            </w:r>
            <w:r>
              <w:rPr>
                <w:rFonts w:hint="eastAsia" w:ascii="Times New Roman" w:hAnsi="Times New Roman"/>
                <w:color w:val="auto"/>
                <w:sz w:val="24"/>
                <w:szCs w:val="24"/>
                <w:highlight w:val="none"/>
                <w:lang w:val="en-US" w:eastAsia="zh-CN"/>
              </w:rPr>
              <w:t>138.2</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hint="eastAsia" w:ascii="Times New Roman" w:hAnsi="Times New Roman" w:eastAsia="宋体"/>
                <w:color w:val="auto"/>
                <w:sz w:val="24"/>
                <w:szCs w:val="24"/>
                <w:highlight w:val="none"/>
                <w:lang w:val="en-US" w:eastAsia="zh-CN"/>
              </w:rPr>
              <w:t>（</w:t>
            </w:r>
            <w:r>
              <w:rPr>
                <w:rFonts w:hint="eastAsia" w:ascii="Times New Roman" w:hAnsi="Times New Roman"/>
                <w:color w:val="auto"/>
                <w:sz w:val="24"/>
                <w:szCs w:val="24"/>
                <w:highlight w:val="none"/>
                <w:lang w:val="en-US" w:eastAsia="zh-CN"/>
              </w:rPr>
              <w:t>0.77</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/d</w:t>
            </w:r>
            <w:r>
              <w:rPr>
                <w:rFonts w:hint="eastAsia" w:ascii="Times New Roman" w:hAnsi="Times New Roman" w:eastAsia="宋体"/>
                <w:color w:val="auto"/>
                <w:sz w:val="24"/>
                <w:szCs w:val="24"/>
                <w:highlight w:val="none"/>
                <w:lang w:val="en-US" w:eastAsia="zh-CN"/>
              </w:rPr>
              <w:t>）</w:t>
            </w:r>
            <w:r>
              <w:rPr>
                <w:rFonts w:eastAsia="宋体"/>
                <w:color w:val="auto"/>
                <w:sz w:val="24"/>
                <w:highlight w:val="none"/>
              </w:rPr>
              <w:t>水进入沉淀池沉淀后循环使用</w:t>
            </w:r>
            <w:r>
              <w:rPr>
                <w:rStyle w:val="41"/>
                <w:rFonts w:hint="default" w:ascii="Times New Roman" w:hAnsi="Times New Roman" w:cs="Times New Roman"/>
                <w:color w:val="auto"/>
                <w:kern w:val="0"/>
                <w:highlight w:val="none"/>
              </w:rPr>
              <w:t>，每个井场设1个沉淀池</w:t>
            </w:r>
            <w:r>
              <w:rPr>
                <w:rStyle w:val="41"/>
                <w:rFonts w:hint="default" w:ascii="Times New Roman" w:hAnsi="Times New Roman" w:cs="Times New Roman"/>
                <w:color w:val="auto"/>
                <w:kern w:val="0"/>
                <w:highlight w:val="none"/>
                <w:lang w:val="en-US" w:eastAsia="zh-CN"/>
              </w:rPr>
              <w:t>8</w:t>
            </w:r>
            <w:r>
              <w:rPr>
                <w:rStyle w:val="41"/>
                <w:rFonts w:hint="default" w:ascii="Times New Roman" w:hAnsi="Times New Roman" w:cs="Times New Roman"/>
                <w:color w:val="auto"/>
                <w:kern w:val="0"/>
                <w:highlight w:val="none"/>
              </w:rPr>
              <w:t>m</w:t>
            </w:r>
            <w:r>
              <w:rPr>
                <w:rStyle w:val="41"/>
                <w:rFonts w:hint="default" w:ascii="Times New Roman" w:hAnsi="Times New Roman" w:cs="Times New Roman"/>
                <w:color w:val="auto"/>
                <w:kern w:val="0"/>
                <w:highlight w:val="none"/>
                <w:vertAlign w:val="superscript"/>
              </w:rPr>
              <w:t>3</w:t>
            </w:r>
            <w:r>
              <w:rPr>
                <w:rStyle w:val="41"/>
                <w:rFonts w:hint="default" w:ascii="Times New Roman" w:hAnsi="Times New Roman" w:cs="Times New Roman"/>
                <w:color w:val="auto"/>
                <w:kern w:val="0"/>
                <w:highlight w:val="none"/>
              </w:rPr>
              <w:t>，足够容纳生产过程中产生的废水；生活污水经化粪池处理后定期清掏用于当地农作物施肥。</w:t>
            </w:r>
          </w:p>
          <w:p w14:paraId="6C2A31CE">
            <w:pPr>
              <w:widowControl/>
              <w:spacing w:line="360" w:lineRule="auto"/>
              <w:ind w:firstLine="480" w:firstLineChars="200"/>
              <w:rPr>
                <w:rStyle w:val="41"/>
                <w:rFonts w:hint="default" w:ascii="Times New Roman" w:hAnsi="宋体"/>
                <w:color w:val="auto"/>
                <w:kern w:val="0"/>
                <w:highlight w:val="none"/>
              </w:rPr>
            </w:pPr>
            <w:r>
              <w:rPr>
                <w:rStyle w:val="41"/>
                <w:rFonts w:hint="eastAsia" w:cs="Calibri"/>
                <w:color w:val="auto"/>
                <w:kern w:val="0"/>
                <w:highlight w:val="none"/>
                <w:lang w:val="en-US" w:eastAsia="zh-CN"/>
              </w:rPr>
              <w:t>②</w:t>
            </w:r>
            <w:r>
              <w:rPr>
                <w:rStyle w:val="41"/>
                <w:rFonts w:hint="default" w:ascii="宋体" w:hAnsi="宋体" w:cs="宋体"/>
                <w:color w:val="auto"/>
                <w:kern w:val="0"/>
                <w:highlight w:val="none"/>
              </w:rPr>
              <w:t>水质回用可行性分析：施工废水中的主要污染物为悬浮物，钻井过程中的用水及洗车用水对水质无要求，</w:t>
            </w:r>
            <w:r>
              <w:rPr>
                <w:rStyle w:val="41"/>
                <w:rFonts w:hint="default" w:ascii="Times New Roman" w:hAnsi="宋体"/>
                <w:color w:val="auto"/>
                <w:kern w:val="0"/>
                <w:highlight w:val="none"/>
              </w:rPr>
              <w:t>钻井泥浆通过泥浆泵以</w:t>
            </w:r>
            <w:r>
              <w:rPr>
                <w:rStyle w:val="41"/>
                <w:rFonts w:hint="eastAsia" w:ascii="Times New Roman" w:hAnsi="宋体"/>
                <w:color w:val="auto"/>
                <w:kern w:val="0"/>
                <w:highlight w:val="none"/>
                <w:lang w:eastAsia="zh-CN"/>
              </w:rPr>
              <w:t>泥浆池</w:t>
            </w:r>
            <w:r>
              <w:rPr>
                <w:rStyle w:val="41"/>
                <w:rFonts w:hint="default" w:ascii="Times New Roman" w:hAnsi="宋体"/>
                <w:color w:val="auto"/>
                <w:kern w:val="0"/>
                <w:highlight w:val="none"/>
              </w:rPr>
              <w:t>沉淀后循环使用，冲洗废水沉淀后循环使用，从水量及水质方面项目废水回用均可行。</w:t>
            </w:r>
          </w:p>
          <w:p w14:paraId="41D3C88D">
            <w:pPr>
              <w:widowControl/>
              <w:spacing w:line="360" w:lineRule="auto"/>
              <w:ind w:firstLine="480" w:firstLineChars="200"/>
              <w:rPr>
                <w:rStyle w:val="41"/>
                <w:rFonts w:hint="eastAsia" w:ascii="Times New Roman" w:hAnsi="宋体" w:eastAsia="宋体"/>
                <w:color w:val="auto"/>
                <w:kern w:val="0"/>
                <w:highlight w:val="none"/>
                <w:lang w:eastAsia="zh-CN"/>
              </w:rPr>
            </w:pPr>
            <w:r>
              <w:rPr>
                <w:rStyle w:val="41"/>
                <w:rFonts w:hint="default" w:ascii="Times New Roman" w:hAnsi="宋体"/>
                <w:color w:val="auto"/>
                <w:kern w:val="0"/>
                <w:highlight w:val="none"/>
              </w:rPr>
              <w:t>（2）钻井</w:t>
            </w:r>
            <w:r>
              <w:rPr>
                <w:rStyle w:val="41"/>
                <w:rFonts w:hint="eastAsia" w:ascii="Times New Roman" w:hAnsi="宋体"/>
                <w:color w:val="auto"/>
                <w:kern w:val="0"/>
                <w:highlight w:val="none"/>
                <w:lang w:val="en-US" w:eastAsia="zh-CN"/>
              </w:rPr>
              <w:t>泥浆</w:t>
            </w:r>
          </w:p>
          <w:p w14:paraId="2952B2F9">
            <w:pPr>
              <w:widowControl/>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钻井</w:t>
            </w:r>
            <w:r>
              <w:rPr>
                <w:rStyle w:val="41"/>
                <w:rFonts w:hint="eastAsia" w:ascii="Times New Roman" w:hAnsi="宋体"/>
                <w:color w:val="auto"/>
                <w:kern w:val="0"/>
                <w:highlight w:val="none"/>
                <w:lang w:val="en-US" w:eastAsia="zh-CN"/>
              </w:rPr>
              <w:t>泥浆</w:t>
            </w:r>
            <w:r>
              <w:rPr>
                <w:rStyle w:val="41"/>
                <w:rFonts w:hint="default" w:ascii="Times New Roman" w:hAnsi="宋体"/>
                <w:color w:val="auto"/>
                <w:kern w:val="0"/>
                <w:highlight w:val="none"/>
              </w:rPr>
              <w:t>通过泥浆泵以</w:t>
            </w:r>
            <w:r>
              <w:rPr>
                <w:rStyle w:val="41"/>
                <w:rFonts w:hint="eastAsia" w:ascii="Times New Roman" w:hAnsi="宋体"/>
                <w:color w:val="auto"/>
                <w:kern w:val="0"/>
                <w:highlight w:val="none"/>
                <w:lang w:eastAsia="zh-CN"/>
              </w:rPr>
              <w:t>泥浆池</w:t>
            </w:r>
            <w:r>
              <w:rPr>
                <w:rStyle w:val="41"/>
                <w:rFonts w:hint="default" w:ascii="Times New Roman" w:hAnsi="宋体"/>
                <w:color w:val="auto"/>
                <w:kern w:val="0"/>
                <w:highlight w:val="none"/>
              </w:rPr>
              <w:t>为介质循环使用，不外排，待钻井结束后投加泥浆固化剂</w:t>
            </w:r>
            <w:r>
              <w:rPr>
                <w:rStyle w:val="41"/>
                <w:rFonts w:hint="eastAsia" w:ascii="Times New Roman" w:hAnsi="宋体"/>
                <w:color w:val="auto"/>
                <w:kern w:val="0"/>
                <w:highlight w:val="none"/>
                <w:lang w:eastAsia="zh-CN"/>
              </w:rPr>
              <w:t>固化后作为建筑材料外售</w:t>
            </w:r>
            <w:r>
              <w:rPr>
                <w:rStyle w:val="41"/>
                <w:rFonts w:hint="default" w:ascii="Times New Roman" w:hAnsi="宋体"/>
                <w:color w:val="auto"/>
                <w:kern w:val="0"/>
                <w:highlight w:val="none"/>
              </w:rPr>
              <w:t>，不随便丢弃，对当地地表水环境影响较小，在当地环境可接受范围内。</w:t>
            </w:r>
          </w:p>
          <w:p w14:paraId="146511C7">
            <w:pPr>
              <w:widowControl/>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为了加强项目钻井</w:t>
            </w:r>
            <w:r>
              <w:rPr>
                <w:rStyle w:val="41"/>
                <w:rFonts w:hint="eastAsia" w:ascii="Times New Roman" w:hAnsi="宋体"/>
                <w:color w:val="auto"/>
                <w:kern w:val="0"/>
                <w:highlight w:val="none"/>
                <w:lang w:val="en-US" w:eastAsia="zh-CN"/>
              </w:rPr>
              <w:t>泥浆</w:t>
            </w:r>
            <w:r>
              <w:rPr>
                <w:rStyle w:val="41"/>
                <w:rFonts w:hint="default" w:ascii="Times New Roman" w:hAnsi="宋体"/>
                <w:color w:val="auto"/>
                <w:kern w:val="0"/>
                <w:highlight w:val="none"/>
              </w:rPr>
              <w:t>储存的管理，环评要求建设单位做好以下几点：</w:t>
            </w:r>
          </w:p>
          <w:p w14:paraId="5647D761">
            <w:pPr>
              <w:widowControl/>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①井场应实施清污分流，清污分流管道应完善畅通，并确保钻井</w:t>
            </w:r>
            <w:r>
              <w:rPr>
                <w:rStyle w:val="41"/>
                <w:rFonts w:hint="eastAsia" w:ascii="Times New Roman" w:hAnsi="宋体"/>
                <w:color w:val="auto"/>
                <w:kern w:val="0"/>
                <w:highlight w:val="none"/>
                <w:lang w:val="en-US" w:eastAsia="zh-CN"/>
              </w:rPr>
              <w:t>泥浆</w:t>
            </w:r>
            <w:r>
              <w:rPr>
                <w:rStyle w:val="41"/>
                <w:rFonts w:hint="default" w:ascii="Times New Roman" w:hAnsi="宋体"/>
                <w:color w:val="auto"/>
                <w:kern w:val="0"/>
                <w:highlight w:val="none"/>
              </w:rPr>
              <w:t>全部进入沉淀池处理后进入</w:t>
            </w:r>
            <w:r>
              <w:rPr>
                <w:rStyle w:val="41"/>
                <w:rFonts w:hint="eastAsia" w:ascii="Times New Roman" w:hAnsi="宋体"/>
                <w:color w:val="auto"/>
                <w:kern w:val="0"/>
                <w:highlight w:val="none"/>
                <w:lang w:eastAsia="zh-CN"/>
              </w:rPr>
              <w:t>泥浆池</w:t>
            </w:r>
            <w:r>
              <w:rPr>
                <w:rStyle w:val="41"/>
                <w:rFonts w:hint="default" w:ascii="Times New Roman" w:hAnsi="宋体"/>
                <w:color w:val="auto"/>
                <w:kern w:val="0"/>
                <w:highlight w:val="none"/>
              </w:rPr>
              <w:t>储存，保证闭路循环使用。</w:t>
            </w:r>
          </w:p>
          <w:p w14:paraId="2203A157">
            <w:pPr>
              <w:widowControl/>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②不得乱排乱放废水。</w:t>
            </w:r>
          </w:p>
          <w:p w14:paraId="4023315F">
            <w:pPr>
              <w:widowControl/>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③现场人员应定期对</w:t>
            </w:r>
            <w:r>
              <w:rPr>
                <w:rStyle w:val="41"/>
                <w:rFonts w:hint="eastAsia" w:ascii="Times New Roman" w:hAnsi="宋体"/>
                <w:color w:val="auto"/>
                <w:kern w:val="0"/>
                <w:highlight w:val="none"/>
                <w:lang w:eastAsia="zh-CN"/>
              </w:rPr>
              <w:t>泥浆池</w:t>
            </w:r>
            <w:r>
              <w:rPr>
                <w:rStyle w:val="41"/>
                <w:rFonts w:hint="default" w:ascii="Times New Roman" w:hAnsi="宋体"/>
                <w:color w:val="auto"/>
                <w:kern w:val="0"/>
                <w:highlight w:val="none"/>
              </w:rPr>
              <w:t>渗漏情况进行巡检，发现异常情况立即汇报和整改，并作好记录。</w:t>
            </w:r>
          </w:p>
          <w:p w14:paraId="0E204AD6">
            <w:pPr>
              <w:widowControl/>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（3）车辆冲洗废水</w:t>
            </w:r>
          </w:p>
          <w:p w14:paraId="73797750">
            <w:pPr>
              <w:widowControl/>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每个井场进出口对车辆进行冲洗，配套建设容积</w:t>
            </w:r>
            <w:r>
              <w:rPr>
                <w:rStyle w:val="41"/>
                <w:rFonts w:hint="eastAsia" w:ascii="Times New Roman" w:hAnsi="宋体"/>
                <w:color w:val="auto"/>
                <w:kern w:val="0"/>
                <w:highlight w:val="none"/>
                <w:lang w:val="en-US" w:eastAsia="zh-CN"/>
              </w:rPr>
              <w:t>8</w:t>
            </w:r>
            <w:r>
              <w:rPr>
                <w:rStyle w:val="41"/>
                <w:rFonts w:hint="default" w:ascii="Times New Roman" w:hAnsi="宋体"/>
                <w:color w:val="auto"/>
                <w:kern w:val="0"/>
                <w:highlight w:val="none"/>
              </w:rPr>
              <w:t>m</w:t>
            </w:r>
            <w:r>
              <w:rPr>
                <w:rStyle w:val="41"/>
                <w:rFonts w:hint="default" w:ascii="Times New Roman" w:hAnsi="宋体"/>
                <w:color w:val="auto"/>
                <w:kern w:val="0"/>
                <w:highlight w:val="none"/>
                <w:vertAlign w:val="superscript"/>
              </w:rPr>
              <w:t>3</w:t>
            </w:r>
            <w:r>
              <w:rPr>
                <w:rStyle w:val="41"/>
                <w:rFonts w:hint="default" w:ascii="Times New Roman" w:hAnsi="宋体"/>
                <w:color w:val="auto"/>
                <w:kern w:val="0"/>
                <w:highlight w:val="none"/>
              </w:rPr>
              <w:t>循环沉淀池，车辆清洗废水经沉淀池沉淀后循环使用，不外排。</w:t>
            </w:r>
          </w:p>
          <w:p w14:paraId="18F0486D">
            <w:pPr>
              <w:widowControl/>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（4）生活污水</w:t>
            </w:r>
          </w:p>
          <w:p w14:paraId="693F81E7">
            <w:pPr>
              <w:widowControl/>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生活污水纳入场地临时化粪池等收集处理设施最终用于周边农田施肥，不外排。</w:t>
            </w:r>
          </w:p>
          <w:p w14:paraId="7B81F167">
            <w:pPr>
              <w:widowControl/>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生活污水农肥可行性分析：项目地处农村环境，根据对井场周边500m范围内的土地利用现状进行调查可知，周边区域有大量耕地，对肥料的需求量很大。对当地地表水环境无影响，在当地环境可接受范围内，生活污水用于旱地农肥措施可行。因此，项目施工对局部水域水质的影响是不大的，且影响是短期的。</w:t>
            </w:r>
          </w:p>
          <w:p w14:paraId="087BEB78">
            <w:pPr>
              <w:widowControl/>
              <w:adjustRightInd w:val="0"/>
              <w:snapToGrid w:val="0"/>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3、噪声防治措施</w:t>
            </w:r>
          </w:p>
          <w:p w14:paraId="05A09B71">
            <w:pPr>
              <w:spacing w:line="360" w:lineRule="auto"/>
              <w:ind w:firstLine="480" w:firstLineChars="200"/>
              <w:rPr>
                <w:rStyle w:val="41"/>
                <w:rFonts w:hint="default" w:ascii="Times New Roman" w:hAnsi="宋体"/>
                <w:color w:val="auto"/>
                <w:kern w:val="0"/>
              </w:rPr>
            </w:pPr>
            <w:r>
              <w:rPr>
                <w:rStyle w:val="41"/>
                <w:rFonts w:hint="default" w:ascii="Times New Roman" w:hAnsi="宋体"/>
                <w:color w:val="auto"/>
                <w:kern w:val="0"/>
              </w:rPr>
              <w:t>为减轻项目施工对周边敏感点的影响，评价提出如下措施加以控制：</w:t>
            </w:r>
          </w:p>
          <w:p w14:paraId="65F6C874">
            <w:pPr>
              <w:pStyle w:val="5"/>
              <w:spacing w:line="360" w:lineRule="auto"/>
              <w:ind w:firstLine="480"/>
              <w:rPr>
                <w:rFonts w:hint="eastAsia" w:ascii="Times New Roman" w:hAnsi="Times New Roman"/>
                <w:color w:val="auto"/>
                <w:sz w:val="24"/>
                <w:highlight w:val="none"/>
                <w:lang w:val="en-US" w:eastAsia="zh-CN"/>
              </w:rPr>
            </w:pPr>
            <w:r>
              <w:rPr>
                <w:rFonts w:hint="eastAsia" w:ascii="Times New Roman" w:hAnsi="Times New Roman"/>
                <w:color w:val="auto"/>
                <w:sz w:val="24"/>
                <w:highlight w:val="none"/>
              </w:rPr>
              <w:t>①</w:t>
            </w:r>
            <w:r>
              <w:rPr>
                <w:rFonts w:hint="eastAsia" w:ascii="Times New Roman" w:hAnsi="Times New Roman"/>
                <w:color w:val="auto"/>
                <w:sz w:val="24"/>
                <w:highlight w:val="none"/>
                <w:lang w:val="en-US" w:eastAsia="zh-CN"/>
              </w:rPr>
              <w:t>各井场距离居民点较近，本项目要求施工单位禁止在夜间施工。</w:t>
            </w:r>
          </w:p>
          <w:p w14:paraId="7D3C699E">
            <w:pPr>
              <w:pStyle w:val="5"/>
              <w:spacing w:line="360" w:lineRule="auto"/>
              <w:ind w:firstLine="480"/>
              <w:rPr>
                <w:rFonts w:ascii="Times New Roman" w:hAnsi="Times New Roman"/>
                <w:color w:val="auto"/>
                <w:sz w:val="24"/>
                <w:highlight w:val="none"/>
              </w:rPr>
            </w:pPr>
            <w:r>
              <w:rPr>
                <w:rFonts w:hint="eastAsia" w:ascii="Times New Roman" w:hAnsi="Times New Roman"/>
                <w:color w:val="auto"/>
                <w:sz w:val="24"/>
                <w:highlight w:val="none"/>
              </w:rPr>
              <w:t>②施工过程中使用的主要机械设备应为低噪声机械设备，同时在施工过程中施工单位应设专人对设备进行定期保养和维护，避免由于设备故障而导致噪声增强现象的发生。并负责对现场工作人员进行培训，严格按操作规范使用各类机械。</w:t>
            </w:r>
          </w:p>
          <w:p w14:paraId="49D6F120">
            <w:pPr>
              <w:pStyle w:val="5"/>
              <w:spacing w:line="360" w:lineRule="auto"/>
              <w:ind w:firstLine="480"/>
              <w:rPr>
                <w:rFonts w:ascii="Times New Roman" w:hAnsi="Times New Roman"/>
                <w:color w:val="auto"/>
                <w:sz w:val="24"/>
                <w:highlight w:val="none"/>
              </w:rPr>
            </w:pPr>
            <w:r>
              <w:rPr>
                <w:rFonts w:hint="eastAsia" w:ascii="Times New Roman" w:hAnsi="Times New Roman"/>
                <w:color w:val="auto"/>
                <w:sz w:val="24"/>
                <w:highlight w:val="none"/>
              </w:rPr>
              <w:t>③在不影响施工情况下将噪声设备不集中安排，并将其移至距离居民住宅等敏感点较远处。</w:t>
            </w:r>
          </w:p>
          <w:p w14:paraId="2DA22785">
            <w:pPr>
              <w:pStyle w:val="5"/>
              <w:spacing w:line="360" w:lineRule="auto"/>
              <w:ind w:firstLine="480"/>
              <w:rPr>
                <w:rFonts w:ascii="Times New Roman" w:hAnsi="Times New Roman"/>
                <w:color w:val="auto"/>
                <w:sz w:val="24"/>
                <w:highlight w:val="none"/>
              </w:rPr>
            </w:pPr>
            <w:r>
              <w:rPr>
                <w:rFonts w:hint="eastAsia" w:ascii="Times New Roman" w:hAnsi="Times New Roman"/>
                <w:color w:val="auto"/>
                <w:sz w:val="24"/>
                <w:highlight w:val="none"/>
              </w:rPr>
              <w:t>④施工场地的施工车辆出入地点应远离敏感点，车辆出入现场时应低速、禁鸣。</w:t>
            </w:r>
          </w:p>
          <w:p w14:paraId="64EE016D">
            <w:pPr>
              <w:pStyle w:val="5"/>
              <w:spacing w:line="360" w:lineRule="auto"/>
              <w:ind w:firstLine="480"/>
              <w:rPr>
                <w:rFonts w:ascii="Times New Roman" w:hAnsi="Times New Roman"/>
                <w:color w:val="auto"/>
                <w:sz w:val="24"/>
                <w:highlight w:val="none"/>
              </w:rPr>
            </w:pPr>
            <w:r>
              <w:rPr>
                <w:rFonts w:hint="eastAsia" w:ascii="Times New Roman" w:hAnsi="Times New Roman"/>
                <w:color w:val="auto"/>
                <w:sz w:val="24"/>
                <w:highlight w:val="none"/>
              </w:rPr>
              <w:t>⑤建设管理部门应加强对施工场地的噪声管理，施工企业也应对施工噪声进行自律，文明施工，避免因施工噪声产生纠纷。</w:t>
            </w:r>
          </w:p>
          <w:p w14:paraId="22CB05AC">
            <w:pPr>
              <w:pStyle w:val="5"/>
              <w:spacing w:line="360" w:lineRule="auto"/>
              <w:ind w:firstLine="480"/>
              <w:rPr>
                <w:rFonts w:ascii="Times New Roman" w:hAnsi="Times New Roman"/>
                <w:color w:val="auto"/>
                <w:sz w:val="24"/>
                <w:highlight w:val="none"/>
              </w:rPr>
            </w:pPr>
            <w:r>
              <w:rPr>
                <w:rFonts w:hint="eastAsia" w:ascii="Times New Roman" w:hAnsi="Times New Roman"/>
                <w:color w:val="auto"/>
                <w:sz w:val="24"/>
                <w:highlight w:val="none"/>
              </w:rPr>
              <w:t>⑥加强施工期噪声监测，发现施工噪声超标并对附近居民点产生影响时必须首先停止施工，并应及时采取有效的噪声污染防治措施，在验证可做到噪声达标排放的前提下方可继续施工。</w:t>
            </w:r>
          </w:p>
          <w:p w14:paraId="74527973">
            <w:pPr>
              <w:widowControl/>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经采取上述污染防治措施后，施工噪声不会对周围环境造成的大的不利影响。</w:t>
            </w:r>
          </w:p>
          <w:p w14:paraId="4BA97851">
            <w:pPr>
              <w:widowControl/>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4、固体污染物防治措施</w:t>
            </w:r>
          </w:p>
          <w:p w14:paraId="7FDAF35A">
            <w:pPr>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本项目产生的固体废物主要为一般固废、生活垃圾和危险废物。</w:t>
            </w:r>
          </w:p>
          <w:p w14:paraId="6E313799">
            <w:pPr>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一般固废主要为</w:t>
            </w:r>
            <w:r>
              <w:rPr>
                <w:rStyle w:val="41"/>
                <w:rFonts w:hint="eastAsia" w:ascii="Times New Roman" w:hAnsi="宋体"/>
                <w:color w:val="auto"/>
                <w:kern w:val="0"/>
                <w:highlight w:val="none"/>
                <w:lang w:val="en-US" w:eastAsia="zh-CN"/>
              </w:rPr>
              <w:t>钻井泥浆</w:t>
            </w:r>
            <w:r>
              <w:rPr>
                <w:rStyle w:val="41"/>
                <w:rFonts w:hint="default" w:ascii="Times New Roman" w:hAnsi="宋体"/>
                <w:color w:val="auto"/>
                <w:kern w:val="0"/>
                <w:highlight w:val="none"/>
              </w:rPr>
              <w:t>、</w:t>
            </w:r>
            <w:r>
              <w:rPr>
                <w:rStyle w:val="41"/>
                <w:rFonts w:hint="eastAsia" w:ascii="Times New Roman" w:hAnsi="宋体"/>
                <w:color w:val="auto"/>
                <w:kern w:val="0"/>
                <w:highlight w:val="none"/>
                <w:lang w:eastAsia="zh-CN"/>
              </w:rPr>
              <w:t>岩芯碎屑</w:t>
            </w:r>
            <w:r>
              <w:rPr>
                <w:rStyle w:val="41"/>
                <w:rFonts w:hint="default" w:ascii="Times New Roman" w:hAnsi="宋体"/>
                <w:color w:val="auto"/>
                <w:kern w:val="0"/>
                <w:highlight w:val="none"/>
              </w:rPr>
              <w:t>和废包装材料。生活垃圾主要来自员工办公。危险废物主要为废润滑油和废润滑油桶、废含油抹布和废含油手套。</w:t>
            </w:r>
          </w:p>
          <w:p w14:paraId="6C4FB6A3">
            <w:pPr>
              <w:pStyle w:val="5"/>
              <w:spacing w:line="360" w:lineRule="auto"/>
              <w:ind w:firstLine="480"/>
              <w:rPr>
                <w:rStyle w:val="41"/>
                <w:rFonts w:hint="default" w:ascii="Times New Roman" w:hAnsi="宋体"/>
                <w:color w:val="auto"/>
                <w:kern w:val="0"/>
                <w:highlight w:val="none"/>
              </w:rPr>
            </w:pPr>
            <w:r>
              <w:rPr>
                <w:rStyle w:val="41"/>
                <w:rFonts w:hint="eastAsia" w:ascii="Times New Roman" w:hAnsi="宋体"/>
                <w:color w:val="auto"/>
                <w:kern w:val="0"/>
                <w:highlight w:val="none"/>
                <w:lang w:val="en-US" w:eastAsia="zh-CN"/>
              </w:rPr>
              <w:t>钻井泥浆</w:t>
            </w:r>
            <w:r>
              <w:rPr>
                <w:rStyle w:val="41"/>
                <w:rFonts w:hint="default" w:ascii="Times New Roman" w:hAnsi="宋体"/>
                <w:color w:val="auto"/>
                <w:kern w:val="0"/>
                <w:highlight w:val="none"/>
              </w:rPr>
              <w:t>暂存于</w:t>
            </w:r>
            <w:r>
              <w:rPr>
                <w:rStyle w:val="41"/>
                <w:rFonts w:hint="eastAsia" w:ascii="Times New Roman" w:hAnsi="宋体"/>
                <w:color w:val="auto"/>
                <w:kern w:val="0"/>
                <w:highlight w:val="none"/>
                <w:lang w:eastAsia="zh-CN"/>
              </w:rPr>
              <w:t>泥浆池</w:t>
            </w:r>
            <w:r>
              <w:rPr>
                <w:rStyle w:val="41"/>
                <w:rFonts w:hint="default" w:ascii="Times New Roman" w:hAnsi="宋体"/>
                <w:color w:val="auto"/>
                <w:kern w:val="0"/>
                <w:highlight w:val="none"/>
              </w:rPr>
              <w:t>中，待钻井结束后投加泥浆固化剂后作为周边路基维护的建材使用；</w:t>
            </w:r>
            <w:r>
              <w:rPr>
                <w:rStyle w:val="41"/>
                <w:rFonts w:hint="eastAsia" w:ascii="Times New Roman" w:hAnsi="宋体"/>
                <w:color w:val="auto"/>
                <w:kern w:val="0"/>
                <w:highlight w:val="none"/>
                <w:lang w:eastAsia="zh-CN"/>
              </w:rPr>
              <w:t>岩芯碎屑</w:t>
            </w:r>
            <w:r>
              <w:rPr>
                <w:rStyle w:val="41"/>
                <w:rFonts w:hint="eastAsia" w:ascii="Times New Roman" w:hAnsi="宋体"/>
                <w:color w:val="auto"/>
                <w:kern w:val="0"/>
                <w:highlight w:val="none"/>
                <w:lang w:val="en-US" w:eastAsia="zh-CN"/>
              </w:rPr>
              <w:t>集中收集暂存与岩芯摆放区，</w:t>
            </w:r>
            <w:r>
              <w:rPr>
                <w:rFonts w:hint="eastAsia" w:ascii="Times New Roman" w:hAnsi="宋体"/>
                <w:color w:val="auto"/>
                <w:sz w:val="24"/>
                <w:highlight w:val="none"/>
                <w:lang w:val="en-US" w:eastAsia="zh-CN"/>
              </w:rPr>
              <w:t>委托建材单位回收处置</w:t>
            </w:r>
            <w:r>
              <w:rPr>
                <w:rStyle w:val="41"/>
                <w:rFonts w:hint="default" w:ascii="Times New Roman" w:hAnsi="宋体"/>
                <w:color w:val="auto"/>
                <w:kern w:val="0"/>
                <w:highlight w:val="none"/>
              </w:rPr>
              <w:t>；废包装材料集中收集后外售处理。生活垃圾利用周边农村农户现有的设施进行收集，由环卫部门统一清运处理。废润滑油、废润滑油桶、废含油抹布和废含油手套需集中收集，暂存于</w:t>
            </w:r>
            <w:r>
              <w:rPr>
                <w:rStyle w:val="41"/>
                <w:rFonts w:hint="eastAsia" w:ascii="Times New Roman" w:hAnsi="宋体"/>
                <w:color w:val="auto"/>
                <w:kern w:val="0"/>
                <w:highlight w:val="none"/>
                <w:lang w:val="en-US" w:eastAsia="zh-CN"/>
              </w:rPr>
              <w:t>各个井场的</w:t>
            </w:r>
            <w:r>
              <w:rPr>
                <w:rStyle w:val="41"/>
                <w:rFonts w:hint="default" w:ascii="Times New Roman" w:hAnsi="宋体"/>
                <w:color w:val="auto"/>
                <w:kern w:val="0"/>
                <w:highlight w:val="none"/>
              </w:rPr>
              <w:t>危废暂存间内，定期交由有资质单位处置。</w:t>
            </w:r>
          </w:p>
          <w:p w14:paraId="71788008">
            <w:pPr>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综上所述，项目固废均得到合理处置，不会产生二次污染，对周边环境的影响较小。</w:t>
            </w:r>
          </w:p>
          <w:p w14:paraId="4DEB0AA2">
            <w:pPr>
              <w:spacing w:line="360" w:lineRule="auto"/>
              <w:ind w:firstLine="480" w:firstLineChars="200"/>
              <w:rPr>
                <w:rStyle w:val="41"/>
                <w:rFonts w:hint="default" w:ascii="Times New Roman" w:hAnsi="宋体"/>
                <w:color w:val="auto"/>
                <w:kern w:val="0"/>
                <w:highlight w:val="none"/>
              </w:rPr>
            </w:pPr>
            <w:r>
              <w:rPr>
                <w:rStyle w:val="41"/>
                <w:rFonts w:hint="default" w:ascii="Times New Roman" w:hAnsi="宋体"/>
                <w:color w:val="auto"/>
                <w:kern w:val="0"/>
                <w:highlight w:val="none"/>
              </w:rPr>
              <w:t>（1）一般固废管理要求：</w:t>
            </w:r>
          </w:p>
          <w:p w14:paraId="7FB87585">
            <w:pPr>
              <w:spacing w:line="360" w:lineRule="auto"/>
              <w:ind w:firstLine="482"/>
              <w:rPr>
                <w:rStyle w:val="41"/>
                <w:rFonts w:hint="default" w:ascii="Times New Roman" w:hAnsi="宋体"/>
                <w:color w:val="auto"/>
                <w:kern w:val="0"/>
                <w:highlight w:val="none"/>
              </w:rPr>
            </w:pPr>
            <w:r>
              <w:rPr>
                <w:rStyle w:val="41"/>
                <w:rFonts w:hint="default" w:ascii="Times New Roman" w:hAnsi="宋体"/>
                <w:color w:val="auto"/>
                <w:kern w:val="0"/>
                <w:highlight w:val="none"/>
              </w:rPr>
              <w:t>一般固废暂存间应该满足相关法律法规要求：</w:t>
            </w:r>
          </w:p>
          <w:p w14:paraId="57ED19C0">
            <w:pPr>
              <w:spacing w:line="360" w:lineRule="auto"/>
              <w:ind w:firstLine="482"/>
              <w:rPr>
                <w:rStyle w:val="41"/>
                <w:rFonts w:hint="default" w:ascii="Times New Roman" w:hAnsi="宋体"/>
                <w:color w:val="auto"/>
                <w:kern w:val="0"/>
                <w:highlight w:val="none"/>
              </w:rPr>
            </w:pPr>
            <w:r>
              <w:rPr>
                <w:rStyle w:val="41"/>
                <w:rFonts w:hint="default" w:ascii="Times New Roman" w:hAnsi="宋体"/>
                <w:color w:val="auto"/>
                <w:kern w:val="0"/>
                <w:highlight w:val="none"/>
              </w:rPr>
              <w:t>①按照《一般工业固体废物贮存和填埋污染控制标准》（GB18599-2020）中规定其贮存过程应满足相应防渗漏、防雨淋、防扬尘等环境保护要求。</w:t>
            </w:r>
          </w:p>
          <w:p w14:paraId="1656628F">
            <w:pPr>
              <w:spacing w:line="360" w:lineRule="auto"/>
              <w:ind w:firstLine="482"/>
              <w:rPr>
                <w:rStyle w:val="41"/>
                <w:rFonts w:hint="default" w:ascii="Times New Roman" w:hAnsi="宋体"/>
                <w:color w:val="auto"/>
                <w:kern w:val="0"/>
                <w:highlight w:val="none"/>
              </w:rPr>
            </w:pPr>
            <w:r>
              <w:rPr>
                <w:rStyle w:val="41"/>
                <w:rFonts w:hint="default" w:ascii="Times New Roman" w:hAnsi="宋体"/>
                <w:color w:val="auto"/>
                <w:kern w:val="0"/>
                <w:highlight w:val="none"/>
              </w:rPr>
              <w:t>②收集、贮存、运输、利用、处置固体废物的单位和其他生产经营者，应当加强对相关设施、设备和场所的管理和维护，保证其正常运行和使用。</w:t>
            </w:r>
          </w:p>
          <w:p w14:paraId="494ACBB3">
            <w:pPr>
              <w:spacing w:line="360" w:lineRule="auto"/>
              <w:ind w:firstLine="482"/>
              <w:rPr>
                <w:rStyle w:val="41"/>
                <w:rFonts w:hint="default" w:ascii="Times New Roman" w:hAnsi="宋体"/>
                <w:color w:val="auto"/>
                <w:kern w:val="0"/>
                <w:highlight w:val="none"/>
              </w:rPr>
            </w:pPr>
            <w:r>
              <w:rPr>
                <w:rStyle w:val="41"/>
                <w:rFonts w:hint="default" w:ascii="Times New Roman" w:hAnsi="宋体"/>
                <w:color w:val="auto"/>
                <w:kern w:val="0"/>
                <w:highlight w:val="none"/>
              </w:rPr>
              <w:t>③产生、收集、贮存、运输、利用、处置固体废物的单位和其他生产经营者，应当采取防扬散、防流失、防渗漏或者其他防止污染环境的措施，不得擅自倾倒、堆放、丢弃、遗撒固体废物。禁止任何单位或者个人向江河、湖泊、运河、渠道、水库及其最高水位线以下的滩地和岸坡以及法律法规规定的其他地点倾倒、堆放、贮存固体废物。</w:t>
            </w:r>
          </w:p>
          <w:p w14:paraId="3364114D">
            <w:pPr>
              <w:spacing w:line="360" w:lineRule="auto"/>
              <w:ind w:firstLine="482"/>
              <w:rPr>
                <w:rStyle w:val="41"/>
                <w:rFonts w:hint="default" w:ascii="Times New Roman" w:hAnsi="宋体"/>
                <w:color w:val="auto"/>
                <w:kern w:val="0"/>
                <w:highlight w:val="none"/>
              </w:rPr>
            </w:pPr>
            <w:r>
              <w:rPr>
                <w:rStyle w:val="41"/>
                <w:rFonts w:hint="default" w:ascii="Times New Roman" w:hAnsi="宋体"/>
                <w:color w:val="auto"/>
                <w:kern w:val="0"/>
                <w:highlight w:val="none"/>
              </w:rPr>
              <w:t>④禁止向生活垃圾收集设施中投放工业固体废物。</w:t>
            </w:r>
          </w:p>
          <w:p w14:paraId="55F36D6F">
            <w:pPr>
              <w:spacing w:line="360" w:lineRule="auto"/>
              <w:ind w:firstLine="482"/>
              <w:rPr>
                <w:rStyle w:val="41"/>
                <w:rFonts w:hint="default" w:ascii="Times New Roman" w:hAnsi="宋体"/>
                <w:color w:val="auto"/>
                <w:kern w:val="0"/>
                <w:highlight w:val="none"/>
              </w:rPr>
            </w:pPr>
            <w:r>
              <w:rPr>
                <w:rStyle w:val="41"/>
                <w:rFonts w:hint="default" w:ascii="Times New Roman" w:hAnsi="宋体"/>
                <w:color w:val="auto"/>
                <w:kern w:val="0"/>
                <w:highlight w:val="none"/>
              </w:rPr>
              <w:t>⑤产生工业固体废物的单位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产生工业固体废物的单位违反本条第一款规定的，除依照有关法律法规的规定予以处罚外，还应当与造成环境污染和生态破坏的受托方承担连带责任。</w:t>
            </w:r>
          </w:p>
          <w:p w14:paraId="1474AFE2">
            <w:pPr>
              <w:spacing w:line="360" w:lineRule="auto"/>
              <w:ind w:firstLine="482"/>
              <w:rPr>
                <w:rStyle w:val="41"/>
                <w:rFonts w:hint="default" w:ascii="Times New Roman" w:hAnsi="宋体"/>
                <w:color w:val="auto"/>
                <w:kern w:val="0"/>
                <w:highlight w:val="none"/>
              </w:rPr>
            </w:pPr>
            <w:r>
              <w:rPr>
                <w:rStyle w:val="41"/>
                <w:rFonts w:hint="default" w:ascii="Times New Roman" w:hAnsi="宋体"/>
                <w:color w:val="auto"/>
                <w:kern w:val="0"/>
                <w:highlight w:val="none"/>
              </w:rPr>
              <w:t>⑥建设工业固体废物贮存、处置的设施、场所，应当符合《一般工业固体废物贮存和填埋污染控制标准》（GB18599-2020）。</w:t>
            </w:r>
          </w:p>
          <w:p w14:paraId="2EDBF4E9">
            <w:pPr>
              <w:spacing w:line="360" w:lineRule="auto"/>
              <w:ind w:firstLine="482"/>
              <w:rPr>
                <w:rStyle w:val="41"/>
                <w:rFonts w:hint="default" w:ascii="Times New Roman" w:hAnsi="宋体"/>
                <w:color w:val="auto"/>
                <w:kern w:val="0"/>
                <w:highlight w:val="none"/>
              </w:rPr>
            </w:pPr>
            <w:r>
              <w:rPr>
                <w:rStyle w:val="41"/>
                <w:rFonts w:hint="default" w:ascii="Times New Roman" w:hAnsi="宋体"/>
                <w:color w:val="auto"/>
                <w:kern w:val="0"/>
                <w:highlight w:val="none"/>
              </w:rPr>
              <w:t>（2）生活垃圾管理要求：</w:t>
            </w:r>
          </w:p>
          <w:p w14:paraId="241212CC">
            <w:pPr>
              <w:spacing w:line="360" w:lineRule="auto"/>
              <w:ind w:firstLine="482"/>
              <w:rPr>
                <w:rStyle w:val="41"/>
                <w:rFonts w:hint="default" w:ascii="Times New Roman" w:hAnsi="宋体"/>
                <w:color w:val="auto"/>
                <w:kern w:val="0"/>
                <w:highlight w:val="none"/>
              </w:rPr>
            </w:pPr>
            <w:r>
              <w:rPr>
                <w:rStyle w:val="41"/>
                <w:rFonts w:hint="default" w:ascii="Times New Roman" w:hAnsi="宋体"/>
                <w:color w:val="auto"/>
                <w:kern w:val="0"/>
                <w:highlight w:val="none"/>
              </w:rPr>
              <w:t>按照《中华人民共和国固体废物污染环境防治法》（2020年04月30日）有关规定设置暂存场所，应当依法在指定的地点分类投放生活垃圾。已经分类投放的生活垃圾，应当按照规定分类收集、分类运输、分类处理清扫、收集、运输、处理城乡生活垃圾，应当遵守国家有关环境保护和环境卫生管理的规定，防止污染环境。</w:t>
            </w:r>
          </w:p>
          <w:p w14:paraId="144F0607">
            <w:pPr>
              <w:spacing w:line="360" w:lineRule="auto"/>
              <w:ind w:firstLine="482"/>
              <w:rPr>
                <w:rStyle w:val="41"/>
                <w:rFonts w:hint="default" w:ascii="Times New Roman" w:hAnsi="宋体"/>
                <w:color w:val="auto"/>
                <w:kern w:val="0"/>
                <w:highlight w:val="none"/>
              </w:rPr>
            </w:pPr>
            <w:r>
              <w:rPr>
                <w:rStyle w:val="41"/>
                <w:rFonts w:hint="default" w:ascii="Times New Roman" w:hAnsi="宋体"/>
                <w:color w:val="auto"/>
                <w:kern w:val="0"/>
                <w:highlight w:val="none"/>
              </w:rPr>
              <w:t>（3）项目危险废物管理要求：</w:t>
            </w:r>
          </w:p>
          <w:p w14:paraId="57CE02E5">
            <w:pPr>
              <w:spacing w:line="360" w:lineRule="auto"/>
              <w:ind w:firstLine="482"/>
              <w:rPr>
                <w:rStyle w:val="41"/>
                <w:rFonts w:hint="default" w:ascii="Times New Roman" w:hAnsi="宋体"/>
                <w:color w:val="auto"/>
                <w:kern w:val="0"/>
                <w:highlight w:val="none"/>
              </w:rPr>
            </w:pPr>
            <w:r>
              <w:rPr>
                <w:rStyle w:val="41"/>
                <w:rFonts w:hint="default" w:ascii="Times New Roman" w:hAnsi="宋体"/>
                <w:color w:val="auto"/>
                <w:kern w:val="0"/>
                <w:highlight w:val="none"/>
              </w:rPr>
              <w:t>项目对危险废物进行临时贮存，转移和最终处置严格按照《危险废物收集、贮存、运输技术规范》（HJ2025-2012）中相关规定，危险废物临时贮存期间应满足《危险废物贮存污染控制标准》（GB18597-2023）和《中华人民共和国固体废弃物污染环境防治法》中的有关规定，严禁将危险废物混入非危险废物中，并对产生的危险废物向当地生态环境局备案。</w:t>
            </w:r>
          </w:p>
          <w:p w14:paraId="246DE82F">
            <w:pPr>
              <w:spacing w:line="360" w:lineRule="auto"/>
              <w:ind w:firstLine="480" w:firstLineChars="200"/>
              <w:rPr>
                <w:rStyle w:val="41"/>
                <w:rFonts w:hint="default" w:ascii="Times New Roman" w:hAnsi="宋体"/>
                <w:color w:val="auto"/>
                <w:kern w:val="0"/>
              </w:rPr>
            </w:pPr>
            <w:r>
              <w:rPr>
                <w:rStyle w:val="41"/>
                <w:rFonts w:hint="default" w:ascii="Times New Roman" w:hAnsi="宋体"/>
                <w:color w:val="auto"/>
                <w:kern w:val="0"/>
              </w:rPr>
              <w:t>按照危险固废处置的有关规定，对属于国家规定危险废物之列的固体废物，必须委托有资质单位进行妥善处理。外运时需要严格按照《</w:t>
            </w:r>
            <w:bookmarkStart w:id="17" w:name="OLE_LINK3"/>
            <w:r>
              <w:rPr>
                <w:rStyle w:val="41"/>
                <w:rFonts w:hint="default" w:ascii="Times New Roman" w:hAnsi="宋体"/>
                <w:color w:val="auto"/>
                <w:kern w:val="0"/>
              </w:rPr>
              <w:t>危险废物转移管理办法</w:t>
            </w:r>
            <w:bookmarkEnd w:id="17"/>
            <w:r>
              <w:rPr>
                <w:rStyle w:val="41"/>
                <w:rFonts w:hint="default" w:ascii="Times New Roman" w:hAnsi="宋体"/>
                <w:color w:val="auto"/>
                <w:kern w:val="0"/>
              </w:rPr>
              <w:t>》</w:t>
            </w:r>
            <w:r>
              <w:rPr>
                <w:rStyle w:val="41"/>
                <w:rFonts w:hint="eastAsia" w:ascii="Times New Roman" w:hAnsi="宋体"/>
                <w:color w:val="auto"/>
                <w:kern w:val="0"/>
                <w:lang w:eastAsia="zh-CN"/>
              </w:rPr>
              <w:t>（</w:t>
            </w:r>
            <w:r>
              <w:rPr>
                <w:rStyle w:val="41"/>
                <w:rFonts w:hint="eastAsia" w:ascii="Times New Roman" w:hAnsi="宋体"/>
                <w:color w:val="auto"/>
                <w:kern w:val="0"/>
                <w:lang w:val="en-US" w:eastAsia="zh-CN"/>
              </w:rPr>
              <w:t>部令第23号</w:t>
            </w:r>
            <w:r>
              <w:rPr>
                <w:rStyle w:val="41"/>
                <w:rFonts w:hint="eastAsia" w:ascii="Times New Roman" w:hAnsi="宋体"/>
                <w:color w:val="auto"/>
                <w:kern w:val="0"/>
                <w:lang w:eastAsia="zh-CN"/>
              </w:rPr>
              <w:t>）</w:t>
            </w:r>
            <w:r>
              <w:rPr>
                <w:rStyle w:val="41"/>
                <w:rFonts w:hint="default" w:ascii="Times New Roman" w:hAnsi="宋体"/>
                <w:color w:val="auto"/>
                <w:kern w:val="0"/>
              </w:rPr>
              <w:t>的相关规定报批危险废物转移计划，应做到不沿途抛洒；因此，必须加强对固体废弃物的管理，确保各类固体废弃物的妥善处置，固体废弃物贮存场所所应有明显的标志，并有防风、防雨、防晒等设施。</w:t>
            </w:r>
          </w:p>
          <w:p w14:paraId="2771171C">
            <w:pPr>
              <w:widowControl/>
              <w:spacing w:line="360" w:lineRule="auto"/>
              <w:ind w:firstLine="480" w:firstLineChars="200"/>
              <w:rPr>
                <w:rStyle w:val="41"/>
                <w:rFonts w:hint="default" w:ascii="Times New Roman" w:hAnsi="宋体"/>
                <w:color w:val="auto"/>
                <w:kern w:val="0"/>
              </w:rPr>
            </w:pPr>
            <w:r>
              <w:rPr>
                <w:rStyle w:val="41"/>
                <w:rFonts w:hint="default" w:ascii="Times New Roman" w:hAnsi="宋体"/>
                <w:color w:val="auto"/>
                <w:kern w:val="0"/>
              </w:rPr>
              <w:t>5、环境风险防治措施</w:t>
            </w:r>
          </w:p>
          <w:p w14:paraId="38906450">
            <w:pPr>
              <w:pStyle w:val="28"/>
              <w:adjustRightInd/>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（1）火灾事故的风险防范措施</w:t>
            </w:r>
          </w:p>
          <w:p w14:paraId="1665346C">
            <w:pPr>
              <w:pStyle w:val="28"/>
              <w:adjustRightInd/>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①</w:t>
            </w:r>
            <w:r>
              <w:rPr>
                <w:rStyle w:val="41"/>
                <w:rFonts w:hint="eastAsia" w:ascii="Times New Roman" w:hAnsi="宋体"/>
                <w:color w:val="auto"/>
                <w:lang w:val="en-US" w:eastAsia="zh-CN"/>
              </w:rPr>
              <w:t>井场内</w:t>
            </w:r>
            <w:r>
              <w:rPr>
                <w:rStyle w:val="41"/>
                <w:rFonts w:hint="default" w:ascii="Times New Roman" w:hAnsi="宋体"/>
                <w:color w:val="auto"/>
              </w:rPr>
              <w:t>配有足量的</w:t>
            </w:r>
            <w:r>
              <w:rPr>
                <w:rStyle w:val="41"/>
                <w:rFonts w:hint="eastAsia" w:ascii="Times New Roman" w:hAnsi="宋体"/>
                <w:color w:val="auto"/>
                <w:lang w:val="en-US" w:eastAsia="zh-CN"/>
              </w:rPr>
              <w:t>消防</w:t>
            </w:r>
            <w:r>
              <w:rPr>
                <w:rStyle w:val="41"/>
                <w:rFonts w:hint="default" w:ascii="Times New Roman" w:hAnsi="宋体"/>
                <w:color w:val="auto"/>
              </w:rPr>
              <w:t>器材，以便处理初期火灾；</w:t>
            </w:r>
          </w:p>
          <w:p w14:paraId="4398C12A">
            <w:pPr>
              <w:pStyle w:val="28"/>
              <w:adjustRightInd/>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②定期或不定期对消防设备进行检查，及时发现及时采取更换或维修；</w:t>
            </w:r>
          </w:p>
          <w:p w14:paraId="22EC53DE">
            <w:pPr>
              <w:pStyle w:val="28"/>
              <w:adjustRightInd/>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③为防止钻井过程中可能发生的甲烷气体溢出，在钻井井口需设置甲烷气体监测设备，并在钻井平台设置灭火器材。严格管理火种，划定禁火区，严禁携带火种进入禁火区内。</w:t>
            </w:r>
          </w:p>
          <w:p w14:paraId="0689CF52">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（2）泥浆水泄露或外溢风险防范措施</w:t>
            </w:r>
          </w:p>
          <w:p w14:paraId="2B12243D">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①泥浆水泄漏防范措施</w:t>
            </w:r>
          </w:p>
          <w:p w14:paraId="0201FB90">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a、</w:t>
            </w:r>
            <w:r>
              <w:rPr>
                <w:rStyle w:val="41"/>
                <w:rFonts w:hint="eastAsia" w:ascii="Times New Roman" w:hAnsi="宋体"/>
                <w:color w:val="auto"/>
                <w:highlight w:val="none"/>
                <w:lang w:eastAsia="zh-CN"/>
              </w:rPr>
              <w:t>泥浆池</w:t>
            </w:r>
            <w:r>
              <w:rPr>
                <w:rStyle w:val="41"/>
                <w:rFonts w:hint="default" w:ascii="Times New Roman" w:hAnsi="宋体"/>
                <w:color w:val="auto"/>
                <w:highlight w:val="none"/>
              </w:rPr>
              <w:t>体所在平台选址应避开不良地质或地质松散的地段，选择地质结构稳定的地方，并做好地面防渗工作。</w:t>
            </w:r>
          </w:p>
          <w:p w14:paraId="6F5AAB22">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b、按相关要求规定对废浆干化池、</w:t>
            </w:r>
            <w:r>
              <w:rPr>
                <w:rStyle w:val="41"/>
                <w:rFonts w:hint="eastAsia" w:ascii="Times New Roman" w:hAnsi="宋体"/>
                <w:color w:val="auto"/>
                <w:highlight w:val="none"/>
                <w:lang w:eastAsia="zh-CN"/>
              </w:rPr>
              <w:t>泥浆池</w:t>
            </w:r>
            <w:r>
              <w:rPr>
                <w:rStyle w:val="41"/>
                <w:rFonts w:hint="default" w:ascii="Times New Roman" w:hAnsi="宋体"/>
                <w:color w:val="auto"/>
                <w:highlight w:val="none"/>
              </w:rPr>
              <w:t>等池体进行防渗处理。</w:t>
            </w:r>
          </w:p>
          <w:p w14:paraId="01E406D6">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c、加强员工操作，规范管理。</w:t>
            </w:r>
          </w:p>
          <w:p w14:paraId="63A64AB8">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②泥浆水外溢防范措施</w:t>
            </w:r>
          </w:p>
          <w:p w14:paraId="6594580F">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a、对井场干化池、</w:t>
            </w:r>
            <w:r>
              <w:rPr>
                <w:rStyle w:val="41"/>
                <w:rFonts w:hint="eastAsia" w:ascii="Times New Roman" w:hAnsi="宋体"/>
                <w:color w:val="auto"/>
                <w:highlight w:val="none"/>
                <w:lang w:eastAsia="zh-CN"/>
              </w:rPr>
              <w:t>泥浆池</w:t>
            </w:r>
            <w:r>
              <w:rPr>
                <w:rStyle w:val="41"/>
                <w:rFonts w:hint="default" w:ascii="Times New Roman" w:hAnsi="宋体"/>
                <w:color w:val="auto"/>
                <w:highlight w:val="none"/>
              </w:rPr>
              <w:t>等池体定期检查、巡视，避免池体储存量过大，保持池体留有一定的富余容量，减少池体储存量，降低废水外溢风险，特别在降雨来临之前要做好遮雨措施，防止废水渗漏或外溢污染地表水及浅层地下水。</w:t>
            </w:r>
          </w:p>
          <w:p w14:paraId="0634A77C">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b、井场采用清污分流系统，并定期进行维护，在暴雨季节，加强巡查，降低废水外溢的环境风险。</w:t>
            </w:r>
          </w:p>
          <w:p w14:paraId="07C0FACA">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③泥浆水外溢应急措施</w:t>
            </w:r>
          </w:p>
          <w:p w14:paraId="750360D3">
            <w:pPr>
              <w:pStyle w:val="28"/>
              <w:adjustRightInd/>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通过修建拦水沟和及时转运等措施，将废浆干化池、</w:t>
            </w:r>
            <w:r>
              <w:rPr>
                <w:rStyle w:val="41"/>
                <w:rFonts w:hint="eastAsia" w:ascii="Times New Roman" w:hAnsi="宋体"/>
                <w:color w:val="auto"/>
                <w:lang w:eastAsia="zh-CN"/>
              </w:rPr>
              <w:t>泥浆池</w:t>
            </w:r>
            <w:r>
              <w:rPr>
                <w:rStyle w:val="41"/>
                <w:rFonts w:hint="default" w:ascii="Times New Roman" w:hAnsi="宋体"/>
                <w:color w:val="auto"/>
              </w:rPr>
              <w:t>等池体所在平台沿地表加高20～50cm，并保持废浆干化池、</w:t>
            </w:r>
            <w:r>
              <w:rPr>
                <w:rStyle w:val="41"/>
                <w:rFonts w:hint="eastAsia" w:ascii="Times New Roman" w:hAnsi="宋体"/>
                <w:color w:val="auto"/>
                <w:lang w:eastAsia="zh-CN"/>
              </w:rPr>
              <w:t>泥浆池</w:t>
            </w:r>
            <w:r>
              <w:rPr>
                <w:rStyle w:val="41"/>
                <w:rFonts w:hint="default" w:ascii="Times New Roman" w:hAnsi="宋体"/>
                <w:color w:val="auto"/>
              </w:rPr>
              <w:t>等池体高为20～50cm，防止废水外溢</w:t>
            </w:r>
            <w:r>
              <w:rPr>
                <w:rStyle w:val="41"/>
                <w:rFonts w:hint="eastAsia" w:ascii="Times New Roman" w:hAnsi="宋体"/>
                <w:color w:val="auto"/>
                <w:lang w:eastAsia="zh-CN"/>
              </w:rPr>
              <w:t>；</w:t>
            </w:r>
            <w:r>
              <w:rPr>
                <w:rStyle w:val="41"/>
                <w:rFonts w:hint="default" w:ascii="Times New Roman" w:hAnsi="宋体"/>
                <w:color w:val="auto"/>
              </w:rPr>
              <w:t>在井场周围、废浆干化池、</w:t>
            </w:r>
            <w:r>
              <w:rPr>
                <w:rStyle w:val="41"/>
                <w:rFonts w:hint="eastAsia" w:ascii="Times New Roman" w:hAnsi="宋体"/>
                <w:color w:val="auto"/>
                <w:lang w:eastAsia="zh-CN"/>
              </w:rPr>
              <w:t>泥浆池</w:t>
            </w:r>
            <w:r>
              <w:rPr>
                <w:rStyle w:val="41"/>
                <w:rFonts w:hint="default" w:ascii="Times New Roman" w:hAnsi="宋体"/>
                <w:color w:val="auto"/>
              </w:rPr>
              <w:t>等池体周围设截水沟，将从井场、废浆干化池、</w:t>
            </w:r>
            <w:r>
              <w:rPr>
                <w:rStyle w:val="41"/>
                <w:rFonts w:hint="eastAsia" w:ascii="Times New Roman" w:hAnsi="宋体"/>
                <w:color w:val="auto"/>
                <w:lang w:eastAsia="zh-CN"/>
              </w:rPr>
              <w:t>泥浆池</w:t>
            </w:r>
            <w:r>
              <w:rPr>
                <w:rStyle w:val="41"/>
                <w:rFonts w:hint="default" w:ascii="Times New Roman" w:hAnsi="宋体"/>
                <w:color w:val="auto"/>
              </w:rPr>
              <w:t>等池体溢出的污水截留下来，截留的废水收集至废水池中</w:t>
            </w:r>
            <w:r>
              <w:rPr>
                <w:rStyle w:val="41"/>
                <w:rFonts w:hint="eastAsia" w:ascii="Times New Roman" w:hAnsi="宋体"/>
                <w:color w:val="auto"/>
                <w:lang w:eastAsia="zh-CN"/>
              </w:rPr>
              <w:t>；</w:t>
            </w:r>
            <w:r>
              <w:rPr>
                <w:rStyle w:val="41"/>
                <w:rFonts w:hint="default" w:ascii="Times New Roman" w:hAnsi="宋体"/>
                <w:color w:val="auto"/>
              </w:rPr>
              <w:t>在发生废水外溢事故时，在废浆干化池、</w:t>
            </w:r>
            <w:r>
              <w:rPr>
                <w:rStyle w:val="41"/>
                <w:rFonts w:hint="eastAsia" w:ascii="Times New Roman" w:hAnsi="宋体"/>
                <w:color w:val="auto"/>
                <w:lang w:eastAsia="zh-CN"/>
              </w:rPr>
              <w:t>泥浆池</w:t>
            </w:r>
            <w:r>
              <w:rPr>
                <w:rStyle w:val="41"/>
                <w:rFonts w:hint="default" w:ascii="Times New Roman" w:hAnsi="宋体"/>
                <w:color w:val="auto"/>
              </w:rPr>
              <w:t>等池体周围的低洼区域和废浆干化池、</w:t>
            </w:r>
            <w:r>
              <w:rPr>
                <w:rStyle w:val="41"/>
                <w:rFonts w:hint="eastAsia" w:ascii="Times New Roman" w:hAnsi="宋体"/>
                <w:color w:val="auto"/>
                <w:lang w:eastAsia="zh-CN"/>
              </w:rPr>
              <w:t>泥浆池</w:t>
            </w:r>
            <w:r>
              <w:rPr>
                <w:rStyle w:val="41"/>
                <w:rFonts w:hint="default" w:ascii="Times New Roman" w:hAnsi="宋体"/>
                <w:color w:val="auto"/>
              </w:rPr>
              <w:t>等池体外溢口处采用沙包、装土编织袋等拦截措施阻拦外溢废水，避免废水流入外环境之中。</w:t>
            </w:r>
          </w:p>
          <w:p w14:paraId="1DA68201">
            <w:pPr>
              <w:pStyle w:val="28"/>
              <w:adjustRightInd/>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（3）危险废物的储存要求和防范措施</w:t>
            </w:r>
          </w:p>
          <w:p w14:paraId="17D623E0">
            <w:pPr>
              <w:pStyle w:val="28"/>
              <w:adjustRightInd/>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本项目在施工过程中产生的废润滑油属于危险废物，因此必须对其加以严格控制以防止事故的发生，从而造成不必要的损失，为此本评价对上述危险物品提出如下规范或要求：</w:t>
            </w:r>
          </w:p>
          <w:p w14:paraId="0D2B151B">
            <w:pPr>
              <w:pStyle w:val="28"/>
              <w:adjustRightInd/>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①上述危险</w:t>
            </w:r>
            <w:r>
              <w:rPr>
                <w:rStyle w:val="41"/>
                <w:rFonts w:hint="eastAsia" w:ascii="Times New Roman" w:hAnsi="宋体"/>
                <w:color w:val="auto"/>
                <w:lang w:val="en-US" w:eastAsia="zh-CN"/>
              </w:rPr>
              <w:t>废物</w:t>
            </w:r>
            <w:r>
              <w:rPr>
                <w:rStyle w:val="41"/>
                <w:rFonts w:hint="default" w:ascii="Times New Roman" w:hAnsi="宋体"/>
                <w:color w:val="auto"/>
              </w:rPr>
              <w:t>的贮存必须符合《中华人民共和国消防法》、《常用化学危险品贮存通则》（GB15603-1995）以及《仓库防火安全管理规则》等相关规定，如：贮存场所配备足够的、适应的消防器材，完善各项规章制度，在仓库等储存区设置明显的防火标志、危险标志等。</w:t>
            </w:r>
          </w:p>
          <w:p w14:paraId="48D56049">
            <w:pPr>
              <w:pStyle w:val="28"/>
              <w:adjustRightInd/>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②存放危险</w:t>
            </w:r>
            <w:r>
              <w:rPr>
                <w:rStyle w:val="41"/>
                <w:rFonts w:hint="eastAsia" w:ascii="Times New Roman" w:hAnsi="宋体"/>
                <w:color w:val="auto"/>
                <w:lang w:val="en-US" w:eastAsia="zh-CN"/>
              </w:rPr>
              <w:t>废物</w:t>
            </w:r>
            <w:r>
              <w:rPr>
                <w:rStyle w:val="41"/>
                <w:rFonts w:hint="default" w:ascii="Times New Roman" w:hAnsi="宋体"/>
                <w:color w:val="auto"/>
              </w:rPr>
              <w:t>时，要求做到稳固整齐，便于搬运，不致于稍受外力即跌落或因搬运不便而造成事故。</w:t>
            </w:r>
          </w:p>
          <w:p w14:paraId="07A49FCB">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（4）溢流、井喷风险防范措施</w:t>
            </w:r>
          </w:p>
          <w:p w14:paraId="2C332F75">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①严格执行井控工作管理制度，落实溢流监测岗位、关井操作岗位和钻井队干部24h值班制度。</w:t>
            </w:r>
          </w:p>
          <w:p w14:paraId="58B9D502">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②对现场所有作业人员进行井控培训并定期举行不同工况下的井控演练。</w:t>
            </w:r>
          </w:p>
          <w:p w14:paraId="521450DE">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③严格落实坐岗制度，无论钻进还是起下钻，或其它辅助作业，钻井班落实专人坐岗观察钻井</w:t>
            </w:r>
            <w:r>
              <w:rPr>
                <w:rStyle w:val="41"/>
                <w:rFonts w:hint="eastAsia" w:ascii="Times New Roman" w:hAnsi="宋体"/>
                <w:color w:val="auto"/>
                <w:highlight w:val="none"/>
                <w:lang w:val="en-US" w:eastAsia="zh-CN"/>
              </w:rPr>
              <w:t>泥浆</w:t>
            </w:r>
            <w:r>
              <w:rPr>
                <w:rStyle w:val="41"/>
                <w:rFonts w:hint="default" w:ascii="Times New Roman" w:hAnsi="宋体"/>
                <w:color w:val="auto"/>
                <w:highlight w:val="none"/>
              </w:rPr>
              <w:t>面变化和钻井</w:t>
            </w:r>
            <w:r>
              <w:rPr>
                <w:rStyle w:val="41"/>
                <w:rFonts w:hint="eastAsia" w:ascii="Times New Roman" w:hAnsi="宋体"/>
                <w:color w:val="auto"/>
                <w:highlight w:val="none"/>
                <w:lang w:val="en-US" w:eastAsia="zh-CN"/>
              </w:rPr>
              <w:t>泥浆</w:t>
            </w:r>
            <w:r>
              <w:rPr>
                <w:rStyle w:val="41"/>
                <w:rFonts w:hint="default" w:ascii="Times New Roman" w:hAnsi="宋体"/>
                <w:color w:val="auto"/>
                <w:highlight w:val="none"/>
              </w:rPr>
              <w:t>出口情况。</w:t>
            </w:r>
          </w:p>
          <w:p w14:paraId="556AA3A2">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④认真做好随钻地层压力的监测工作，发现地层压力异常、溢流、井涌等情况，应及时关井并调整钻井</w:t>
            </w:r>
            <w:r>
              <w:rPr>
                <w:rStyle w:val="41"/>
                <w:rFonts w:hint="eastAsia" w:ascii="Times New Roman" w:hAnsi="宋体"/>
                <w:color w:val="auto"/>
                <w:highlight w:val="none"/>
                <w:lang w:val="en-US" w:eastAsia="zh-CN"/>
              </w:rPr>
              <w:t>泥浆</w:t>
            </w:r>
            <w:r>
              <w:rPr>
                <w:rStyle w:val="41"/>
                <w:rFonts w:hint="default" w:ascii="Times New Roman" w:hAnsi="宋体"/>
                <w:color w:val="auto"/>
                <w:highlight w:val="none"/>
              </w:rPr>
              <w:t>密度，同时上报有关部门。</w:t>
            </w:r>
          </w:p>
          <w:p w14:paraId="24394843">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⑤严格控制起下钻速度，起钻必须按照规定灌满钻井</w:t>
            </w:r>
            <w:r>
              <w:rPr>
                <w:rStyle w:val="41"/>
                <w:rFonts w:hint="eastAsia" w:ascii="Times New Roman" w:hAnsi="宋体"/>
                <w:color w:val="auto"/>
                <w:highlight w:val="none"/>
                <w:lang w:val="en-US" w:eastAsia="zh-CN"/>
              </w:rPr>
              <w:t>泥浆</w:t>
            </w:r>
            <w:r>
              <w:rPr>
                <w:rStyle w:val="41"/>
                <w:rFonts w:hint="default" w:ascii="Times New Roman" w:hAnsi="宋体"/>
                <w:color w:val="auto"/>
                <w:highlight w:val="none"/>
              </w:rPr>
              <w:t>。</w:t>
            </w:r>
          </w:p>
          <w:p w14:paraId="7F87B209">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⑥发生溢流后，根据关井压力，尽快在井口、地层和套管安全条件下压井，待井内平稳后才恢复钻进。</w:t>
            </w:r>
          </w:p>
          <w:p w14:paraId="726A9DFC">
            <w:pPr>
              <w:pStyle w:val="28"/>
              <w:adjustRightInd/>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（5）火灾、泄漏事故次生污染防治措施</w:t>
            </w:r>
          </w:p>
          <w:p w14:paraId="7F3BBA9E">
            <w:pPr>
              <w:pStyle w:val="28"/>
              <w:adjustRightInd/>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企业发生</w:t>
            </w:r>
            <w:r>
              <w:rPr>
                <w:rStyle w:val="41"/>
                <w:rFonts w:hint="eastAsia" w:ascii="Times New Roman" w:hAnsi="宋体"/>
                <w:color w:val="auto"/>
                <w:lang w:val="en-US" w:eastAsia="zh-CN"/>
              </w:rPr>
              <w:t>危险废物</w:t>
            </w:r>
            <w:r>
              <w:rPr>
                <w:rStyle w:val="41"/>
                <w:rFonts w:hint="default" w:ascii="Times New Roman" w:hAnsi="宋体"/>
                <w:color w:val="auto"/>
              </w:rPr>
              <w:t>泄露或发生火灾事故进行消防时，污染废水或消防废水会到处溢流，可能进入厂区及外环境雨水系统，造成环境污染。</w:t>
            </w:r>
          </w:p>
          <w:p w14:paraId="317329B9">
            <w:pPr>
              <w:pStyle w:val="28"/>
              <w:adjustRightInd/>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（6）废润滑油储运过程中的风险防治措施</w:t>
            </w:r>
          </w:p>
          <w:p w14:paraId="2A146E75">
            <w:pPr>
              <w:pStyle w:val="28"/>
              <w:adjustRightInd/>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①加强对废润滑油的运输管理，产生后由专人运输至朱集西煤矿危废暂存间，禁止在井场内进行存放。</w:t>
            </w:r>
          </w:p>
          <w:p w14:paraId="6CDE4695">
            <w:pPr>
              <w:pStyle w:val="28"/>
              <w:adjustRightInd/>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（7）其他要求</w:t>
            </w:r>
          </w:p>
          <w:p w14:paraId="2646B84B">
            <w:pPr>
              <w:pStyle w:val="28"/>
              <w:adjustRightInd/>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①工程建设时严格按设计要求建设足够容积的各类池体，确保有足够容量存放钻井泥浆及岩屑。</w:t>
            </w:r>
          </w:p>
          <w:p w14:paraId="0218D9F6">
            <w:pPr>
              <w:pStyle w:val="28"/>
              <w:adjustRightInd/>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②安装符合行业规范要求的防喷器组，并进行压力测试，最低试压到18Mpa方可投入使用。</w:t>
            </w:r>
          </w:p>
          <w:p w14:paraId="0E6E5523">
            <w:pPr>
              <w:pStyle w:val="28"/>
              <w:adjustRightInd/>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通过风险防范措施制定，可以较为有效的最大限度防止风险事故的发生和风险事故的有效处置，结合企业在施工期间不断完善风险防范措施，项目发生的环境风险可以控制在较低的水平，风险发生概率及危害将低于国内同类企业水平，项目的事故风险值处于可接受水平。</w:t>
            </w:r>
          </w:p>
          <w:p w14:paraId="2399C321">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rPr>
              <w:t>6</w:t>
            </w:r>
            <w:r>
              <w:rPr>
                <w:rStyle w:val="41"/>
                <w:rFonts w:hint="default" w:ascii="Times New Roman" w:hAnsi="宋体"/>
                <w:color w:val="auto"/>
                <w:highlight w:val="none"/>
              </w:rPr>
              <w:t>、生态保护防治措施</w:t>
            </w:r>
          </w:p>
          <w:p w14:paraId="02C361E7">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（1）土地利用现有格局的保护和恢复措施</w:t>
            </w:r>
          </w:p>
          <w:p w14:paraId="0BDA791F">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①施工占地合理规划，尽量控制工程施工活动范围，减少对周边占地的影响。</w:t>
            </w:r>
          </w:p>
          <w:p w14:paraId="2A43E22F">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②按设计标准规定，严格控制施工作业面积，不得超过作业标准规定，以减少土壤扰动和地表植被破坏，减少裸地和土方暴露面积。</w:t>
            </w:r>
          </w:p>
          <w:p w14:paraId="61A66328">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③井场施工作业机械应严格管理，划定活动范围，不得在道路场地以外的地方行驶和作业，保持路外植被不被破坏。</w:t>
            </w:r>
          </w:p>
          <w:p w14:paraId="0409D9D8">
            <w:pPr>
              <w:pStyle w:val="28"/>
              <w:adjustRightInd/>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④项目施工过程中对产生的挖方及时进行平整处理。此外，施工时应避免在雨天、大风等天气条件不利情况下施工，做到水土流失最小化，如遇特殊天气施工，应用施工布料对现挖松散临时土方进行临时遮掩，保证有效控制水土流失。</w:t>
            </w:r>
          </w:p>
          <w:p w14:paraId="39E11B63">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⑤施工结束后，应恢复地貌原状。施工时对占地范围的土壤开挖应做分区堆放，分层回填压实，以保护植被生长层，降低对土壤养分的影响尽快使土壤恢复生产力，同时减少水土流失。</w:t>
            </w:r>
          </w:p>
          <w:p w14:paraId="4A0C2DE6">
            <w:pPr>
              <w:autoSpaceDE w:val="0"/>
              <w:autoSpaceDN w:val="0"/>
              <w:spacing w:line="360" w:lineRule="auto"/>
              <w:ind w:firstLine="480" w:firstLineChars="200"/>
              <w:rPr>
                <w:rFonts w:ascii="Times New Roman" w:hAnsi="Times New Roman"/>
                <w:color w:val="auto"/>
                <w:kern w:val="0"/>
                <w:sz w:val="24"/>
                <w:highlight w:val="none"/>
              </w:rPr>
            </w:pPr>
            <w:r>
              <w:rPr>
                <w:rFonts w:ascii="Times New Roman" w:hAnsi="Times New Roman"/>
                <w:color w:val="auto"/>
                <w:kern w:val="0"/>
                <w:sz w:val="24"/>
                <w:highlight w:val="none"/>
              </w:rPr>
              <w:t>（2）生物多样性的保护措施</w:t>
            </w:r>
          </w:p>
          <w:p w14:paraId="3EFB091F">
            <w:pPr>
              <w:autoSpaceDE w:val="0"/>
              <w:autoSpaceDN w:val="0"/>
              <w:spacing w:line="360" w:lineRule="auto"/>
              <w:ind w:firstLine="480" w:firstLineChars="200"/>
              <w:rPr>
                <w:rFonts w:ascii="Times New Roman" w:hAnsi="Times New Roman"/>
                <w:color w:val="auto"/>
                <w:kern w:val="0"/>
                <w:sz w:val="24"/>
                <w:highlight w:val="none"/>
              </w:rPr>
            </w:pPr>
            <w:r>
              <w:rPr>
                <w:rFonts w:hint="eastAsia" w:ascii="宋体" w:hAnsi="宋体" w:cs="宋体"/>
                <w:color w:val="auto"/>
                <w:kern w:val="0"/>
                <w:sz w:val="24"/>
                <w:highlight w:val="none"/>
              </w:rPr>
              <w:t>①</w:t>
            </w:r>
            <w:r>
              <w:rPr>
                <w:rFonts w:ascii="Times New Roman" w:hAnsi="Times New Roman"/>
                <w:color w:val="auto"/>
                <w:kern w:val="0"/>
                <w:sz w:val="24"/>
                <w:highlight w:val="none"/>
              </w:rPr>
              <w:t>在施工过程中，应加强施工人员的管理，禁止施工人员对野外植被滥砍滥伐破坏沿线地区的生态环境。</w:t>
            </w:r>
          </w:p>
          <w:p w14:paraId="092D9F62">
            <w:pPr>
              <w:autoSpaceDE w:val="0"/>
              <w:autoSpaceDN w:val="0"/>
              <w:spacing w:line="360" w:lineRule="auto"/>
              <w:ind w:firstLine="480" w:firstLineChars="200"/>
              <w:rPr>
                <w:rFonts w:ascii="Times New Roman" w:hAnsi="Times New Roman"/>
                <w:color w:val="auto"/>
                <w:kern w:val="0"/>
                <w:sz w:val="24"/>
                <w:highlight w:val="none"/>
              </w:rPr>
            </w:pPr>
            <w:r>
              <w:rPr>
                <w:rFonts w:hint="eastAsia" w:ascii="宋体" w:hAnsi="宋体"/>
                <w:color w:val="auto"/>
                <w:kern w:val="0"/>
                <w:sz w:val="24"/>
                <w:highlight w:val="none"/>
              </w:rPr>
              <w:t>②</w:t>
            </w:r>
            <w:r>
              <w:rPr>
                <w:rFonts w:ascii="Times New Roman" w:hAnsi="Times New Roman"/>
                <w:color w:val="auto"/>
                <w:kern w:val="0"/>
                <w:sz w:val="24"/>
                <w:highlight w:val="none"/>
              </w:rPr>
              <w:t>禁止施工人员对野生动物，尤其是珍稀动物的滥捕滥杀，做好野生动物的保护工作。</w:t>
            </w:r>
          </w:p>
          <w:p w14:paraId="4323C80E">
            <w:pPr>
              <w:autoSpaceDE w:val="0"/>
              <w:autoSpaceDN w:val="0"/>
              <w:spacing w:line="360" w:lineRule="auto"/>
              <w:ind w:firstLine="480" w:firstLineChars="200"/>
              <w:rPr>
                <w:rFonts w:ascii="Times New Roman" w:hAnsi="Times New Roman"/>
                <w:color w:val="auto"/>
                <w:kern w:val="0"/>
                <w:sz w:val="24"/>
                <w:highlight w:val="none"/>
              </w:rPr>
            </w:pPr>
            <w:r>
              <w:rPr>
                <w:rFonts w:ascii="宋体" w:hAnsi="宋体"/>
                <w:color w:val="auto"/>
                <w:kern w:val="0"/>
                <w:sz w:val="24"/>
                <w:highlight w:val="none"/>
              </w:rPr>
              <w:t>③</w:t>
            </w:r>
            <w:r>
              <w:rPr>
                <w:rFonts w:ascii="Times New Roman" w:hAnsi="Times New Roman"/>
                <w:color w:val="auto"/>
                <w:kern w:val="0"/>
                <w:sz w:val="24"/>
                <w:highlight w:val="none"/>
              </w:rPr>
              <w:t>施工期要加大对保护野生动物的宣传力度，大力宣传两栖、爬行动物、鸟类对农林卫生业的作用。</w:t>
            </w:r>
          </w:p>
          <w:p w14:paraId="29317476">
            <w:pPr>
              <w:pStyle w:val="28"/>
              <w:adjustRightInd/>
              <w:spacing w:line="360" w:lineRule="auto"/>
              <w:ind w:firstLine="480" w:firstLineChars="200"/>
              <w:jc w:val="both"/>
              <w:rPr>
                <w:rStyle w:val="41"/>
                <w:rFonts w:hint="default" w:ascii="Times New Roman" w:hAnsi="宋体"/>
                <w:color w:val="auto"/>
                <w:highlight w:val="none"/>
              </w:rPr>
            </w:pPr>
            <w:r>
              <w:rPr>
                <w:rFonts w:ascii="宋体" w:hAnsi="宋体"/>
                <w:color w:val="auto"/>
                <w:highlight w:val="none"/>
              </w:rPr>
              <w:t>④</w:t>
            </w:r>
            <w:r>
              <w:rPr>
                <w:rFonts w:ascii="Times New Roman" w:hAnsi="Times New Roman"/>
                <w:color w:val="auto"/>
                <w:highlight w:val="none"/>
              </w:rPr>
              <w:t>对水生生物的一般保护措施为：切实加强对水环境的保护，避免井场周边地表水造成影响，施工</w:t>
            </w:r>
            <w:r>
              <w:rPr>
                <w:rFonts w:hint="eastAsia" w:ascii="Times New Roman" w:hAnsi="Times New Roman"/>
                <w:color w:val="auto"/>
                <w:highlight w:val="none"/>
              </w:rPr>
              <w:t>物料</w:t>
            </w:r>
            <w:r>
              <w:rPr>
                <w:rFonts w:ascii="Times New Roman" w:hAnsi="Times New Roman"/>
                <w:color w:val="auto"/>
                <w:highlight w:val="none"/>
              </w:rPr>
              <w:t>的堆放应放置于远离地表水一侧，防止物料被暴雨径流带入水体影响水质，各类</w:t>
            </w:r>
            <w:r>
              <w:rPr>
                <w:rFonts w:hint="eastAsia" w:ascii="Times New Roman" w:hAnsi="Times New Roman"/>
                <w:color w:val="auto"/>
                <w:highlight w:val="none"/>
              </w:rPr>
              <w:t>物料</w:t>
            </w:r>
            <w:r>
              <w:rPr>
                <w:rFonts w:ascii="Times New Roman" w:hAnsi="Times New Roman"/>
                <w:color w:val="auto"/>
                <w:highlight w:val="none"/>
              </w:rPr>
              <w:t>应备有防雨遮雨设施；在施工过程中禁止将污水、垃圾和其它施工机械的废油等污染物拋入水体，应收集后和工地上的污染物一并处理。施工挖出的淤泥渣土等不得抛入河流和其他水体。</w:t>
            </w:r>
          </w:p>
          <w:p w14:paraId="77CE7B97">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（3）水土流失防治措施</w:t>
            </w:r>
          </w:p>
          <w:p w14:paraId="223DC3BF">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①尽量避开雨季施工，提高工程施工效率，缩短施工工期。</w:t>
            </w:r>
          </w:p>
          <w:p w14:paraId="42A4DC8F">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②划定施工作业范围线，不随意扩大。并严格控制机械和车辆的作业范围，尽可能减少对土壤和农作物的破坏以及由此引发的水土流失。</w:t>
            </w:r>
          </w:p>
          <w:p w14:paraId="36847028">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③施工单位开工前，应先剥离占地范围内表层土，井场范围内表层土堆至于表层土堆放区内，并对表层土堆放区采用彩条布遮挡、构筑截、排水沟等水保措施，防止水土流失。</w:t>
            </w:r>
          </w:p>
          <w:p w14:paraId="4BC3233E">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w:t>
            </w:r>
            <w:r>
              <w:rPr>
                <w:rStyle w:val="41"/>
                <w:rFonts w:hint="default" w:ascii="宋体" w:hAnsi="宋体" w:cs="宋体"/>
                <w:color w:val="auto"/>
                <w:highlight w:val="none"/>
              </w:rPr>
              <w:t>4</w:t>
            </w:r>
            <w:r>
              <w:rPr>
                <w:rStyle w:val="41"/>
                <w:rFonts w:hint="default" w:ascii="Times New Roman" w:hAnsi="宋体"/>
                <w:color w:val="auto"/>
                <w:highlight w:val="none"/>
              </w:rPr>
              <w:t>）生态影响防护措施</w:t>
            </w:r>
          </w:p>
          <w:p w14:paraId="3929220E">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生态影响的防护是指采取对生态影响起到避免、削减和补偿作用的措施。</w:t>
            </w:r>
          </w:p>
          <w:p w14:paraId="2B72CE59">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本项目井场建设短期内会改变区域土地利用，降低区域自然体系的生产能力，因此，应采取必要的生态防护措施，尽可能的减少对原有生态结构的改变，恢复和改善原生生态系统的功能。在井场建设时要求：</w:t>
            </w:r>
          </w:p>
          <w:p w14:paraId="5E362299">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①强化施工阶段的环境管理，为了保证环境保护措施得到落实，项目单位应将环境保护内容作为合同条款纳入到合同中，要求施工单位按评价要求科学、合理施工，项目单位定期对工程施工情况进行监督。</w:t>
            </w:r>
          </w:p>
          <w:p w14:paraId="0C2A04FE">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②加强施工队伍职工环境教育，规范施工人员行为。教育职工爱护生态环境，保护施工场所周围一草一木，不随意摘花折木，严禁砍伐、破坏施工带以外的作物和树木，尽量减少对植被的破坏。</w:t>
            </w:r>
          </w:p>
          <w:p w14:paraId="33710B1B">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③项目单位要聘请有资质的监理单位进行工程监理，监理单位即要做好工程质量监理，更要做好环保监理，要求施工单位在规定的施工作业面内文明施工，禁止在施工人员进入作业面以外区域，以尽可能减小施工期对土地和植被的破坏。</w:t>
            </w:r>
          </w:p>
          <w:p w14:paraId="0501DEB8">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④在职工中宣传环境保护法规，加强施工生产和生活用火管理，要防止引起火灾，避免造成不必要的损失和破坏。加强员工的环保意识，制定和完善企业内部环境保护工作的规章制度；宣传清洁生产技术思想，进行清洁生产技术培训；积极建立清洁生产环境管理体系；同时建立安全监督机制，进行安全考核等。</w:t>
            </w:r>
          </w:p>
          <w:p w14:paraId="5BA91FE4">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⑤施工结束后应采用套管+水泥砂浆予以恰当封孔并留地面标记进行封井，施工占地应利用原土回填，恢复原有植被。</w:t>
            </w:r>
          </w:p>
          <w:p w14:paraId="46A577B4">
            <w:pPr>
              <w:pStyle w:val="7"/>
              <w:spacing w:line="360" w:lineRule="auto"/>
              <w:ind w:firstLine="480" w:firstLineChars="200"/>
              <w:rPr>
                <w:rStyle w:val="41"/>
                <w:rFonts w:hint="default" w:ascii="Times New Roman" w:hAnsi="宋体"/>
                <w:color w:val="auto"/>
                <w:highlight w:val="none"/>
              </w:rPr>
            </w:pPr>
            <w:r>
              <w:rPr>
                <w:rStyle w:val="41"/>
                <w:rFonts w:hint="default" w:ascii="Times New Roman" w:hAnsi="宋体"/>
                <w:color w:val="auto"/>
                <w:highlight w:val="none"/>
              </w:rPr>
              <w:t>项目施工结束后，井场全部进行生态恢复，项目因占地、植物减少、土壤扰动和水土流失等生态问题和生态扰动都将恢复。</w:t>
            </w:r>
          </w:p>
          <w:p w14:paraId="735D2497">
            <w:pPr>
              <w:pStyle w:val="28"/>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w:t>
            </w:r>
            <w:r>
              <w:rPr>
                <w:rStyle w:val="41"/>
                <w:rFonts w:hint="default" w:ascii="宋体" w:hAnsi="宋体" w:cs="宋体"/>
                <w:color w:val="auto"/>
                <w:highlight w:val="none"/>
              </w:rPr>
              <w:t>5</w:t>
            </w:r>
            <w:r>
              <w:rPr>
                <w:rStyle w:val="41"/>
                <w:rFonts w:hint="default" w:ascii="Times New Roman" w:hAnsi="宋体"/>
                <w:color w:val="auto"/>
                <w:highlight w:val="none"/>
              </w:rPr>
              <w:t>）临时用地复垦措施</w:t>
            </w:r>
          </w:p>
          <w:p w14:paraId="4FEC83D9">
            <w:pPr>
              <w:pStyle w:val="28"/>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本项目施工期结束后需要对临时用地进行土地恢复，使临时用地状况恢复到原有水平。本项目建设单位已制定临时用地复垦方案，建设单位施工完成后要严格落实复垦方案中的措施，因地制宜，以恢复项目区原有土地利用类型为主，改善生态环境，改善破坏土地的质量。</w:t>
            </w:r>
          </w:p>
          <w:p w14:paraId="4D373337">
            <w:pPr>
              <w:pStyle w:val="28"/>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本项目涉及临时用地对土地的损毁主要为土壤物理性质和结构遭到损坏，临时用地毁坏类型主要为压占，毁坏程度为中度破坏。在落实复垦方案中的措施后，使临时用地性质恢复到原有水平，复垦结束后，要对复垦对象进行为期一年的管护，确保复垦工程能够达到预期效果。具体复垦措施如下所示：</w:t>
            </w:r>
          </w:p>
          <w:p w14:paraId="69DE5595">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①表土剥离：表土层的剥离在本工程土地复垦中极为重要，耕作层土壤和表层土壤是经过多年耕作和植物作用而形成的熟化土壤，对于植物种子的萌发和幼苗的生长有着重要作用。在临时用地占用前，对临时地块内占用耕地部分进行0.</w:t>
            </w:r>
            <w:r>
              <w:rPr>
                <w:rStyle w:val="41"/>
                <w:rFonts w:hint="eastAsia" w:ascii="Times New Roman" w:hAnsi="宋体"/>
                <w:color w:val="auto"/>
                <w:highlight w:val="none"/>
                <w:lang w:val="en-US" w:eastAsia="zh-CN"/>
              </w:rPr>
              <w:t>25</w:t>
            </w:r>
            <w:r>
              <w:rPr>
                <w:rStyle w:val="41"/>
                <w:rFonts w:hint="default" w:ascii="Times New Roman" w:hAnsi="宋体"/>
                <w:color w:val="auto"/>
                <w:highlight w:val="none"/>
              </w:rPr>
              <w:t>m厚表土剥离。</w:t>
            </w:r>
          </w:p>
          <w:p w14:paraId="53730765">
            <w:pPr>
              <w:pStyle w:val="28"/>
              <w:adjustRightInd/>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②表土堆存与防护：在表土堆放区周围釆用1m高的草袋防护。堆土区边缘部位需修筑排水沟，以阻挡周边雨水，为防止表土堆放区内四周冲刷沟的产生，在雨季需在表土堆放区上覆盖防水编织布。</w:t>
            </w:r>
          </w:p>
          <w:p w14:paraId="7EEF7EFC">
            <w:pPr>
              <w:spacing w:line="360" w:lineRule="auto"/>
              <w:ind w:firstLine="480" w:firstLineChars="200"/>
              <w:rPr>
                <w:rStyle w:val="41"/>
                <w:rFonts w:hint="default" w:ascii="Times New Roman" w:hAnsi="宋体"/>
                <w:color w:val="auto"/>
                <w:kern w:val="0"/>
              </w:rPr>
            </w:pPr>
            <w:r>
              <w:rPr>
                <w:rStyle w:val="41"/>
                <w:rFonts w:hint="default" w:ascii="Times New Roman" w:hAnsi="宋体"/>
                <w:color w:val="auto"/>
                <w:kern w:val="0"/>
              </w:rPr>
              <w:t>③表土剥离收集过程中应注意对树根、灌木、草皮的清理，避免与表土混合，影响表土堆放的稳定性；遵循</w:t>
            </w:r>
            <w:r>
              <w:rPr>
                <w:rStyle w:val="41"/>
                <w:rFonts w:hint="eastAsia" w:ascii="Times New Roman" w:hAnsi="宋体"/>
                <w:color w:val="auto"/>
                <w:kern w:val="0"/>
                <w:lang w:eastAsia="zh-CN"/>
              </w:rPr>
              <w:t>“</w:t>
            </w:r>
            <w:r>
              <w:rPr>
                <w:rStyle w:val="41"/>
                <w:rFonts w:hint="default" w:ascii="Times New Roman" w:hAnsi="宋体"/>
                <w:color w:val="auto"/>
                <w:kern w:val="0"/>
              </w:rPr>
              <w:t>先拦后堆</w:t>
            </w:r>
            <w:r>
              <w:rPr>
                <w:rStyle w:val="41"/>
                <w:rFonts w:hint="eastAsia" w:ascii="Times New Roman" w:hAnsi="宋体"/>
                <w:color w:val="auto"/>
                <w:kern w:val="0"/>
                <w:lang w:eastAsia="zh-CN"/>
              </w:rPr>
              <w:t>”</w:t>
            </w:r>
            <w:r>
              <w:rPr>
                <w:rStyle w:val="41"/>
                <w:rFonts w:hint="default" w:ascii="Times New Roman" w:hAnsi="宋体"/>
                <w:color w:val="auto"/>
                <w:kern w:val="0"/>
              </w:rPr>
              <w:t>的原则，先做好拦挡工作后，再集中堆放表土，且在堆放时尽可能将表土压实；</w:t>
            </w:r>
          </w:p>
          <w:p w14:paraId="44E78CD2">
            <w:pPr>
              <w:pStyle w:val="28"/>
              <w:adjustRightInd/>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④建筑垃圾拆除及清运：对临时用地局部硬化路面进行拆除并清运出项目区，</w:t>
            </w:r>
            <w:r>
              <w:rPr>
                <w:rStyle w:val="41"/>
                <w:rFonts w:hint="eastAsia" w:ascii="Times New Roman" w:hAnsi="宋体"/>
                <w:color w:val="auto"/>
                <w:lang w:val="en-US" w:eastAsia="zh-CN"/>
              </w:rPr>
              <w:t>及时转运</w:t>
            </w:r>
            <w:r>
              <w:rPr>
                <w:rStyle w:val="41"/>
                <w:rFonts w:hint="default" w:ascii="Times New Roman" w:hAnsi="宋体"/>
                <w:color w:val="auto"/>
              </w:rPr>
              <w:t>到政府指定地点，中转清运。</w:t>
            </w:r>
          </w:p>
          <w:p w14:paraId="61E0CE07">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⑤土地深松：场地清理工作结束后，对各类场地进行填凹、推平，再用机械深耕，租用当地松土机对耕地进行松土，松土深度30-50cm，通过深翻深耕，提高土壤入渗能力。</w:t>
            </w:r>
          </w:p>
          <w:p w14:paraId="756F1972">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⑥表土回填：在对压占土地翻耕后，将前期剥离的表土进行回填，回填土方量为前期剥离量之和，可保证复垦后恢复原地貌。</w:t>
            </w:r>
          </w:p>
          <w:p w14:paraId="66FB5427">
            <w:pPr>
              <w:pStyle w:val="28"/>
              <w:adjustRightInd/>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⑦道路修复：临时用地施工便道连接农村道路使用期间可能会产生一定损毁，对损毁路面进行修复，临时用地使用完毕后将恢复成原地貌，复垦后道路通达率与原地块通达率一致，仍为100%。</w:t>
            </w:r>
          </w:p>
          <w:p w14:paraId="527FACD6">
            <w:pPr>
              <w:pStyle w:val="28"/>
              <w:adjustRightInd/>
              <w:spacing w:line="360" w:lineRule="auto"/>
              <w:ind w:firstLine="480" w:firstLineChars="200"/>
              <w:jc w:val="both"/>
              <w:rPr>
                <w:rStyle w:val="41"/>
                <w:rFonts w:hint="default" w:ascii="Times New Roman" w:hAnsi="宋体"/>
                <w:color w:val="auto"/>
                <w:highlight w:val="none"/>
              </w:rPr>
            </w:pPr>
            <w:r>
              <w:rPr>
                <w:rStyle w:val="41"/>
                <w:rFonts w:hint="eastAsia" w:ascii="Times New Roman" w:hAnsi="宋体"/>
                <w:color w:val="auto"/>
                <w:highlight w:val="none"/>
                <w:lang w:val="en-US" w:eastAsia="zh-CN"/>
              </w:rPr>
              <w:t>⑧</w:t>
            </w:r>
            <w:r>
              <w:rPr>
                <w:rStyle w:val="41"/>
                <w:rFonts w:hint="default" w:ascii="Times New Roman" w:hAnsi="宋体"/>
                <w:color w:val="auto"/>
                <w:highlight w:val="none"/>
              </w:rPr>
              <w:t>在工程复垦结束后，进行生物复垦，快速恢复植被，从而有效地控制水土流失，改善项目区生态环境。</w:t>
            </w:r>
          </w:p>
          <w:p w14:paraId="33568543">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w:t>
            </w:r>
            <w:r>
              <w:rPr>
                <w:rStyle w:val="41"/>
                <w:rFonts w:hint="default" w:ascii="宋体" w:hAnsi="宋体" w:cs="宋体"/>
                <w:color w:val="auto"/>
                <w:highlight w:val="none"/>
              </w:rPr>
              <w:t>6</w:t>
            </w:r>
            <w:r>
              <w:rPr>
                <w:rStyle w:val="41"/>
                <w:rFonts w:hint="default" w:ascii="Times New Roman" w:hAnsi="宋体"/>
                <w:color w:val="auto"/>
                <w:highlight w:val="none"/>
              </w:rPr>
              <w:t>）临时占地生态保护措施</w:t>
            </w:r>
          </w:p>
          <w:p w14:paraId="31FEC299">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根据《土地管理法》规定和相关地方规定，对工程临时征地进行补偿；严禁砍伐野外植被；严格规定施工作业范围，严格限制施工活动范围。项目施工结束后，硬化地面、雨水沟、污水沟等地面设施进行整体拆除，对拆除过程中可重复使用的材料可运至其他井站进行重复利用，水泥渣、碎石等尽可能用于其他井场的道路和井场建设，不可利用部分运至政府指定的渣场，做到工完、料净、场地清，对构筑的设备基础拆除后作场地边坡凹地平整填方区填方回填，不留坑凼；清除场内固体废物，平整井场，在表层覆盖耕作土层，将废弃的井场恢复原状。</w:t>
            </w:r>
          </w:p>
          <w:p w14:paraId="639B0C0C">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w:t>
            </w:r>
            <w:r>
              <w:rPr>
                <w:rStyle w:val="41"/>
                <w:rFonts w:hint="default" w:ascii="宋体" w:hAnsi="宋体" w:cs="宋体"/>
                <w:color w:val="auto"/>
                <w:highlight w:val="none"/>
              </w:rPr>
              <w:t>7</w:t>
            </w:r>
            <w:r>
              <w:rPr>
                <w:rStyle w:val="41"/>
                <w:rFonts w:hint="default" w:ascii="Times New Roman" w:hAnsi="宋体"/>
                <w:color w:val="auto"/>
                <w:highlight w:val="none"/>
              </w:rPr>
              <w:t>）完井后环境保护措施</w:t>
            </w:r>
          </w:p>
          <w:p w14:paraId="558A7D11">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完井后将对钻井设备、基础进行拆除、搬迁，封井口作业，最终对临时占地进行恢复。</w:t>
            </w:r>
          </w:p>
          <w:p w14:paraId="5096FCD8">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①井口封隔措施</w:t>
            </w:r>
          </w:p>
          <w:p w14:paraId="0F7ABD4C">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采用泵送的方式分段向井内注入水泥浆封井，封井完成后，在井口设立永久标志：包含井名、项目名称、开钻日期、完钻日期、完钻井深及施工单位名称等。</w:t>
            </w:r>
          </w:p>
          <w:p w14:paraId="2CE519C6">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②临时占地保护措施</w:t>
            </w:r>
          </w:p>
          <w:p w14:paraId="01E72A96">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本次评价结合项目土地占用情况，按照因地制宜的原则，对临时占地在完钻时的土地复垦提出以下建议：</w:t>
            </w:r>
          </w:p>
          <w:p w14:paraId="20B6C9D6">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利用井场剥离表层土回填，复垦为旱地或根据当地居民要求复垦为其他用地；井场基础设施拆除后，建议复垦为旱地。</w:t>
            </w:r>
          </w:p>
          <w:p w14:paraId="4F269537">
            <w:pPr>
              <w:pStyle w:val="7"/>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③表层土回填措施</w:t>
            </w:r>
          </w:p>
          <w:p w14:paraId="1637335A">
            <w:pPr>
              <w:pStyle w:val="7"/>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项目施工期间在井场设置表层土堆放区，用于堆放剥离的表层土，表层土用于土地复垦用土</w:t>
            </w:r>
            <w:r>
              <w:rPr>
                <w:rStyle w:val="41"/>
                <w:rFonts w:hint="eastAsia" w:hAnsi="宋体"/>
                <w:color w:val="auto"/>
                <w:lang w:eastAsia="zh-CN"/>
              </w:rPr>
              <w:t>。</w:t>
            </w:r>
            <w:r>
              <w:rPr>
                <w:rStyle w:val="41"/>
                <w:rFonts w:hint="default" w:ascii="Times New Roman" w:hAnsi="宋体"/>
                <w:color w:val="auto"/>
              </w:rPr>
              <w:t>表层土回填时，可混合基肥或土壤改良剂以利于植草，表层土应均匀回填并夯压整平，回填整平后之后尽快植草以防表层土流失。</w:t>
            </w:r>
          </w:p>
          <w:p w14:paraId="5EB9CB66">
            <w:pPr>
              <w:pStyle w:val="7"/>
              <w:spacing w:line="360" w:lineRule="auto"/>
              <w:ind w:firstLine="480" w:firstLineChars="200"/>
              <w:jc w:val="both"/>
              <w:rPr>
                <w:rStyle w:val="41"/>
                <w:rFonts w:hint="default" w:ascii="Times New Roman" w:hAnsi="宋体"/>
                <w:color w:val="auto"/>
              </w:rPr>
            </w:pPr>
            <w:r>
              <w:rPr>
                <w:rStyle w:val="41"/>
                <w:rFonts w:hint="eastAsia" w:hAnsi="宋体"/>
                <w:color w:val="auto"/>
                <w:lang w:eastAsia="zh-CN"/>
              </w:rPr>
              <w:t>（</w:t>
            </w:r>
            <w:r>
              <w:rPr>
                <w:rStyle w:val="41"/>
                <w:rFonts w:hint="eastAsia" w:hAnsi="宋体"/>
                <w:color w:val="auto"/>
                <w:lang w:val="en-US" w:eastAsia="zh-CN"/>
              </w:rPr>
              <w:t>8</w:t>
            </w:r>
            <w:r>
              <w:rPr>
                <w:rStyle w:val="41"/>
                <w:rFonts w:hint="eastAsia" w:hAnsi="宋体"/>
                <w:color w:val="auto"/>
                <w:lang w:eastAsia="zh-CN"/>
              </w:rPr>
              <w:t>）</w:t>
            </w:r>
            <w:r>
              <w:rPr>
                <w:rStyle w:val="41"/>
                <w:rFonts w:hint="default" w:ascii="Times New Roman" w:hAnsi="宋体"/>
                <w:color w:val="auto"/>
              </w:rPr>
              <w:t>土地复垦质量要求</w:t>
            </w:r>
          </w:p>
          <w:p w14:paraId="259907EB">
            <w:pPr>
              <w:pStyle w:val="7"/>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本复垦工程主要复垦为耕地，耕地复垦标准如下：</w:t>
            </w:r>
          </w:p>
          <w:p w14:paraId="79F03D1D">
            <w:pPr>
              <w:pStyle w:val="7"/>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①有效土层厚度不低于50cm，耕作层厚度不低于30cm；</w:t>
            </w:r>
          </w:p>
          <w:p w14:paraId="4EEC9B89">
            <w:pPr>
              <w:pStyle w:val="7"/>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②土壤通体无污染，耕作层有机质含量不低于2%。</w:t>
            </w:r>
          </w:p>
          <w:p w14:paraId="3FF3BE1B">
            <w:pPr>
              <w:pStyle w:val="7"/>
              <w:spacing w:line="360" w:lineRule="auto"/>
              <w:ind w:firstLine="480" w:firstLineChars="200"/>
              <w:jc w:val="both"/>
              <w:rPr>
                <w:rStyle w:val="41"/>
                <w:rFonts w:hint="default" w:ascii="Times New Roman" w:hAnsi="宋体"/>
                <w:color w:val="auto"/>
              </w:rPr>
            </w:pPr>
            <w:r>
              <w:rPr>
                <w:rStyle w:val="41"/>
                <w:rFonts w:hint="default" w:ascii="Times New Roman" w:hAnsi="宋体"/>
                <w:color w:val="auto"/>
              </w:rPr>
              <w:t>③复垦后耕地质量等别要达到复垦前耕地等别。</w:t>
            </w:r>
          </w:p>
          <w:p w14:paraId="75FC24E5">
            <w:pPr>
              <w:pStyle w:val="7"/>
              <w:spacing w:line="360" w:lineRule="auto"/>
              <w:ind w:firstLine="480" w:firstLineChars="200"/>
              <w:jc w:val="both"/>
              <w:rPr>
                <w:rStyle w:val="41"/>
                <w:rFonts w:hint="default" w:ascii="Times New Roman" w:hAnsi="宋体"/>
                <w:color w:val="auto"/>
              </w:rPr>
            </w:pPr>
            <w:r>
              <w:rPr>
                <w:rStyle w:val="41"/>
                <w:rFonts w:hint="eastAsia" w:hAnsi="宋体"/>
                <w:color w:val="auto"/>
                <w:lang w:val="en-US" w:eastAsia="zh-CN"/>
              </w:rPr>
              <w:t>④</w:t>
            </w:r>
            <w:r>
              <w:rPr>
                <w:rStyle w:val="41"/>
                <w:rFonts w:hint="default" w:ascii="Times New Roman" w:hAnsi="宋体"/>
                <w:color w:val="auto"/>
              </w:rPr>
              <w:t>破坏前为耕地的地块，表土剥离厚度不小于30cm；</w:t>
            </w:r>
          </w:p>
          <w:p w14:paraId="32510C23">
            <w:pPr>
              <w:pStyle w:val="7"/>
              <w:spacing w:line="360" w:lineRule="auto"/>
              <w:ind w:firstLine="480" w:firstLineChars="200"/>
              <w:jc w:val="both"/>
              <w:rPr>
                <w:rStyle w:val="41"/>
                <w:rFonts w:hint="default" w:ascii="Times New Roman" w:hAnsi="宋体"/>
                <w:color w:val="auto"/>
              </w:rPr>
            </w:pPr>
            <w:r>
              <w:rPr>
                <w:rStyle w:val="41"/>
                <w:rFonts w:hint="eastAsia" w:hAnsi="宋体"/>
                <w:color w:val="auto"/>
                <w:lang w:val="en-US" w:eastAsia="zh-CN"/>
              </w:rPr>
              <w:t>⑤</w:t>
            </w:r>
            <w:r>
              <w:rPr>
                <w:rStyle w:val="41"/>
                <w:rFonts w:hint="default" w:ascii="Times New Roman" w:hAnsi="宋体"/>
                <w:color w:val="auto"/>
              </w:rPr>
              <w:t>复垦后田块平整，一个耕作田块内，旱地田面坡度不超过3度，水田高差±3cm之内。</w:t>
            </w:r>
          </w:p>
          <w:p w14:paraId="04F7929C">
            <w:pPr>
              <w:pStyle w:val="7"/>
              <w:spacing w:line="360" w:lineRule="auto"/>
              <w:ind w:firstLine="480" w:firstLineChars="200"/>
              <w:jc w:val="both"/>
              <w:rPr>
                <w:rStyle w:val="41"/>
                <w:rFonts w:hint="default" w:ascii="Times New Roman" w:hAnsi="宋体"/>
                <w:color w:val="auto"/>
              </w:rPr>
            </w:pPr>
            <w:r>
              <w:rPr>
                <w:rStyle w:val="41"/>
                <w:rFonts w:hint="eastAsia" w:hAnsi="宋体"/>
                <w:color w:val="auto"/>
                <w:lang w:val="en-US" w:eastAsia="zh-CN"/>
              </w:rPr>
              <w:t>⑥</w:t>
            </w:r>
            <w:r>
              <w:rPr>
                <w:rStyle w:val="41"/>
                <w:rFonts w:hint="default" w:ascii="Times New Roman" w:hAnsi="宋体"/>
                <w:color w:val="auto"/>
              </w:rPr>
              <w:t>复垦后田块长度一般80-100m，宽度15-40m，梯田田块长边沿等高线布置。</w:t>
            </w:r>
          </w:p>
          <w:p w14:paraId="695D1EDA">
            <w:pPr>
              <w:pStyle w:val="7"/>
              <w:spacing w:line="360" w:lineRule="auto"/>
              <w:ind w:firstLine="480" w:firstLineChars="200"/>
              <w:jc w:val="both"/>
              <w:rPr>
                <w:rStyle w:val="41"/>
                <w:rFonts w:hint="default" w:ascii="Times New Roman" w:hAnsi="宋体"/>
                <w:color w:val="auto"/>
              </w:rPr>
            </w:pPr>
            <w:r>
              <w:rPr>
                <w:rStyle w:val="41"/>
                <w:rFonts w:hint="eastAsia" w:hAnsi="宋体"/>
                <w:color w:val="auto"/>
                <w:lang w:val="en-US" w:eastAsia="zh-CN"/>
              </w:rPr>
              <w:t>⑦</w:t>
            </w:r>
            <w:r>
              <w:rPr>
                <w:rStyle w:val="41"/>
                <w:rFonts w:hint="default" w:ascii="Times New Roman" w:hAnsi="宋体"/>
                <w:color w:val="auto"/>
              </w:rPr>
              <w:t>三年后达到周边地区同等土地利用类型水平。</w:t>
            </w:r>
          </w:p>
          <w:p w14:paraId="562DB3AC">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由于项目临时占地涉及耕地，建设单位在办理临时用地批复前根据《土地复垦条例》编制了《临时用地复垦方案》，钻井工程完工后必须及时进行土地复垦。临时用地复垦应坚持科学规划、因地制宜、综合治理、经济可行、合理利用的原则。井场所在地域地表植被茂盛，大气质量和地下水、地表水水质均较好。复垦方向应以农用地优先为主，以恢复生态环境为辅，因地制宜的建立植被与恢复体系，同时遵循破坏土地与周边现状保持一致的原则。本评价要求因临时占用所损坏的土地，必须按照土地复垦方案的相关要求进行。</w:t>
            </w:r>
          </w:p>
          <w:p w14:paraId="41EAC5AD">
            <w:pPr>
              <w:pStyle w:val="7"/>
              <w:spacing w:line="360" w:lineRule="auto"/>
              <w:ind w:firstLine="480" w:firstLineChars="200"/>
              <w:jc w:val="both"/>
              <w:rPr>
                <w:rStyle w:val="41"/>
                <w:rFonts w:hint="default" w:ascii="Times New Roman" w:hAnsi="宋体"/>
                <w:color w:val="auto"/>
                <w:highlight w:val="none"/>
              </w:rPr>
            </w:pPr>
            <w:r>
              <w:rPr>
                <w:rStyle w:val="41"/>
                <w:rFonts w:hint="eastAsia" w:hAnsi="宋体"/>
                <w:color w:val="auto"/>
                <w:highlight w:val="none"/>
                <w:lang w:val="en-US" w:eastAsia="zh-CN"/>
              </w:rPr>
              <w:t>7</w:t>
            </w:r>
            <w:r>
              <w:rPr>
                <w:rStyle w:val="41"/>
                <w:rFonts w:hint="default" w:ascii="Times New Roman" w:hAnsi="宋体"/>
                <w:color w:val="auto"/>
                <w:highlight w:val="none"/>
              </w:rPr>
              <w:t>、封井影响分析</w:t>
            </w:r>
          </w:p>
          <w:p w14:paraId="3530CAB3">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（1）影响分析</w:t>
            </w:r>
          </w:p>
          <w:p w14:paraId="6B43A5D9">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地面设施拆除、井场清理等工作会产生部分废弃管线、废弃建筑残渣，对这些废弃管线、残渣将进行集中清理收集，管线收集后可回收再利用，废弃建筑残渣按照一般工业固废进行综合利用。</w:t>
            </w:r>
          </w:p>
          <w:p w14:paraId="0F711CE1">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（2）封井后应采取的环保措施</w:t>
            </w:r>
          </w:p>
          <w:p w14:paraId="00917139">
            <w:pPr>
              <w:pStyle w:val="7"/>
              <w:spacing w:line="360" w:lineRule="auto"/>
              <w:ind w:firstLine="480" w:firstLineChars="200"/>
              <w:jc w:val="both"/>
              <w:rPr>
                <w:rStyle w:val="41"/>
                <w:rFonts w:hint="default" w:ascii="Times New Roman" w:hAnsi="宋体"/>
                <w:color w:val="auto"/>
                <w:highlight w:val="none"/>
              </w:rPr>
            </w:pPr>
            <w:r>
              <w:rPr>
                <w:rStyle w:val="41"/>
                <w:rFonts w:hint="default" w:ascii="Times New Roman" w:hAnsi="宋体"/>
                <w:color w:val="auto"/>
                <w:highlight w:val="none"/>
              </w:rPr>
              <w:t>①人工拆除临时占地基础。将井场建设保留的耕植土直接摊铺覆盖于场面上，然后进行植被恢复。</w:t>
            </w:r>
          </w:p>
          <w:p w14:paraId="52B6CBC4">
            <w:pPr>
              <w:keepNext w:val="0"/>
              <w:keepLines w:val="0"/>
              <w:pageBreakBefore w:val="0"/>
              <w:kinsoku/>
              <w:wordWrap/>
              <w:overflowPunct/>
              <w:topLinePunct w:val="0"/>
              <w:bidi w:val="0"/>
              <w:adjustRightInd w:val="0"/>
              <w:snapToGrid w:val="0"/>
              <w:spacing w:line="360" w:lineRule="auto"/>
              <w:ind w:firstLine="480" w:firstLineChars="200"/>
              <w:textAlignment w:val="auto"/>
              <w:rPr>
                <w:rStyle w:val="41"/>
                <w:rFonts w:hint="default" w:ascii="Times New Roman" w:hAnsi="宋体" w:eastAsia="宋体" w:cs="Times New Roman"/>
                <w:color w:val="auto"/>
                <w:kern w:val="0"/>
                <w:lang w:val="en-US" w:eastAsia="zh-CN" w:bidi="ar-SA"/>
              </w:rPr>
            </w:pPr>
            <w:r>
              <w:rPr>
                <w:rStyle w:val="41"/>
                <w:rFonts w:hint="default" w:ascii="Times New Roman" w:hAnsi="宋体"/>
                <w:color w:val="auto"/>
                <w:kern w:val="0"/>
                <w:highlight w:val="none"/>
              </w:rPr>
              <w:t>②为尽快恢复土地功能，可增施肥料，加强灌溉，以改良土壤结构及其理化性质，提高土壤的保肥保水能力，恢复土壤生产能力。</w:t>
            </w:r>
          </w:p>
        </w:tc>
      </w:tr>
      <w:tr w14:paraId="613CA5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noWrap w:val="0"/>
            <w:tcMar>
              <w:left w:w="28" w:type="dxa"/>
              <w:right w:w="28" w:type="dxa"/>
            </w:tcMar>
            <w:vAlign w:val="center"/>
          </w:tcPr>
          <w:p w14:paraId="390FFB12">
            <w:pPr>
              <w:keepNext w:val="0"/>
              <w:keepLines w:val="0"/>
              <w:pageBreakBefore w:val="0"/>
              <w:kinsoku/>
              <w:wordWrap/>
              <w:overflowPunct/>
              <w:topLinePunct w:val="0"/>
              <w:bidi w:val="0"/>
              <w:adjustRightInd w:val="0"/>
              <w:snapToGrid w:val="0"/>
              <w:jc w:val="center"/>
              <w:textAlignment w:val="auto"/>
              <w:rPr>
                <w:rFonts w:ascii="Times New Roman" w:hAnsi="Times New Roman"/>
                <w:bCs/>
                <w:color w:val="auto"/>
                <w:spacing w:val="10"/>
                <w:sz w:val="24"/>
              </w:rPr>
            </w:pPr>
            <w:r>
              <w:rPr>
                <w:rFonts w:ascii="Times New Roman" w:hAnsi="Times New Roman"/>
                <w:bCs/>
                <w:color w:val="auto"/>
                <w:spacing w:val="10"/>
                <w:sz w:val="24"/>
              </w:rPr>
              <w:t>运营期生态环境保护措施</w:t>
            </w:r>
          </w:p>
        </w:tc>
        <w:tc>
          <w:tcPr>
            <w:tcW w:w="7980" w:type="dxa"/>
            <w:noWrap w:val="0"/>
            <w:vAlign w:val="top"/>
          </w:tcPr>
          <w:p w14:paraId="387EDDF7">
            <w:pPr>
              <w:keepNext w:val="0"/>
              <w:keepLines w:val="0"/>
              <w:pageBreakBefore w:val="0"/>
              <w:kinsoku/>
              <w:wordWrap/>
              <w:overflowPunct/>
              <w:topLinePunct w:val="0"/>
              <w:bidi w:val="0"/>
              <w:spacing w:line="360" w:lineRule="auto"/>
              <w:ind w:firstLine="480" w:firstLineChars="200"/>
              <w:textAlignment w:val="auto"/>
              <w:rPr>
                <w:rStyle w:val="41"/>
                <w:rFonts w:hint="default" w:ascii="Times New Roman" w:hAnsi="宋体" w:eastAsia="宋体" w:cs="Times New Roman"/>
                <w:color w:val="auto"/>
                <w:kern w:val="0"/>
                <w:lang w:val="en-US" w:eastAsia="zh-CN" w:bidi="ar-SA"/>
              </w:rPr>
            </w:pPr>
            <w:r>
              <w:rPr>
                <w:rStyle w:val="41"/>
                <w:rFonts w:hint="default" w:ascii="Times New Roman" w:hAnsi="宋体" w:eastAsia="宋体" w:cs="Times New Roman"/>
                <w:color w:val="auto"/>
                <w:kern w:val="0"/>
                <w:lang w:val="en-US" w:eastAsia="zh-CN" w:bidi="ar-SA"/>
              </w:rPr>
              <w:t>本项目的生态环境的影响主要表现在施工期，不涉及运营期生态环境影响，因此评价不对运营期提出生态保护措施要求。</w:t>
            </w:r>
          </w:p>
        </w:tc>
      </w:tr>
      <w:tr w14:paraId="2C599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noWrap w:val="0"/>
            <w:vAlign w:val="center"/>
          </w:tcPr>
          <w:p w14:paraId="4F6F1161">
            <w:pPr>
              <w:keepNext w:val="0"/>
              <w:keepLines w:val="0"/>
              <w:pageBreakBefore w:val="0"/>
              <w:kinsoku/>
              <w:wordWrap/>
              <w:overflowPunct/>
              <w:topLinePunct w:val="0"/>
              <w:bidi w:val="0"/>
              <w:adjustRightInd w:val="0"/>
              <w:snapToGrid w:val="0"/>
              <w:jc w:val="center"/>
              <w:textAlignment w:val="auto"/>
              <w:rPr>
                <w:rFonts w:ascii="Times New Roman" w:hAnsi="Times New Roman"/>
                <w:bCs/>
                <w:color w:val="auto"/>
                <w:spacing w:val="10"/>
                <w:sz w:val="24"/>
              </w:rPr>
            </w:pPr>
            <w:r>
              <w:rPr>
                <w:rFonts w:ascii="Times New Roman" w:hAnsi="Times New Roman"/>
                <w:bCs/>
                <w:color w:val="auto"/>
                <w:sz w:val="24"/>
              </w:rPr>
              <w:t>其他</w:t>
            </w:r>
          </w:p>
        </w:tc>
        <w:tc>
          <w:tcPr>
            <w:tcW w:w="7980" w:type="dxa"/>
            <w:noWrap w:val="0"/>
            <w:vAlign w:val="top"/>
          </w:tcPr>
          <w:p w14:paraId="3F55DC4A">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1、设立环境保护管理机构</w:t>
            </w:r>
          </w:p>
          <w:p w14:paraId="2E50FD3C">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为了做好全过程的环境保护工作，减轻本项目外排污染物对环境的影响程度，建设单位应高度重视环境保护工作。建议设立内部环境保护管理机构，专人负责环境保护工作，实行定岗定员，岗位责任制，负责各生产环节的环境保护管理，保证施工期环保措施的正常运行。</w:t>
            </w:r>
          </w:p>
          <w:p w14:paraId="048987E3">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环境保护管理机构（或环境保护责任人）应明确如下责任：</w:t>
            </w:r>
          </w:p>
          <w:p w14:paraId="371315DC">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（1）保持与</w:t>
            </w:r>
            <w:r>
              <w:rPr>
                <w:rFonts w:hint="eastAsia" w:ascii="Times New Roman" w:hAnsi="Times New Roman"/>
                <w:color w:val="auto"/>
                <w:sz w:val="24"/>
                <w:highlight w:val="none"/>
              </w:rPr>
              <w:t>生态环境</w:t>
            </w:r>
            <w:r>
              <w:rPr>
                <w:rFonts w:ascii="Times New Roman" w:hAnsi="Times New Roman"/>
                <w:color w:val="auto"/>
                <w:sz w:val="24"/>
                <w:highlight w:val="none"/>
              </w:rPr>
              <w:t>主管</w:t>
            </w:r>
            <w:r>
              <w:rPr>
                <w:rFonts w:hint="eastAsia" w:ascii="Times New Roman" w:hAnsi="Times New Roman"/>
                <w:color w:val="auto"/>
                <w:sz w:val="24"/>
                <w:highlight w:val="none"/>
              </w:rPr>
              <w:t>部门</w:t>
            </w:r>
            <w:r>
              <w:rPr>
                <w:rFonts w:ascii="Times New Roman" w:hAnsi="Times New Roman"/>
                <w:color w:val="auto"/>
                <w:sz w:val="24"/>
                <w:highlight w:val="none"/>
              </w:rPr>
              <w:t>的密切联系，及时了解国家、地方与本项目环境保护有关的法律、法规和其它要求，及时向</w:t>
            </w:r>
            <w:r>
              <w:rPr>
                <w:rFonts w:hint="eastAsia" w:ascii="Times New Roman" w:hAnsi="Times New Roman"/>
                <w:color w:val="auto"/>
                <w:sz w:val="24"/>
                <w:highlight w:val="none"/>
              </w:rPr>
              <w:t>生态环境</w:t>
            </w:r>
            <w:r>
              <w:rPr>
                <w:rFonts w:ascii="Times New Roman" w:hAnsi="Times New Roman"/>
                <w:color w:val="auto"/>
                <w:sz w:val="24"/>
                <w:highlight w:val="none"/>
              </w:rPr>
              <w:t>主管</w:t>
            </w:r>
            <w:r>
              <w:rPr>
                <w:rFonts w:hint="eastAsia" w:ascii="Times New Roman" w:hAnsi="Times New Roman"/>
                <w:color w:val="auto"/>
                <w:sz w:val="24"/>
                <w:highlight w:val="none"/>
              </w:rPr>
              <w:t>部门</w:t>
            </w:r>
            <w:r>
              <w:rPr>
                <w:rFonts w:ascii="Times New Roman" w:hAnsi="Times New Roman"/>
                <w:color w:val="auto"/>
                <w:sz w:val="24"/>
                <w:highlight w:val="none"/>
              </w:rPr>
              <w:t>反映与项目施工期有关的污染因素、存在的环境问题、采取的污染控制对策等环境保护方面的内容，听取</w:t>
            </w:r>
            <w:r>
              <w:rPr>
                <w:rFonts w:hint="eastAsia" w:ascii="Times New Roman" w:hAnsi="Times New Roman"/>
                <w:color w:val="auto"/>
                <w:sz w:val="24"/>
                <w:highlight w:val="none"/>
              </w:rPr>
              <w:t>生态环境</w:t>
            </w:r>
            <w:r>
              <w:rPr>
                <w:rFonts w:ascii="Times New Roman" w:hAnsi="Times New Roman"/>
                <w:color w:val="auto"/>
                <w:sz w:val="24"/>
                <w:highlight w:val="none"/>
              </w:rPr>
              <w:t>主管</w:t>
            </w:r>
            <w:r>
              <w:rPr>
                <w:rFonts w:hint="eastAsia" w:ascii="Times New Roman" w:hAnsi="Times New Roman"/>
                <w:color w:val="auto"/>
                <w:sz w:val="24"/>
                <w:highlight w:val="none"/>
              </w:rPr>
              <w:t>部门</w:t>
            </w:r>
            <w:r>
              <w:rPr>
                <w:rFonts w:ascii="Times New Roman" w:hAnsi="Times New Roman"/>
                <w:color w:val="auto"/>
                <w:sz w:val="24"/>
                <w:highlight w:val="none"/>
              </w:rPr>
              <w:t>的批示意见。</w:t>
            </w:r>
          </w:p>
          <w:p w14:paraId="338E341C">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（2）及时将国家、地方与本项目环境保护有关的法律、法规和规定向单位负责人汇报，及时向本单位有关机构、人员进行通报，组织职工进行环境保护方面的教育、培训，提高环保意识。</w:t>
            </w:r>
          </w:p>
          <w:p w14:paraId="3814DC04">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（3）及时向单位负责人汇报与本项目有关的污染因素、存在的环境问题、采取的污染控制对策、实施情况等，提出改进建议。</w:t>
            </w:r>
          </w:p>
          <w:p w14:paraId="7AF6D00A">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（4）</w:t>
            </w:r>
            <w:r>
              <w:rPr>
                <w:rFonts w:hint="eastAsia" w:ascii="Times New Roman" w:hAnsi="Times New Roman"/>
                <w:color w:val="auto"/>
                <w:sz w:val="24"/>
                <w:highlight w:val="none"/>
                <w:lang w:eastAsia="zh-CN"/>
              </w:rPr>
              <w:t>负责</w:t>
            </w:r>
            <w:r>
              <w:rPr>
                <w:rFonts w:ascii="Times New Roman" w:hAnsi="Times New Roman"/>
                <w:color w:val="auto"/>
                <w:sz w:val="24"/>
                <w:highlight w:val="none"/>
              </w:rPr>
              <w:t>制定、监督实施本单位的有关施工期环境保护管理规章制度，负责实施污染控制措施、管理污染治理设施，并进行详细的记录，以备检查。</w:t>
            </w:r>
          </w:p>
          <w:p w14:paraId="3BE8A591">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（5）按本评价提出的各项环境保护措施，编制详细的施工期环境保护。</w:t>
            </w:r>
          </w:p>
          <w:p w14:paraId="7BCE9CA0">
            <w:pPr>
              <w:pStyle w:val="28"/>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措施落实计划，明确各污染源位置、环境影响、环境保护措施、落实责任机构（人）等，并将该环境保护计划以书面形式发给相关人员，以便于各项措施的有效落实。</w:t>
            </w:r>
          </w:p>
          <w:p w14:paraId="2A407117">
            <w:pPr>
              <w:pStyle w:val="28"/>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2、健全环境管理制度</w:t>
            </w:r>
          </w:p>
          <w:p w14:paraId="161322C8">
            <w:pPr>
              <w:pStyle w:val="28"/>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建立完善的环境管理体系，健全内部环境管理制度，加强日常环境管理工作，对整个施工过程实施全程环境管理，杜绝施工过程中环境污染事故的发生，保护环境。</w:t>
            </w:r>
          </w:p>
          <w:p w14:paraId="572FFD42">
            <w:pPr>
              <w:pStyle w:val="28"/>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加强建设项目的环境管理，根据本评价提出的污染防治措施和对策，制定出切实可行的环境污染防治方法和措施；做好环境教育和宣传工作，提高各级管理人员和操作人员的环境保护意识，加强员工对环境污染防治的责任心，自觉遵守和执行各项环境保护的规章制度；确保环境保护措施的正常运行，防止污染事故的发生；加强与</w:t>
            </w:r>
            <w:r>
              <w:rPr>
                <w:rFonts w:hint="eastAsia" w:ascii="Times New Roman" w:hAnsi="Times New Roman"/>
                <w:color w:val="auto"/>
                <w:highlight w:val="none"/>
              </w:rPr>
              <w:t>生态环境主管</w:t>
            </w:r>
            <w:r>
              <w:rPr>
                <w:rFonts w:ascii="Times New Roman" w:hAnsi="Times New Roman"/>
                <w:color w:val="auto"/>
                <w:highlight w:val="none"/>
              </w:rPr>
              <w:t>部门的沟通和联系，主动接受</w:t>
            </w:r>
            <w:r>
              <w:rPr>
                <w:rFonts w:hint="eastAsia" w:ascii="Times New Roman" w:hAnsi="Times New Roman"/>
                <w:color w:val="auto"/>
                <w:highlight w:val="none"/>
              </w:rPr>
              <w:t>生态环境主管</w:t>
            </w:r>
            <w:r>
              <w:rPr>
                <w:rFonts w:ascii="Times New Roman" w:hAnsi="Times New Roman"/>
                <w:color w:val="auto"/>
                <w:highlight w:val="none"/>
              </w:rPr>
              <w:t>部门的管理、监督和指导。</w:t>
            </w:r>
          </w:p>
          <w:p w14:paraId="32EA9FFA">
            <w:pPr>
              <w:pStyle w:val="28"/>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3、环境管理职责及内容</w:t>
            </w:r>
          </w:p>
          <w:p w14:paraId="23C5BADE">
            <w:pPr>
              <w:pStyle w:val="28"/>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执行国家、地方环境保护法规和标准；负责环保工作的计划安排，加强对废水、废气、噪声、固体废物等的管理，加强在施工过程中对周边生态环境的保护。建设单位主要注意以下几个方面的措施：</w:t>
            </w:r>
          </w:p>
          <w:p w14:paraId="47FD49E9">
            <w:pPr>
              <w:pStyle w:val="28"/>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（1）控制建设项目在开发建设过程中的各种施工活动，尽量减少对生态环境的破坏，做好植被恢复与水土保持工作，防止土壤荒漠化。</w:t>
            </w:r>
          </w:p>
          <w:p w14:paraId="0904389C">
            <w:pPr>
              <w:pStyle w:val="28"/>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（2）项目建成后，废气达标排放、废水按要求外运处理，场界噪声控制在可接受范围之内，固废得到合理利用及无害化处置，符合国家和地方要求。</w:t>
            </w:r>
          </w:p>
          <w:p w14:paraId="050B574C">
            <w:pPr>
              <w:pStyle w:val="28"/>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（3）保证评价区域空气、地下水质量维持现有水平；将工程对生态环境的不利影响程度降至最低，使受影响区域的整体生态环境无明显破坏。</w:t>
            </w:r>
          </w:p>
          <w:p w14:paraId="351E7D01">
            <w:pPr>
              <w:pStyle w:val="28"/>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（4）控制井场占地，减轻工程建设对地表植被和土壤的破坏程度及水土流失量。</w:t>
            </w:r>
          </w:p>
          <w:p w14:paraId="3378575C">
            <w:pPr>
              <w:pStyle w:val="28"/>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（5）控制各种施工活动对工程附近地表水体的影响，防止施工活动影响地表水和地下水水体功能和水质。</w:t>
            </w:r>
          </w:p>
          <w:p w14:paraId="54097AF6">
            <w:pPr>
              <w:pStyle w:val="28"/>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（6）实施清洁生产，减少钻井工程每米进尺所产生的钻井废水、固体废物的量，推行污染物</w:t>
            </w:r>
            <w:r>
              <w:rPr>
                <w:rFonts w:hint="eastAsia" w:ascii="Times New Roman" w:hAnsi="Times New Roman"/>
                <w:color w:val="auto"/>
                <w:highlight w:val="none"/>
                <w:lang w:eastAsia="zh-CN"/>
              </w:rPr>
              <w:t>“</w:t>
            </w:r>
            <w:r>
              <w:rPr>
                <w:rFonts w:ascii="Times New Roman" w:hAnsi="Times New Roman"/>
                <w:color w:val="auto"/>
                <w:highlight w:val="none"/>
              </w:rPr>
              <w:t>减量化、资源化、无害化</w:t>
            </w:r>
            <w:r>
              <w:rPr>
                <w:rFonts w:hint="eastAsia" w:ascii="Times New Roman" w:hAnsi="Times New Roman"/>
                <w:color w:val="auto"/>
                <w:highlight w:val="none"/>
                <w:lang w:eastAsia="zh-CN"/>
              </w:rPr>
              <w:t>”</w:t>
            </w:r>
            <w:r>
              <w:rPr>
                <w:rFonts w:ascii="Times New Roman" w:hAnsi="Times New Roman"/>
                <w:color w:val="auto"/>
                <w:highlight w:val="none"/>
              </w:rPr>
              <w:t>的环保理念。</w:t>
            </w:r>
          </w:p>
          <w:p w14:paraId="6FC9430D">
            <w:pPr>
              <w:pStyle w:val="28"/>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（7）采取各种有效的环境风险防控措施，切实降低本工程施工期的各类环境风险事故发生率。</w:t>
            </w:r>
          </w:p>
          <w:p w14:paraId="6DE19351">
            <w:pPr>
              <w:pStyle w:val="28"/>
              <w:adjustRightInd/>
              <w:spacing w:line="360" w:lineRule="auto"/>
              <w:ind w:firstLine="480" w:firstLineChars="200"/>
              <w:jc w:val="both"/>
              <w:rPr>
                <w:rFonts w:ascii="Times New Roman" w:hAnsi="Times New Roman"/>
                <w:bCs/>
                <w:color w:val="auto"/>
                <w:spacing w:val="10"/>
                <w:szCs w:val="21"/>
              </w:rPr>
            </w:pPr>
            <w:r>
              <w:rPr>
                <w:rFonts w:ascii="Times New Roman" w:hAnsi="Times New Roman"/>
                <w:color w:val="auto"/>
                <w:highlight w:val="none"/>
              </w:rPr>
              <w:t>（8）根据工程实际，针对施工过程产生的钻井废水采取切实有效的多种处理方式，确保不对环境造成污染。</w:t>
            </w:r>
          </w:p>
        </w:tc>
      </w:tr>
      <w:tr w14:paraId="7127DF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noWrap w:val="0"/>
            <w:vAlign w:val="center"/>
          </w:tcPr>
          <w:p w14:paraId="12BA4F74">
            <w:pPr>
              <w:keepNext w:val="0"/>
              <w:keepLines w:val="0"/>
              <w:pageBreakBefore w:val="0"/>
              <w:kinsoku/>
              <w:wordWrap/>
              <w:overflowPunct/>
              <w:topLinePunct w:val="0"/>
              <w:bidi w:val="0"/>
              <w:adjustRightInd w:val="0"/>
              <w:snapToGrid w:val="0"/>
              <w:jc w:val="center"/>
              <w:textAlignment w:val="auto"/>
              <w:rPr>
                <w:rFonts w:ascii="Times New Roman" w:hAnsi="Times New Roman"/>
                <w:bCs/>
                <w:color w:val="auto"/>
                <w:spacing w:val="10"/>
                <w:sz w:val="24"/>
              </w:rPr>
            </w:pPr>
            <w:r>
              <w:rPr>
                <w:rFonts w:ascii="Times New Roman" w:hAnsi="Times New Roman"/>
                <w:bCs/>
                <w:color w:val="auto"/>
                <w:sz w:val="24"/>
              </w:rPr>
              <w:t>环保投资</w:t>
            </w:r>
          </w:p>
        </w:tc>
        <w:tc>
          <w:tcPr>
            <w:tcW w:w="7980" w:type="dxa"/>
            <w:noWrap w:val="0"/>
            <w:vAlign w:val="top"/>
          </w:tcPr>
          <w:p w14:paraId="0290A931">
            <w:pPr>
              <w:keepNext w:val="0"/>
              <w:keepLines w:val="0"/>
              <w:pageBreakBefore w:val="0"/>
              <w:kinsoku/>
              <w:wordWrap/>
              <w:overflowPunct/>
              <w:topLinePunct w:val="0"/>
              <w:bidi w:val="0"/>
              <w:adjustRightInd w:val="0"/>
              <w:snapToGrid w:val="0"/>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项目环保投资</w:t>
            </w:r>
            <w:r>
              <w:rPr>
                <w:rFonts w:hint="eastAsia" w:ascii="Times New Roman" w:hAnsi="Times New Roman"/>
                <w:color w:val="auto"/>
                <w:sz w:val="24"/>
                <w:lang w:val="en-US" w:eastAsia="zh-CN"/>
              </w:rPr>
              <w:t>35</w:t>
            </w:r>
            <w:r>
              <w:rPr>
                <w:rFonts w:ascii="Times New Roman" w:hAnsi="Times New Roman"/>
                <w:color w:val="auto"/>
                <w:sz w:val="24"/>
              </w:rPr>
              <w:t>万元，占总投资</w:t>
            </w:r>
            <w:r>
              <w:rPr>
                <w:rFonts w:hint="eastAsia" w:ascii="Times New Roman" w:hAnsi="Times New Roman"/>
                <w:color w:val="auto"/>
                <w:sz w:val="24"/>
                <w:lang w:val="en-US" w:eastAsia="zh-CN"/>
              </w:rPr>
              <w:t>146.3775</w:t>
            </w:r>
            <w:r>
              <w:rPr>
                <w:rFonts w:ascii="Times New Roman" w:hAnsi="Times New Roman"/>
                <w:color w:val="auto"/>
                <w:sz w:val="24"/>
              </w:rPr>
              <w:t>万元的</w:t>
            </w:r>
            <w:r>
              <w:rPr>
                <w:rFonts w:hint="eastAsia" w:ascii="Times New Roman" w:hAnsi="Times New Roman"/>
                <w:color w:val="auto"/>
                <w:sz w:val="24"/>
                <w:lang w:val="en-US" w:eastAsia="zh-CN"/>
              </w:rPr>
              <w:t>23.9</w:t>
            </w:r>
            <w:r>
              <w:rPr>
                <w:rFonts w:ascii="Times New Roman" w:hAnsi="Times New Roman"/>
                <w:color w:val="auto"/>
                <w:sz w:val="24"/>
              </w:rPr>
              <w:t>%，环保投资估算详见下表。</w:t>
            </w:r>
          </w:p>
          <w:p w14:paraId="4E7448E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b/>
                <w:color w:val="auto"/>
                <w:sz w:val="21"/>
                <w:szCs w:val="21"/>
                <w:highlight w:val="none"/>
              </w:rPr>
            </w:pPr>
            <w:r>
              <w:rPr>
                <w:rFonts w:ascii="Times New Roman" w:hAnsi="Times New Roman"/>
                <w:b/>
                <w:color w:val="auto"/>
                <w:sz w:val="21"/>
                <w:szCs w:val="21"/>
                <w:highlight w:val="none"/>
              </w:rPr>
              <w:t>表5-</w:t>
            </w:r>
            <w:r>
              <w:rPr>
                <w:rFonts w:hint="eastAsia" w:ascii="Times New Roman" w:hAnsi="Times New Roman"/>
                <w:b/>
                <w:color w:val="auto"/>
                <w:sz w:val="21"/>
                <w:szCs w:val="21"/>
                <w:highlight w:val="none"/>
                <w:lang w:val="en-US" w:eastAsia="zh-CN"/>
              </w:rPr>
              <w:t>1</w:t>
            </w:r>
            <w:r>
              <w:rPr>
                <w:rFonts w:ascii="Times New Roman" w:hAnsi="Times New Roman"/>
                <w:b/>
                <w:color w:val="auto"/>
                <w:sz w:val="21"/>
                <w:szCs w:val="21"/>
                <w:highlight w:val="none"/>
              </w:rPr>
              <w:t xml:space="preserve">  环保投资一览表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
              <w:gridCol w:w="538"/>
              <w:gridCol w:w="1509"/>
              <w:gridCol w:w="4493"/>
              <w:gridCol w:w="753"/>
            </w:tblGrid>
            <w:tr w14:paraId="08F0D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2438" w:type="dxa"/>
                  <w:gridSpan w:val="3"/>
                  <w:noWrap/>
                  <w:vAlign w:val="center"/>
                </w:tcPr>
                <w:p w14:paraId="0FEAE623">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r>
                    <w:rPr>
                      <w:rFonts w:ascii="Times New Roman" w:hAnsi="Times New Roman"/>
                      <w:color w:val="auto"/>
                      <w:szCs w:val="21"/>
                    </w:rPr>
                    <w:t>项目</w:t>
                  </w:r>
                </w:p>
              </w:tc>
              <w:tc>
                <w:tcPr>
                  <w:tcW w:w="4493" w:type="dxa"/>
                  <w:noWrap/>
                  <w:vAlign w:val="center"/>
                </w:tcPr>
                <w:p w14:paraId="60B76CD0">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r>
                    <w:rPr>
                      <w:rFonts w:ascii="Times New Roman" w:hAnsi="Times New Roman"/>
                      <w:color w:val="auto"/>
                      <w:szCs w:val="21"/>
                    </w:rPr>
                    <w:t>环保措施</w:t>
                  </w:r>
                </w:p>
              </w:tc>
              <w:tc>
                <w:tcPr>
                  <w:tcW w:w="753" w:type="dxa"/>
                  <w:noWrap/>
                  <w:vAlign w:val="center"/>
                </w:tcPr>
                <w:p w14:paraId="34262376">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r>
                    <w:rPr>
                      <w:rFonts w:ascii="Times New Roman" w:hAnsi="Times New Roman"/>
                      <w:color w:val="auto"/>
                      <w:szCs w:val="21"/>
                    </w:rPr>
                    <w:t>投资</w:t>
                  </w:r>
                </w:p>
                <w:p w14:paraId="274A09D2">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r>
                    <w:rPr>
                      <w:rFonts w:ascii="Times New Roman" w:hAnsi="Times New Roman"/>
                      <w:color w:val="auto"/>
                      <w:szCs w:val="21"/>
                    </w:rPr>
                    <w:t>（万元）</w:t>
                  </w:r>
                </w:p>
              </w:tc>
            </w:tr>
            <w:tr w14:paraId="230D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1" w:type="dxa"/>
                  <w:vMerge w:val="restart"/>
                  <w:noWrap/>
                  <w:vAlign w:val="center"/>
                </w:tcPr>
                <w:p w14:paraId="73834BE3">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r>
                    <w:rPr>
                      <w:rFonts w:ascii="Times New Roman" w:hAnsi="Times New Roman"/>
                      <w:color w:val="auto"/>
                      <w:szCs w:val="21"/>
                    </w:rPr>
                    <w:t>施</w:t>
                  </w:r>
                </w:p>
                <w:p w14:paraId="037539BD">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r>
                    <w:rPr>
                      <w:rFonts w:ascii="Times New Roman" w:hAnsi="Times New Roman"/>
                      <w:color w:val="auto"/>
                      <w:szCs w:val="21"/>
                    </w:rPr>
                    <w:t>工</w:t>
                  </w:r>
                </w:p>
                <w:p w14:paraId="7A16F3B9">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r>
                    <w:rPr>
                      <w:rFonts w:ascii="Times New Roman" w:hAnsi="Times New Roman"/>
                      <w:color w:val="auto"/>
                      <w:szCs w:val="21"/>
                    </w:rPr>
                    <w:t>期</w:t>
                  </w:r>
                </w:p>
              </w:tc>
              <w:tc>
                <w:tcPr>
                  <w:tcW w:w="538" w:type="dxa"/>
                  <w:noWrap/>
                  <w:vAlign w:val="center"/>
                </w:tcPr>
                <w:p w14:paraId="14913FB6">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r>
                    <w:rPr>
                      <w:rFonts w:ascii="Times New Roman" w:hAnsi="Times New Roman"/>
                      <w:color w:val="auto"/>
                      <w:szCs w:val="21"/>
                    </w:rPr>
                    <w:t>废气</w:t>
                  </w:r>
                </w:p>
              </w:tc>
              <w:tc>
                <w:tcPr>
                  <w:tcW w:w="1509" w:type="dxa"/>
                  <w:noWrap/>
                  <w:vAlign w:val="center"/>
                </w:tcPr>
                <w:p w14:paraId="2DCD72E8">
                  <w:pPr>
                    <w:keepNext w:val="0"/>
                    <w:keepLines w:val="0"/>
                    <w:pageBreakBefore w:val="0"/>
                    <w:kinsoku/>
                    <w:wordWrap/>
                    <w:overflowPunct/>
                    <w:topLinePunct w:val="0"/>
                    <w:bidi w:val="0"/>
                    <w:jc w:val="center"/>
                    <w:textAlignment w:val="auto"/>
                    <w:rPr>
                      <w:rFonts w:ascii="Times New Roman" w:hAnsi="Times New Roman"/>
                      <w:color w:val="auto"/>
                      <w:szCs w:val="21"/>
                    </w:rPr>
                  </w:pPr>
                  <w:r>
                    <w:rPr>
                      <w:rFonts w:ascii="Times New Roman" w:hAnsi="Times New Roman"/>
                      <w:color w:val="auto"/>
                      <w:szCs w:val="21"/>
                    </w:rPr>
                    <w:t>扬尘治理</w:t>
                  </w:r>
                </w:p>
              </w:tc>
              <w:tc>
                <w:tcPr>
                  <w:tcW w:w="4493" w:type="dxa"/>
                  <w:noWrap/>
                  <w:vAlign w:val="center"/>
                </w:tcPr>
                <w:p w14:paraId="16C9465F">
                  <w:pPr>
                    <w:keepNext w:val="0"/>
                    <w:keepLines w:val="0"/>
                    <w:pageBreakBefore w:val="0"/>
                    <w:kinsoku/>
                    <w:wordWrap/>
                    <w:overflowPunct/>
                    <w:topLinePunct w:val="0"/>
                    <w:bidi w:val="0"/>
                    <w:jc w:val="center"/>
                    <w:textAlignment w:val="auto"/>
                    <w:rPr>
                      <w:rFonts w:ascii="Times New Roman" w:hAnsi="Times New Roman"/>
                      <w:color w:val="auto"/>
                      <w:szCs w:val="21"/>
                    </w:rPr>
                  </w:pPr>
                  <w:r>
                    <w:rPr>
                      <w:rFonts w:ascii="Times New Roman" w:hAnsi="Times New Roman"/>
                      <w:color w:val="auto"/>
                      <w:szCs w:val="21"/>
                    </w:rPr>
                    <w:t>施工期影响主要为施工扬尘、机械尾气等。通过加强施工机械、车辆管理，进行物料覆盖，对施工道路进行固化、洒水处理等措施，施工现场扬尘污染防治应做到</w:t>
                  </w:r>
                  <w:r>
                    <w:rPr>
                      <w:rFonts w:hint="eastAsia" w:ascii="Times New Roman" w:hAnsi="Times New Roman"/>
                      <w:color w:val="auto"/>
                      <w:szCs w:val="21"/>
                      <w:lang w:eastAsia="zh-CN"/>
                    </w:rPr>
                    <w:t>“</w:t>
                  </w:r>
                  <w:r>
                    <w:rPr>
                      <w:rFonts w:ascii="Times New Roman" w:hAnsi="Times New Roman"/>
                      <w:color w:val="auto"/>
                      <w:szCs w:val="21"/>
                    </w:rPr>
                    <w:t>六个百分之百</w:t>
                  </w:r>
                  <w:r>
                    <w:rPr>
                      <w:rFonts w:hint="eastAsia" w:ascii="Times New Roman" w:hAnsi="Times New Roman"/>
                      <w:color w:val="auto"/>
                      <w:szCs w:val="21"/>
                      <w:lang w:eastAsia="zh-CN"/>
                    </w:rPr>
                    <w:t>”</w:t>
                  </w:r>
                  <w:r>
                    <w:rPr>
                      <w:rFonts w:ascii="Times New Roman" w:hAnsi="Times New Roman"/>
                      <w:color w:val="auto"/>
                      <w:szCs w:val="21"/>
                    </w:rPr>
                    <w:t>，减少对周边空气环境的影响</w:t>
                  </w:r>
                </w:p>
              </w:tc>
              <w:tc>
                <w:tcPr>
                  <w:tcW w:w="753" w:type="dxa"/>
                  <w:noWrap/>
                  <w:vAlign w:val="center"/>
                </w:tcPr>
                <w:p w14:paraId="21CAA885">
                  <w:pPr>
                    <w:keepNext w:val="0"/>
                    <w:keepLines w:val="0"/>
                    <w:pageBreakBefore w:val="0"/>
                    <w:kinsoku/>
                    <w:wordWrap/>
                    <w:overflowPunct/>
                    <w:topLinePunct w:val="0"/>
                    <w:bidi w:val="0"/>
                    <w:jc w:val="center"/>
                    <w:textAlignment w:val="auto"/>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2</w:t>
                  </w:r>
                </w:p>
              </w:tc>
            </w:tr>
            <w:tr w14:paraId="2C63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1" w:type="dxa"/>
                  <w:vMerge w:val="continue"/>
                  <w:noWrap/>
                  <w:vAlign w:val="center"/>
                </w:tcPr>
                <w:p w14:paraId="6B572DA4">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p>
              </w:tc>
              <w:tc>
                <w:tcPr>
                  <w:tcW w:w="538" w:type="dxa"/>
                  <w:vMerge w:val="restart"/>
                  <w:noWrap/>
                  <w:vAlign w:val="center"/>
                </w:tcPr>
                <w:p w14:paraId="0F0A8291">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r>
                    <w:rPr>
                      <w:rFonts w:ascii="Times New Roman" w:hAnsi="Times New Roman"/>
                      <w:color w:val="auto"/>
                      <w:szCs w:val="21"/>
                    </w:rPr>
                    <w:t>废水</w:t>
                  </w:r>
                </w:p>
              </w:tc>
              <w:tc>
                <w:tcPr>
                  <w:tcW w:w="1509" w:type="dxa"/>
                  <w:vMerge w:val="restart"/>
                  <w:noWrap/>
                  <w:vAlign w:val="center"/>
                </w:tcPr>
                <w:p w14:paraId="6ADA78CD">
                  <w:pPr>
                    <w:keepNext w:val="0"/>
                    <w:keepLines w:val="0"/>
                    <w:pageBreakBefore w:val="0"/>
                    <w:kinsoku/>
                    <w:wordWrap/>
                    <w:overflowPunct/>
                    <w:topLinePunct w:val="0"/>
                    <w:bidi w:val="0"/>
                    <w:jc w:val="center"/>
                    <w:textAlignment w:val="auto"/>
                    <w:rPr>
                      <w:rFonts w:ascii="Times New Roman" w:hAnsi="Times New Roman"/>
                      <w:color w:val="auto"/>
                      <w:szCs w:val="21"/>
                    </w:rPr>
                  </w:pPr>
                  <w:r>
                    <w:rPr>
                      <w:rFonts w:ascii="Times New Roman" w:hAnsi="Times New Roman"/>
                      <w:color w:val="auto"/>
                      <w:szCs w:val="21"/>
                    </w:rPr>
                    <w:t>废水</w:t>
                  </w:r>
                </w:p>
              </w:tc>
              <w:tc>
                <w:tcPr>
                  <w:tcW w:w="4493" w:type="dxa"/>
                  <w:noWrap/>
                  <w:vAlign w:val="center"/>
                </w:tcPr>
                <w:p w14:paraId="79A54C63">
                  <w:pPr>
                    <w:keepNext w:val="0"/>
                    <w:keepLines w:val="0"/>
                    <w:pageBreakBefore w:val="0"/>
                    <w:kinsoku/>
                    <w:wordWrap/>
                    <w:overflowPunct/>
                    <w:topLinePunct w:val="0"/>
                    <w:bidi w:val="0"/>
                    <w:jc w:val="center"/>
                    <w:textAlignment w:val="auto"/>
                    <w:rPr>
                      <w:rFonts w:ascii="Times New Roman" w:hAnsi="Times New Roman"/>
                      <w:color w:val="auto"/>
                      <w:szCs w:val="21"/>
                    </w:rPr>
                  </w:pPr>
                  <w:r>
                    <w:rPr>
                      <w:rFonts w:ascii="Times New Roman" w:hAnsi="Times New Roman"/>
                      <w:color w:val="auto"/>
                      <w:szCs w:val="21"/>
                    </w:rPr>
                    <w:t>施工人员租住附近民房，用水量较少，生活污水经</w:t>
                  </w:r>
                  <w:r>
                    <w:rPr>
                      <w:rFonts w:hint="eastAsia" w:ascii="Times New Roman" w:hAnsi="Times New Roman"/>
                      <w:color w:val="auto"/>
                      <w:szCs w:val="21"/>
                    </w:rPr>
                    <w:t>场地临时</w:t>
                  </w:r>
                  <w:r>
                    <w:rPr>
                      <w:rFonts w:ascii="Times New Roman" w:hAnsi="Times New Roman"/>
                      <w:color w:val="auto"/>
                      <w:szCs w:val="21"/>
                    </w:rPr>
                    <w:t>化粪池处理后清掏农用，不外排。</w:t>
                  </w:r>
                </w:p>
              </w:tc>
              <w:tc>
                <w:tcPr>
                  <w:tcW w:w="753" w:type="dxa"/>
                  <w:noWrap/>
                  <w:vAlign w:val="center"/>
                </w:tcPr>
                <w:p w14:paraId="6546F561">
                  <w:pPr>
                    <w:keepNext w:val="0"/>
                    <w:keepLines w:val="0"/>
                    <w:pageBreakBefore w:val="0"/>
                    <w:kinsoku/>
                    <w:wordWrap/>
                    <w:overflowPunct/>
                    <w:topLinePunct w:val="0"/>
                    <w:bidi w:val="0"/>
                    <w:jc w:val="center"/>
                    <w:textAlignment w:val="auto"/>
                    <w:rPr>
                      <w:rFonts w:hint="eastAsia" w:ascii="Times New Roman" w:hAnsi="Times New Roman" w:eastAsia="宋体"/>
                      <w:color w:val="auto"/>
                      <w:szCs w:val="21"/>
                      <w:lang w:eastAsia="zh-CN"/>
                    </w:rPr>
                  </w:pPr>
                  <w:r>
                    <w:rPr>
                      <w:rFonts w:hint="eastAsia" w:ascii="Times New Roman" w:hAnsi="Times New Roman"/>
                      <w:color w:val="auto"/>
                      <w:szCs w:val="21"/>
                      <w:lang w:val="en-US" w:eastAsia="zh-CN"/>
                    </w:rPr>
                    <w:t>1</w:t>
                  </w:r>
                </w:p>
              </w:tc>
            </w:tr>
            <w:tr w14:paraId="2479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1" w:type="dxa"/>
                  <w:vMerge w:val="continue"/>
                  <w:noWrap/>
                  <w:vAlign w:val="center"/>
                </w:tcPr>
                <w:p w14:paraId="270A18BE">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p>
              </w:tc>
              <w:tc>
                <w:tcPr>
                  <w:tcW w:w="538" w:type="dxa"/>
                  <w:vMerge w:val="continue"/>
                  <w:noWrap/>
                  <w:vAlign w:val="center"/>
                </w:tcPr>
                <w:p w14:paraId="6630BAB3">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p>
              </w:tc>
              <w:tc>
                <w:tcPr>
                  <w:tcW w:w="1509" w:type="dxa"/>
                  <w:vMerge w:val="continue"/>
                  <w:noWrap/>
                  <w:vAlign w:val="center"/>
                </w:tcPr>
                <w:p w14:paraId="25C57103">
                  <w:pPr>
                    <w:keepNext w:val="0"/>
                    <w:keepLines w:val="0"/>
                    <w:pageBreakBefore w:val="0"/>
                    <w:kinsoku/>
                    <w:wordWrap/>
                    <w:overflowPunct/>
                    <w:topLinePunct w:val="0"/>
                    <w:bidi w:val="0"/>
                    <w:jc w:val="center"/>
                    <w:textAlignment w:val="auto"/>
                    <w:rPr>
                      <w:rFonts w:ascii="Times New Roman" w:hAnsi="Times New Roman"/>
                      <w:color w:val="auto"/>
                      <w:szCs w:val="21"/>
                    </w:rPr>
                  </w:pPr>
                </w:p>
              </w:tc>
              <w:tc>
                <w:tcPr>
                  <w:tcW w:w="4493" w:type="dxa"/>
                  <w:noWrap/>
                  <w:vAlign w:val="center"/>
                </w:tcPr>
                <w:p w14:paraId="4198E31E">
                  <w:pPr>
                    <w:keepNext w:val="0"/>
                    <w:keepLines w:val="0"/>
                    <w:pageBreakBefore w:val="0"/>
                    <w:kinsoku/>
                    <w:wordWrap/>
                    <w:overflowPunct/>
                    <w:topLinePunct w:val="0"/>
                    <w:bidi w:val="0"/>
                    <w:jc w:val="center"/>
                    <w:textAlignment w:val="auto"/>
                    <w:rPr>
                      <w:rFonts w:hint="default" w:ascii="Times New Roman" w:hAnsi="Times New Roman" w:eastAsia="宋体"/>
                      <w:color w:val="auto"/>
                      <w:szCs w:val="21"/>
                      <w:lang w:val="en-US" w:eastAsia="zh-CN"/>
                    </w:rPr>
                  </w:pPr>
                  <w:r>
                    <w:rPr>
                      <w:rFonts w:ascii="Times New Roman" w:hAnsi="Times New Roman"/>
                      <w:color w:val="auto"/>
                      <w:szCs w:val="21"/>
                    </w:rPr>
                    <w:t>每个井场进出口</w:t>
                  </w:r>
                  <w:r>
                    <w:rPr>
                      <w:rFonts w:hint="eastAsia" w:ascii="Times New Roman" w:hAnsi="Times New Roman"/>
                      <w:color w:val="auto"/>
                      <w:szCs w:val="21"/>
                    </w:rPr>
                    <w:t>要对车辆进行冲洗</w:t>
                  </w:r>
                  <w:r>
                    <w:rPr>
                      <w:rFonts w:ascii="Times New Roman" w:hAnsi="Times New Roman"/>
                      <w:color w:val="auto"/>
                      <w:szCs w:val="21"/>
                    </w:rPr>
                    <w:t>，配套建设容积</w:t>
                  </w:r>
                  <w:r>
                    <w:rPr>
                      <w:rFonts w:hint="eastAsia" w:ascii="Times New Roman" w:hAnsi="Times New Roman"/>
                      <w:color w:val="auto"/>
                      <w:szCs w:val="21"/>
                      <w:lang w:val="en-US" w:eastAsia="zh-CN"/>
                    </w:rPr>
                    <w:t>8</w:t>
                  </w:r>
                  <w:r>
                    <w:rPr>
                      <w:rFonts w:ascii="Times New Roman" w:hAnsi="Times New Roman"/>
                      <w:color w:val="auto"/>
                      <w:szCs w:val="21"/>
                    </w:rPr>
                    <w:t>m</w:t>
                  </w:r>
                  <w:r>
                    <w:rPr>
                      <w:rFonts w:ascii="Times New Roman" w:hAnsi="Times New Roman"/>
                      <w:color w:val="auto"/>
                      <w:szCs w:val="21"/>
                      <w:vertAlign w:val="superscript"/>
                    </w:rPr>
                    <w:t>3</w:t>
                  </w:r>
                  <w:r>
                    <w:rPr>
                      <w:rFonts w:ascii="Times New Roman" w:hAnsi="Times New Roman"/>
                      <w:color w:val="auto"/>
                      <w:szCs w:val="21"/>
                    </w:rPr>
                    <w:t>循环沉淀池，车辆清洗废水经沉淀池沉淀后循环使用，不外排；每个井场钻探废水设置设1个废浆池，容积</w:t>
                  </w:r>
                  <w:r>
                    <w:rPr>
                      <w:rFonts w:hint="eastAsia" w:ascii="Times New Roman" w:hAnsi="Times New Roman"/>
                      <w:color w:val="auto"/>
                      <w:szCs w:val="21"/>
                      <w:lang w:val="en-US" w:eastAsia="zh-CN"/>
                    </w:rPr>
                    <w:t>36</w:t>
                  </w:r>
                  <w:r>
                    <w:rPr>
                      <w:rFonts w:ascii="Times New Roman" w:hAnsi="Times New Roman"/>
                      <w:color w:val="auto"/>
                      <w:szCs w:val="21"/>
                    </w:rPr>
                    <w:t>m</w:t>
                  </w:r>
                  <w:r>
                    <w:rPr>
                      <w:rFonts w:ascii="Times New Roman" w:hAnsi="Times New Roman"/>
                      <w:color w:val="auto"/>
                      <w:szCs w:val="21"/>
                      <w:vertAlign w:val="superscript"/>
                    </w:rPr>
                    <w:t>3</w:t>
                  </w:r>
                  <w:r>
                    <w:rPr>
                      <w:rFonts w:ascii="Times New Roman" w:hAnsi="Times New Roman"/>
                      <w:color w:val="auto"/>
                      <w:szCs w:val="21"/>
                    </w:rPr>
                    <w:t>，设置设1个干化池，容积</w:t>
                  </w:r>
                  <w:r>
                    <w:rPr>
                      <w:rFonts w:hint="eastAsia" w:ascii="Times New Roman" w:hAnsi="Times New Roman"/>
                      <w:color w:val="auto"/>
                      <w:szCs w:val="21"/>
                      <w:lang w:val="en-US" w:eastAsia="zh-CN"/>
                    </w:rPr>
                    <w:t>36</w:t>
                  </w:r>
                  <w:r>
                    <w:rPr>
                      <w:rFonts w:ascii="Times New Roman" w:hAnsi="Times New Roman"/>
                      <w:color w:val="auto"/>
                      <w:szCs w:val="21"/>
                    </w:rPr>
                    <w:t>m</w:t>
                  </w:r>
                  <w:r>
                    <w:rPr>
                      <w:rFonts w:ascii="Times New Roman" w:hAnsi="Times New Roman"/>
                      <w:color w:val="auto"/>
                      <w:szCs w:val="21"/>
                      <w:vertAlign w:val="superscript"/>
                    </w:rPr>
                    <w:t>3</w:t>
                  </w:r>
                  <w:r>
                    <w:rPr>
                      <w:rFonts w:ascii="Times New Roman" w:hAnsi="Times New Roman"/>
                      <w:color w:val="auto"/>
                      <w:szCs w:val="21"/>
                    </w:rPr>
                    <w:t>，钻探废水经沉淀后回用于钻探用水</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抽采试验废水排入泥浆池自然蒸发</w:t>
                  </w:r>
                </w:p>
              </w:tc>
              <w:tc>
                <w:tcPr>
                  <w:tcW w:w="753" w:type="dxa"/>
                  <w:noWrap/>
                  <w:vAlign w:val="center"/>
                </w:tcPr>
                <w:p w14:paraId="4EF3D301">
                  <w:pPr>
                    <w:keepNext w:val="0"/>
                    <w:keepLines w:val="0"/>
                    <w:pageBreakBefore w:val="0"/>
                    <w:kinsoku/>
                    <w:wordWrap/>
                    <w:overflowPunct/>
                    <w:topLinePunct w:val="0"/>
                    <w:bidi w:val="0"/>
                    <w:jc w:val="center"/>
                    <w:textAlignment w:val="auto"/>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10</w:t>
                  </w:r>
                </w:p>
              </w:tc>
            </w:tr>
            <w:tr w14:paraId="179B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1" w:type="dxa"/>
                  <w:vMerge w:val="continue"/>
                  <w:noWrap/>
                  <w:vAlign w:val="center"/>
                </w:tcPr>
                <w:p w14:paraId="6B991DF0">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p>
              </w:tc>
              <w:tc>
                <w:tcPr>
                  <w:tcW w:w="538" w:type="dxa"/>
                  <w:noWrap/>
                  <w:vAlign w:val="center"/>
                </w:tcPr>
                <w:p w14:paraId="7F15A7FF">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r>
                    <w:rPr>
                      <w:rFonts w:ascii="Times New Roman" w:hAnsi="Times New Roman"/>
                      <w:color w:val="auto"/>
                      <w:szCs w:val="21"/>
                    </w:rPr>
                    <w:t>噪声</w:t>
                  </w:r>
                </w:p>
              </w:tc>
              <w:tc>
                <w:tcPr>
                  <w:tcW w:w="1509" w:type="dxa"/>
                  <w:noWrap/>
                  <w:vAlign w:val="center"/>
                </w:tcPr>
                <w:p w14:paraId="05003BEF">
                  <w:pPr>
                    <w:keepNext w:val="0"/>
                    <w:keepLines w:val="0"/>
                    <w:pageBreakBefore w:val="0"/>
                    <w:kinsoku/>
                    <w:wordWrap/>
                    <w:overflowPunct/>
                    <w:topLinePunct w:val="0"/>
                    <w:bidi w:val="0"/>
                    <w:jc w:val="center"/>
                    <w:textAlignment w:val="auto"/>
                    <w:rPr>
                      <w:rFonts w:ascii="Times New Roman" w:hAnsi="Times New Roman"/>
                      <w:color w:val="auto"/>
                      <w:szCs w:val="21"/>
                    </w:rPr>
                  </w:pPr>
                  <w:r>
                    <w:rPr>
                      <w:rFonts w:ascii="Times New Roman" w:hAnsi="Times New Roman"/>
                      <w:color w:val="auto"/>
                      <w:szCs w:val="21"/>
                    </w:rPr>
                    <w:t>施工机械噪声</w:t>
                  </w:r>
                </w:p>
              </w:tc>
              <w:tc>
                <w:tcPr>
                  <w:tcW w:w="4493" w:type="dxa"/>
                  <w:noWrap/>
                  <w:vAlign w:val="center"/>
                </w:tcPr>
                <w:p w14:paraId="11417156">
                  <w:pPr>
                    <w:keepNext w:val="0"/>
                    <w:keepLines w:val="0"/>
                    <w:pageBreakBefore w:val="0"/>
                    <w:kinsoku/>
                    <w:wordWrap/>
                    <w:overflowPunct/>
                    <w:topLinePunct w:val="0"/>
                    <w:bidi w:val="0"/>
                    <w:jc w:val="center"/>
                    <w:textAlignment w:val="auto"/>
                    <w:rPr>
                      <w:rFonts w:ascii="Times New Roman" w:hAnsi="Times New Roman"/>
                      <w:color w:val="auto"/>
                      <w:szCs w:val="21"/>
                    </w:rPr>
                  </w:pPr>
                  <w:r>
                    <w:rPr>
                      <w:rFonts w:ascii="Times New Roman" w:hAnsi="Times New Roman"/>
                      <w:color w:val="auto"/>
                      <w:szCs w:val="21"/>
                    </w:rPr>
                    <w:t>选用低噪声设备，合理布置施工机械，合理安排施工时间，加强施工管理，设置施工围墙、降噪安全围帘等，面向敏感点一侧布置</w:t>
                  </w:r>
                  <w:r>
                    <w:rPr>
                      <w:rFonts w:hint="eastAsia" w:ascii="Times New Roman" w:hAnsi="Times New Roman"/>
                      <w:color w:val="auto"/>
                      <w:szCs w:val="21"/>
                      <w:lang w:val="en-US" w:eastAsia="zh-CN"/>
                    </w:rPr>
                    <w:t>移动声屏障</w:t>
                  </w:r>
                  <w:r>
                    <w:rPr>
                      <w:rFonts w:ascii="Times New Roman" w:hAnsi="Times New Roman"/>
                      <w:bCs/>
                      <w:color w:val="auto"/>
                      <w:szCs w:val="21"/>
                    </w:rPr>
                    <w:t>，可有效降低对周边敏感点的影响</w:t>
                  </w:r>
                </w:p>
              </w:tc>
              <w:tc>
                <w:tcPr>
                  <w:tcW w:w="753" w:type="dxa"/>
                  <w:noWrap/>
                  <w:vAlign w:val="center"/>
                </w:tcPr>
                <w:p w14:paraId="1C3C8535">
                  <w:pPr>
                    <w:keepNext w:val="0"/>
                    <w:keepLines w:val="0"/>
                    <w:pageBreakBefore w:val="0"/>
                    <w:kinsoku/>
                    <w:wordWrap/>
                    <w:overflowPunct/>
                    <w:topLinePunct w:val="0"/>
                    <w:bidi w:val="0"/>
                    <w:jc w:val="center"/>
                    <w:textAlignment w:val="auto"/>
                    <w:rPr>
                      <w:rFonts w:hint="default" w:ascii="Times New Roman" w:hAnsi="Times New Roman"/>
                      <w:color w:val="auto"/>
                      <w:szCs w:val="21"/>
                      <w:lang w:val="en-US"/>
                    </w:rPr>
                  </w:pPr>
                  <w:r>
                    <w:rPr>
                      <w:rFonts w:hint="eastAsia" w:ascii="Times New Roman" w:hAnsi="Times New Roman"/>
                      <w:color w:val="auto"/>
                      <w:szCs w:val="21"/>
                      <w:lang w:val="en-US" w:eastAsia="zh-CN"/>
                    </w:rPr>
                    <w:t>2</w:t>
                  </w:r>
                </w:p>
              </w:tc>
            </w:tr>
            <w:tr w14:paraId="2A0E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391" w:type="dxa"/>
                  <w:vMerge w:val="continue"/>
                  <w:noWrap/>
                  <w:vAlign w:val="center"/>
                </w:tcPr>
                <w:p w14:paraId="3F34386B">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p>
              </w:tc>
              <w:tc>
                <w:tcPr>
                  <w:tcW w:w="538" w:type="dxa"/>
                  <w:vMerge w:val="restart"/>
                  <w:noWrap/>
                  <w:vAlign w:val="center"/>
                </w:tcPr>
                <w:p w14:paraId="78CF8859">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r>
                    <w:rPr>
                      <w:rFonts w:ascii="Times New Roman" w:hAnsi="Times New Roman"/>
                      <w:color w:val="auto"/>
                      <w:szCs w:val="21"/>
                    </w:rPr>
                    <w:t>固体</w:t>
                  </w:r>
                </w:p>
                <w:p w14:paraId="245F499F">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r>
                    <w:rPr>
                      <w:rFonts w:ascii="Times New Roman" w:hAnsi="Times New Roman"/>
                      <w:color w:val="auto"/>
                      <w:szCs w:val="21"/>
                    </w:rPr>
                    <w:t>废物</w:t>
                  </w:r>
                </w:p>
              </w:tc>
              <w:tc>
                <w:tcPr>
                  <w:tcW w:w="1509" w:type="dxa"/>
                  <w:noWrap/>
                  <w:vAlign w:val="center"/>
                </w:tcPr>
                <w:p w14:paraId="04DCFC17">
                  <w:pPr>
                    <w:keepNext w:val="0"/>
                    <w:keepLines w:val="0"/>
                    <w:pageBreakBefore w:val="0"/>
                    <w:kinsoku/>
                    <w:wordWrap/>
                    <w:overflowPunct/>
                    <w:topLinePunct w:val="0"/>
                    <w:bidi w:val="0"/>
                    <w:jc w:val="center"/>
                    <w:textAlignment w:val="auto"/>
                    <w:rPr>
                      <w:rFonts w:ascii="Times New Roman" w:hAnsi="Times New Roman"/>
                      <w:color w:val="auto"/>
                      <w:szCs w:val="21"/>
                    </w:rPr>
                  </w:pPr>
                  <w:r>
                    <w:rPr>
                      <w:rFonts w:ascii="Times New Roman" w:hAnsi="Times New Roman"/>
                      <w:color w:val="auto"/>
                      <w:szCs w:val="21"/>
                    </w:rPr>
                    <w:t>施工期固废</w:t>
                  </w:r>
                </w:p>
              </w:tc>
              <w:tc>
                <w:tcPr>
                  <w:tcW w:w="4493" w:type="dxa"/>
                  <w:noWrap/>
                  <w:vAlign w:val="center"/>
                </w:tcPr>
                <w:p w14:paraId="3F493631">
                  <w:pPr>
                    <w:keepNext w:val="0"/>
                    <w:keepLines w:val="0"/>
                    <w:pageBreakBefore w:val="0"/>
                    <w:kinsoku/>
                    <w:wordWrap/>
                    <w:overflowPunct/>
                    <w:topLinePunct w:val="0"/>
                    <w:bidi w:val="0"/>
                    <w:textAlignment w:val="auto"/>
                    <w:rPr>
                      <w:rFonts w:ascii="Times New Roman" w:hAnsi="Times New Roman"/>
                      <w:color w:val="auto"/>
                      <w:szCs w:val="21"/>
                    </w:rPr>
                  </w:pPr>
                  <w:r>
                    <w:rPr>
                      <w:rFonts w:ascii="Times New Roman" w:hAnsi="Times New Roman"/>
                      <w:color w:val="auto"/>
                      <w:szCs w:val="21"/>
                    </w:rPr>
                    <w:t>施工结束后，开挖的土方后期回覆；</w:t>
                  </w:r>
                  <w:r>
                    <w:rPr>
                      <w:rFonts w:hint="eastAsia" w:ascii="Times New Roman" w:hAnsi="Times New Roman"/>
                      <w:color w:val="auto"/>
                      <w:szCs w:val="21"/>
                      <w:lang w:val="en-US" w:eastAsia="zh-CN"/>
                    </w:rPr>
                    <w:t>钻井泥浆</w:t>
                  </w:r>
                  <w:r>
                    <w:rPr>
                      <w:rFonts w:ascii="Times New Roman" w:hAnsi="Times New Roman"/>
                      <w:color w:val="auto"/>
                      <w:szCs w:val="21"/>
                    </w:rPr>
                    <w:t>暂存于废浆干化池中，待钻井结束后投加泥浆固化剂固化后作为周边路基维护的建材使用；</w:t>
                  </w:r>
                  <w:r>
                    <w:rPr>
                      <w:rFonts w:hint="eastAsia" w:ascii="Times New Roman" w:hAnsi="Times New Roman"/>
                      <w:color w:val="auto"/>
                      <w:szCs w:val="21"/>
                      <w:lang w:eastAsia="zh-CN"/>
                    </w:rPr>
                    <w:t>岩芯碎屑</w:t>
                  </w:r>
                  <w:r>
                    <w:rPr>
                      <w:rFonts w:hint="eastAsia" w:ascii="Times New Roman" w:hAnsi="Times New Roman"/>
                      <w:color w:val="auto"/>
                      <w:szCs w:val="21"/>
                      <w:lang w:val="en-US" w:eastAsia="zh-CN"/>
                    </w:rPr>
                    <w:t>委托建材单位回收处置</w:t>
                  </w:r>
                  <w:r>
                    <w:rPr>
                      <w:rFonts w:ascii="Times New Roman" w:hAnsi="Times New Roman"/>
                      <w:color w:val="auto"/>
                      <w:szCs w:val="21"/>
                    </w:rPr>
                    <w:t>；废包装材料集中收集后外售处理。废润滑油、废润滑油桶</w:t>
                  </w:r>
                  <w:r>
                    <w:rPr>
                      <w:rFonts w:hint="eastAsia" w:ascii="Times New Roman" w:hAnsi="Times New Roman"/>
                      <w:color w:val="auto"/>
                      <w:szCs w:val="21"/>
                    </w:rPr>
                    <w:t>、</w:t>
                  </w:r>
                  <w:r>
                    <w:rPr>
                      <w:rFonts w:ascii="Times New Roman" w:hAnsi="Times New Roman"/>
                      <w:color w:val="auto"/>
                      <w:szCs w:val="21"/>
                    </w:rPr>
                    <w:t>废含油抹布和废含油手套属于危险废物，</w:t>
                  </w:r>
                  <w:r>
                    <w:rPr>
                      <w:rFonts w:hint="eastAsia" w:ascii="Times New Roman" w:hAnsi="Times New Roman"/>
                      <w:color w:val="auto"/>
                      <w:szCs w:val="21"/>
                      <w:lang w:val="en-US" w:eastAsia="zh-CN"/>
                    </w:rPr>
                    <w:t>暂存于各个井场危废暂存间内</w:t>
                  </w:r>
                  <w:r>
                    <w:rPr>
                      <w:rFonts w:hint="eastAsia" w:ascii="Times New Roman" w:hAnsi="Times New Roman"/>
                      <w:color w:val="auto"/>
                      <w:szCs w:val="21"/>
                    </w:rPr>
                    <w:t>，</w:t>
                  </w:r>
                  <w:r>
                    <w:rPr>
                      <w:rFonts w:hint="eastAsia" w:ascii="Times New Roman" w:hAnsi="Times New Roman"/>
                      <w:color w:val="auto"/>
                      <w:szCs w:val="21"/>
                      <w:lang w:val="en-US" w:eastAsia="zh-CN"/>
                    </w:rPr>
                    <w:t>委托资质单位处置。</w:t>
                  </w:r>
                </w:p>
              </w:tc>
              <w:tc>
                <w:tcPr>
                  <w:tcW w:w="753" w:type="dxa"/>
                  <w:noWrap/>
                  <w:vAlign w:val="center"/>
                </w:tcPr>
                <w:p w14:paraId="7C19A0DA">
                  <w:pPr>
                    <w:keepNext w:val="0"/>
                    <w:keepLines w:val="0"/>
                    <w:pageBreakBefore w:val="0"/>
                    <w:kinsoku/>
                    <w:wordWrap/>
                    <w:overflowPunct/>
                    <w:topLinePunct w:val="0"/>
                    <w:bidi w:val="0"/>
                    <w:jc w:val="center"/>
                    <w:textAlignment w:val="auto"/>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4</w:t>
                  </w:r>
                </w:p>
              </w:tc>
            </w:tr>
            <w:tr w14:paraId="6FD5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1" w:type="dxa"/>
                  <w:vMerge w:val="continue"/>
                  <w:noWrap/>
                  <w:vAlign w:val="center"/>
                </w:tcPr>
                <w:p w14:paraId="030728A3">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p>
              </w:tc>
              <w:tc>
                <w:tcPr>
                  <w:tcW w:w="538" w:type="dxa"/>
                  <w:vMerge w:val="continue"/>
                  <w:noWrap/>
                  <w:vAlign w:val="center"/>
                </w:tcPr>
                <w:p w14:paraId="2CFE73CF">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p>
              </w:tc>
              <w:tc>
                <w:tcPr>
                  <w:tcW w:w="1509" w:type="dxa"/>
                  <w:noWrap/>
                  <w:vAlign w:val="center"/>
                </w:tcPr>
                <w:p w14:paraId="5E08C3F9">
                  <w:pPr>
                    <w:keepNext w:val="0"/>
                    <w:keepLines w:val="0"/>
                    <w:pageBreakBefore w:val="0"/>
                    <w:kinsoku/>
                    <w:wordWrap/>
                    <w:overflowPunct/>
                    <w:topLinePunct w:val="0"/>
                    <w:bidi w:val="0"/>
                    <w:jc w:val="center"/>
                    <w:textAlignment w:val="auto"/>
                    <w:rPr>
                      <w:rFonts w:ascii="Times New Roman" w:hAnsi="Times New Roman"/>
                      <w:color w:val="auto"/>
                      <w:szCs w:val="21"/>
                    </w:rPr>
                  </w:pPr>
                  <w:r>
                    <w:rPr>
                      <w:rFonts w:ascii="Times New Roman" w:hAnsi="Times New Roman"/>
                      <w:color w:val="auto"/>
                      <w:szCs w:val="21"/>
                    </w:rPr>
                    <w:t>生活垃圾</w:t>
                  </w:r>
                </w:p>
              </w:tc>
              <w:tc>
                <w:tcPr>
                  <w:tcW w:w="4493" w:type="dxa"/>
                  <w:noWrap/>
                  <w:vAlign w:val="center"/>
                </w:tcPr>
                <w:p w14:paraId="074FB8BB">
                  <w:pPr>
                    <w:keepNext w:val="0"/>
                    <w:keepLines w:val="0"/>
                    <w:pageBreakBefore w:val="0"/>
                    <w:kinsoku/>
                    <w:wordWrap/>
                    <w:overflowPunct/>
                    <w:topLinePunct w:val="0"/>
                    <w:bidi w:val="0"/>
                    <w:jc w:val="center"/>
                    <w:textAlignment w:val="auto"/>
                    <w:rPr>
                      <w:rFonts w:ascii="Times New Roman" w:hAnsi="Times New Roman"/>
                      <w:color w:val="auto"/>
                      <w:szCs w:val="21"/>
                    </w:rPr>
                  </w:pPr>
                  <w:r>
                    <w:rPr>
                      <w:rFonts w:ascii="Times New Roman" w:hAnsi="Times New Roman"/>
                      <w:color w:val="auto"/>
                      <w:szCs w:val="21"/>
                    </w:rPr>
                    <w:t>生活垃圾收集后由环卫部门统一清运</w:t>
                  </w:r>
                </w:p>
              </w:tc>
              <w:tc>
                <w:tcPr>
                  <w:tcW w:w="753" w:type="dxa"/>
                  <w:noWrap/>
                  <w:vAlign w:val="center"/>
                </w:tcPr>
                <w:p w14:paraId="05E88EA7">
                  <w:pPr>
                    <w:keepNext w:val="0"/>
                    <w:keepLines w:val="0"/>
                    <w:pageBreakBefore w:val="0"/>
                    <w:kinsoku/>
                    <w:wordWrap/>
                    <w:overflowPunct/>
                    <w:topLinePunct w:val="0"/>
                    <w:bidi w:val="0"/>
                    <w:jc w:val="center"/>
                    <w:textAlignment w:val="auto"/>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0.5</w:t>
                  </w:r>
                </w:p>
              </w:tc>
            </w:tr>
            <w:tr w14:paraId="1B45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1" w:type="dxa"/>
                  <w:vMerge w:val="continue"/>
                  <w:noWrap/>
                  <w:vAlign w:val="center"/>
                </w:tcPr>
                <w:p w14:paraId="30352E0B">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p>
              </w:tc>
              <w:tc>
                <w:tcPr>
                  <w:tcW w:w="538" w:type="dxa"/>
                  <w:noWrap/>
                  <w:vAlign w:val="center"/>
                </w:tcPr>
                <w:p w14:paraId="5C3E3DEF">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r>
                    <w:rPr>
                      <w:rFonts w:ascii="Times New Roman" w:hAnsi="Times New Roman"/>
                      <w:color w:val="auto"/>
                      <w:szCs w:val="21"/>
                    </w:rPr>
                    <w:t>土壤、地下水环境</w:t>
                  </w:r>
                </w:p>
              </w:tc>
              <w:tc>
                <w:tcPr>
                  <w:tcW w:w="1509" w:type="dxa"/>
                  <w:noWrap/>
                  <w:vAlign w:val="center"/>
                </w:tcPr>
                <w:p w14:paraId="02B2A4F9">
                  <w:pPr>
                    <w:keepNext w:val="0"/>
                    <w:keepLines w:val="0"/>
                    <w:pageBreakBefore w:val="0"/>
                    <w:kinsoku/>
                    <w:wordWrap/>
                    <w:overflowPunct/>
                    <w:topLinePunct w:val="0"/>
                    <w:bidi w:val="0"/>
                    <w:jc w:val="center"/>
                    <w:textAlignment w:val="auto"/>
                    <w:rPr>
                      <w:rFonts w:ascii="Times New Roman" w:hAnsi="Times New Roman"/>
                      <w:color w:val="auto"/>
                      <w:szCs w:val="21"/>
                    </w:rPr>
                  </w:pPr>
                  <w:r>
                    <w:rPr>
                      <w:rFonts w:ascii="Times New Roman" w:hAnsi="Times New Roman"/>
                      <w:color w:val="auto"/>
                      <w:szCs w:val="21"/>
                    </w:rPr>
                    <w:t>分区防渗及处理措施</w:t>
                  </w:r>
                </w:p>
              </w:tc>
              <w:tc>
                <w:tcPr>
                  <w:tcW w:w="4493" w:type="dxa"/>
                  <w:noWrap/>
                  <w:vAlign w:val="center"/>
                </w:tcPr>
                <w:p w14:paraId="4E9807BB">
                  <w:pPr>
                    <w:keepNext w:val="0"/>
                    <w:keepLines w:val="0"/>
                    <w:pageBreakBefore w:val="0"/>
                    <w:kinsoku/>
                    <w:wordWrap/>
                    <w:overflowPunct/>
                    <w:topLinePunct w:val="0"/>
                    <w:bidi w:val="0"/>
                    <w:jc w:val="center"/>
                    <w:textAlignment w:val="auto"/>
                    <w:rPr>
                      <w:rFonts w:ascii="Times New Roman" w:hAnsi="Times New Roman"/>
                      <w:color w:val="auto"/>
                      <w:szCs w:val="21"/>
                    </w:rPr>
                  </w:pPr>
                  <w:r>
                    <w:rPr>
                      <w:rFonts w:hint="eastAsia" w:ascii="Times New Roman" w:hAnsi="Times New Roman"/>
                      <w:color w:val="auto"/>
                      <w:szCs w:val="21"/>
                    </w:rPr>
                    <w:t>项目采取分区防渗措施。</w:t>
                  </w:r>
                  <w:r>
                    <w:rPr>
                      <w:rFonts w:ascii="Times New Roman" w:hAnsi="Times New Roman"/>
                      <w:color w:val="auto"/>
                      <w:szCs w:val="21"/>
                    </w:rPr>
                    <w:t>重点防渗区：钻</w:t>
                  </w:r>
                  <w:r>
                    <w:rPr>
                      <w:rFonts w:hint="eastAsia" w:ascii="Times New Roman" w:hAnsi="Times New Roman"/>
                      <w:color w:val="auto"/>
                      <w:szCs w:val="21"/>
                    </w:rPr>
                    <w:t>机</w:t>
                  </w:r>
                  <w:r>
                    <w:rPr>
                      <w:rFonts w:ascii="Times New Roman" w:hAnsi="Times New Roman"/>
                      <w:color w:val="auto"/>
                      <w:szCs w:val="21"/>
                    </w:rPr>
                    <w:t>房井口区域、废浆池、沉淀池、干化池</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危废暂存间</w:t>
                  </w:r>
                  <w:r>
                    <w:rPr>
                      <w:rFonts w:ascii="Times New Roman" w:hAnsi="Times New Roman"/>
                      <w:color w:val="auto"/>
                      <w:szCs w:val="21"/>
                    </w:rPr>
                    <w:t>。防渗要求</w:t>
                  </w:r>
                  <w:r>
                    <w:rPr>
                      <w:rFonts w:hint="eastAsia" w:ascii="Times New Roman" w:hAnsi="Times New Roman"/>
                      <w:color w:val="auto"/>
                      <w:szCs w:val="21"/>
                    </w:rPr>
                    <w:t>：</w:t>
                  </w:r>
                  <w:r>
                    <w:rPr>
                      <w:rFonts w:ascii="Times New Roman" w:hAnsi="Times New Roman"/>
                      <w:color w:val="auto"/>
                      <w:szCs w:val="21"/>
                    </w:rPr>
                    <w:t>采用</w:t>
                  </w:r>
                  <w:r>
                    <w:rPr>
                      <w:rFonts w:hint="eastAsia" w:ascii="Times New Roman" w:hAnsi="Times New Roman"/>
                      <w:color w:val="auto"/>
                      <w:szCs w:val="21"/>
                      <w:lang w:eastAsia="zh-CN"/>
                    </w:rPr>
                    <w:t>“</w:t>
                  </w:r>
                  <w:r>
                    <w:rPr>
                      <w:rFonts w:ascii="Times New Roman" w:hAnsi="Times New Roman"/>
                      <w:color w:val="auto"/>
                      <w:szCs w:val="21"/>
                    </w:rPr>
                    <w:t>防渗混凝土+防渗布+砂浆层</w:t>
                  </w:r>
                  <w:r>
                    <w:rPr>
                      <w:rFonts w:hint="eastAsia" w:ascii="Times New Roman" w:hAnsi="Times New Roman"/>
                      <w:color w:val="auto"/>
                      <w:szCs w:val="21"/>
                      <w:lang w:eastAsia="zh-CN"/>
                    </w:rPr>
                    <w:t>”</w:t>
                  </w:r>
                  <w:r>
                    <w:rPr>
                      <w:rFonts w:ascii="Times New Roman" w:hAnsi="Times New Roman"/>
                      <w:color w:val="auto"/>
                      <w:szCs w:val="21"/>
                    </w:rPr>
                    <w:t>进行防渗，等效厚度≥6.0m，确保渗透系数不大于10</w:t>
                  </w:r>
                  <w:r>
                    <w:rPr>
                      <w:rFonts w:ascii="Times New Roman" w:hAnsi="Times New Roman"/>
                      <w:color w:val="auto"/>
                      <w:szCs w:val="21"/>
                      <w:vertAlign w:val="superscript"/>
                    </w:rPr>
                    <w:t>-</w:t>
                  </w:r>
                  <w:r>
                    <w:rPr>
                      <w:rFonts w:hint="eastAsia" w:ascii="Times New Roman" w:hAnsi="Times New Roman"/>
                      <w:color w:val="auto"/>
                      <w:szCs w:val="21"/>
                      <w:vertAlign w:val="superscript"/>
                    </w:rPr>
                    <w:t>7</w:t>
                  </w:r>
                  <w:r>
                    <w:rPr>
                      <w:rFonts w:ascii="Times New Roman" w:hAnsi="Times New Roman"/>
                      <w:color w:val="auto"/>
                      <w:szCs w:val="21"/>
                    </w:rPr>
                    <w:t>cm/s</w:t>
                  </w:r>
                  <w:r>
                    <w:rPr>
                      <w:rFonts w:hint="eastAsia" w:ascii="Times New Roman" w:hAnsi="Times New Roman"/>
                      <w:color w:val="auto"/>
                      <w:szCs w:val="21"/>
                    </w:rPr>
                    <w:t>；</w:t>
                  </w:r>
                  <w:r>
                    <w:rPr>
                      <w:rFonts w:ascii="Times New Roman" w:hAnsi="Times New Roman"/>
                      <w:color w:val="auto"/>
                      <w:szCs w:val="21"/>
                    </w:rPr>
                    <w:t>一般防渗区：除井口区域以外的钻机房其他区域、</w:t>
                  </w:r>
                  <w:r>
                    <w:rPr>
                      <w:rFonts w:hint="eastAsia" w:ascii="Times New Roman" w:hAnsi="Times New Roman"/>
                      <w:color w:val="auto"/>
                      <w:szCs w:val="21"/>
                      <w:lang w:eastAsia="zh-CN"/>
                    </w:rPr>
                    <w:t>设备及库房</w:t>
                  </w:r>
                  <w:r>
                    <w:rPr>
                      <w:rFonts w:ascii="Times New Roman" w:hAnsi="Times New Roman"/>
                      <w:color w:val="auto"/>
                      <w:szCs w:val="21"/>
                    </w:rPr>
                    <w:t>。防渗要求</w:t>
                  </w:r>
                  <w:r>
                    <w:rPr>
                      <w:rFonts w:hint="eastAsia" w:ascii="Times New Roman" w:hAnsi="Times New Roman"/>
                      <w:color w:val="auto"/>
                      <w:szCs w:val="21"/>
                    </w:rPr>
                    <w:t>：</w:t>
                  </w:r>
                  <w:r>
                    <w:rPr>
                      <w:rFonts w:ascii="Times New Roman" w:hAnsi="Times New Roman"/>
                      <w:color w:val="auto"/>
                      <w:szCs w:val="21"/>
                    </w:rPr>
                    <w:t>采取防渗混凝土进行防渗，等效厚度≥1.5m</w:t>
                  </w:r>
                  <w:r>
                    <w:rPr>
                      <w:rFonts w:hint="eastAsia" w:ascii="Times New Roman" w:hAnsi="Times New Roman"/>
                      <w:color w:val="auto"/>
                      <w:szCs w:val="21"/>
                    </w:rPr>
                    <w:t>；</w:t>
                  </w:r>
                  <w:r>
                    <w:rPr>
                      <w:rFonts w:ascii="Times New Roman" w:hAnsi="Times New Roman"/>
                      <w:color w:val="auto"/>
                      <w:szCs w:val="21"/>
                    </w:rPr>
                    <w:t>简单防渗区：除重点防渗区和一般防渗区以外的其他区域。防渗要求</w:t>
                  </w:r>
                  <w:r>
                    <w:rPr>
                      <w:rFonts w:hint="eastAsia" w:ascii="Times New Roman" w:hAnsi="Times New Roman"/>
                      <w:color w:val="auto"/>
                      <w:szCs w:val="21"/>
                    </w:rPr>
                    <w:t>：</w:t>
                  </w:r>
                  <w:r>
                    <w:rPr>
                      <w:rFonts w:ascii="Times New Roman" w:hAnsi="Times New Roman"/>
                      <w:color w:val="auto"/>
                      <w:szCs w:val="21"/>
                    </w:rPr>
                    <w:t>采用一般地面硬化。</w:t>
                  </w:r>
                </w:p>
              </w:tc>
              <w:tc>
                <w:tcPr>
                  <w:tcW w:w="753" w:type="dxa"/>
                  <w:noWrap/>
                  <w:vAlign w:val="center"/>
                </w:tcPr>
                <w:p w14:paraId="73F6F83B">
                  <w:pPr>
                    <w:keepNext w:val="0"/>
                    <w:keepLines w:val="0"/>
                    <w:pageBreakBefore w:val="0"/>
                    <w:kinsoku/>
                    <w:wordWrap/>
                    <w:overflowPunct/>
                    <w:topLinePunct w:val="0"/>
                    <w:bidi w:val="0"/>
                    <w:jc w:val="center"/>
                    <w:textAlignment w:val="auto"/>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2.5</w:t>
                  </w:r>
                </w:p>
              </w:tc>
            </w:tr>
            <w:tr w14:paraId="39FB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1" w:type="dxa"/>
                  <w:vMerge w:val="continue"/>
                  <w:noWrap/>
                  <w:vAlign w:val="center"/>
                </w:tcPr>
                <w:p w14:paraId="0F0EA832">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p>
              </w:tc>
              <w:tc>
                <w:tcPr>
                  <w:tcW w:w="538" w:type="dxa"/>
                  <w:noWrap/>
                  <w:vAlign w:val="center"/>
                </w:tcPr>
                <w:p w14:paraId="65FD35E1">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r>
                    <w:rPr>
                      <w:rFonts w:ascii="Times New Roman" w:hAnsi="Times New Roman"/>
                      <w:color w:val="auto"/>
                      <w:szCs w:val="21"/>
                    </w:rPr>
                    <w:t>生态环境</w:t>
                  </w:r>
                </w:p>
              </w:tc>
              <w:tc>
                <w:tcPr>
                  <w:tcW w:w="1509" w:type="dxa"/>
                  <w:noWrap/>
                  <w:vAlign w:val="center"/>
                </w:tcPr>
                <w:p w14:paraId="4F910380">
                  <w:pPr>
                    <w:keepNext w:val="0"/>
                    <w:keepLines w:val="0"/>
                    <w:pageBreakBefore w:val="0"/>
                    <w:kinsoku/>
                    <w:wordWrap/>
                    <w:overflowPunct/>
                    <w:topLinePunct w:val="0"/>
                    <w:bidi w:val="0"/>
                    <w:jc w:val="center"/>
                    <w:textAlignment w:val="auto"/>
                    <w:rPr>
                      <w:rFonts w:ascii="Times New Roman" w:hAnsi="Times New Roman"/>
                      <w:color w:val="auto"/>
                      <w:szCs w:val="21"/>
                    </w:rPr>
                  </w:pPr>
                  <w:r>
                    <w:rPr>
                      <w:rFonts w:ascii="Times New Roman" w:hAnsi="Times New Roman"/>
                      <w:color w:val="auto"/>
                      <w:szCs w:val="21"/>
                    </w:rPr>
                    <w:t>生态环境保护措施</w:t>
                  </w:r>
                </w:p>
              </w:tc>
              <w:tc>
                <w:tcPr>
                  <w:tcW w:w="4493" w:type="dxa"/>
                  <w:noWrap/>
                  <w:vAlign w:val="center"/>
                </w:tcPr>
                <w:p w14:paraId="6E644921">
                  <w:pPr>
                    <w:keepNext w:val="0"/>
                    <w:keepLines w:val="0"/>
                    <w:pageBreakBefore w:val="0"/>
                    <w:kinsoku/>
                    <w:wordWrap/>
                    <w:overflowPunct/>
                    <w:topLinePunct w:val="0"/>
                    <w:bidi w:val="0"/>
                    <w:jc w:val="center"/>
                    <w:textAlignment w:val="auto"/>
                    <w:rPr>
                      <w:rFonts w:ascii="Times New Roman" w:hAnsi="Times New Roman"/>
                      <w:color w:val="auto"/>
                      <w:szCs w:val="21"/>
                    </w:rPr>
                  </w:pPr>
                  <w:r>
                    <w:rPr>
                      <w:rFonts w:ascii="Times New Roman" w:hAnsi="Times New Roman"/>
                      <w:color w:val="auto"/>
                      <w:szCs w:val="21"/>
                    </w:rPr>
                    <w:t>严格控制施工占地，对项目区土壤的分层剥离、分层开挖、分层堆放和循序分层回填，及时进行生态恢复；合理安排施工进度及施工时间，避免雨天和大风天开挖施工作业；落实各项水土保持措施，施工结束后应根据复垦方案落实复垦措施</w:t>
                  </w:r>
                  <w:r>
                    <w:rPr>
                      <w:rFonts w:hint="eastAsia" w:ascii="Times New Roman" w:hAnsi="Times New Roman"/>
                      <w:color w:val="auto"/>
                      <w:szCs w:val="21"/>
                    </w:rPr>
                    <w:t>。</w:t>
                  </w:r>
                </w:p>
              </w:tc>
              <w:tc>
                <w:tcPr>
                  <w:tcW w:w="753" w:type="dxa"/>
                  <w:noWrap/>
                  <w:vAlign w:val="center"/>
                </w:tcPr>
                <w:p w14:paraId="26126B35">
                  <w:pPr>
                    <w:keepNext w:val="0"/>
                    <w:keepLines w:val="0"/>
                    <w:pageBreakBefore w:val="0"/>
                    <w:kinsoku/>
                    <w:wordWrap/>
                    <w:overflowPunct/>
                    <w:topLinePunct w:val="0"/>
                    <w:bidi w:val="0"/>
                    <w:jc w:val="center"/>
                    <w:textAlignment w:val="auto"/>
                    <w:rPr>
                      <w:rFonts w:hint="default" w:ascii="Times New Roman" w:hAnsi="Times New Roman"/>
                      <w:color w:val="auto"/>
                      <w:szCs w:val="21"/>
                      <w:lang w:val="en-US"/>
                    </w:rPr>
                  </w:pPr>
                  <w:r>
                    <w:rPr>
                      <w:rFonts w:hint="eastAsia" w:ascii="Times New Roman" w:hAnsi="Times New Roman"/>
                      <w:color w:val="auto"/>
                      <w:szCs w:val="21"/>
                      <w:lang w:val="en-US" w:eastAsia="zh-CN"/>
                    </w:rPr>
                    <w:t>10</w:t>
                  </w:r>
                </w:p>
              </w:tc>
            </w:tr>
            <w:tr w14:paraId="510CD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91" w:type="dxa"/>
                  <w:vMerge w:val="continue"/>
                  <w:noWrap/>
                  <w:vAlign w:val="center"/>
                </w:tcPr>
                <w:p w14:paraId="15EC0F02">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p>
              </w:tc>
              <w:tc>
                <w:tcPr>
                  <w:tcW w:w="538" w:type="dxa"/>
                  <w:noWrap/>
                  <w:vAlign w:val="center"/>
                </w:tcPr>
                <w:p w14:paraId="01D1C7A3">
                  <w:pPr>
                    <w:keepNext w:val="0"/>
                    <w:keepLines w:val="0"/>
                    <w:pageBreakBefore w:val="0"/>
                    <w:kinsoku/>
                    <w:wordWrap/>
                    <w:overflowPunct/>
                    <w:topLinePunct w:val="0"/>
                    <w:bidi w:val="0"/>
                    <w:ind w:left="-105" w:leftChars="-50" w:right="-105" w:rightChars="-50"/>
                    <w:jc w:val="center"/>
                    <w:textAlignment w:val="auto"/>
                    <w:rPr>
                      <w:rFonts w:ascii="Times New Roman" w:hAnsi="Times New Roman"/>
                      <w:color w:val="auto"/>
                      <w:szCs w:val="21"/>
                    </w:rPr>
                  </w:pPr>
                  <w:r>
                    <w:rPr>
                      <w:rFonts w:ascii="Times New Roman" w:hAnsi="Times New Roman"/>
                      <w:color w:val="auto"/>
                      <w:szCs w:val="21"/>
                    </w:rPr>
                    <w:t>风险防范</w:t>
                  </w:r>
                </w:p>
              </w:tc>
              <w:tc>
                <w:tcPr>
                  <w:tcW w:w="1509" w:type="dxa"/>
                  <w:noWrap/>
                  <w:vAlign w:val="center"/>
                </w:tcPr>
                <w:p w14:paraId="3A7629EE">
                  <w:pPr>
                    <w:keepNext w:val="0"/>
                    <w:keepLines w:val="0"/>
                    <w:pageBreakBefore w:val="0"/>
                    <w:kinsoku/>
                    <w:wordWrap/>
                    <w:overflowPunct/>
                    <w:topLinePunct w:val="0"/>
                    <w:bidi w:val="0"/>
                    <w:jc w:val="center"/>
                    <w:textAlignment w:val="auto"/>
                    <w:rPr>
                      <w:rFonts w:ascii="Times New Roman" w:hAnsi="Times New Roman"/>
                      <w:color w:val="auto"/>
                      <w:szCs w:val="21"/>
                    </w:rPr>
                  </w:pPr>
                  <w:r>
                    <w:rPr>
                      <w:rFonts w:ascii="Times New Roman" w:hAnsi="Times New Roman"/>
                      <w:color w:val="auto"/>
                      <w:szCs w:val="21"/>
                    </w:rPr>
                    <w:t>风险风范措施</w:t>
                  </w:r>
                </w:p>
              </w:tc>
              <w:tc>
                <w:tcPr>
                  <w:tcW w:w="4493" w:type="dxa"/>
                  <w:noWrap/>
                  <w:vAlign w:val="center"/>
                </w:tcPr>
                <w:p w14:paraId="798166B7">
                  <w:pPr>
                    <w:keepNext w:val="0"/>
                    <w:keepLines w:val="0"/>
                    <w:pageBreakBefore w:val="0"/>
                    <w:kinsoku/>
                    <w:wordWrap/>
                    <w:overflowPunct/>
                    <w:topLinePunct w:val="0"/>
                    <w:bidi w:val="0"/>
                    <w:jc w:val="center"/>
                    <w:textAlignment w:val="auto"/>
                    <w:rPr>
                      <w:rFonts w:ascii="Times New Roman" w:hAnsi="Times New Roman"/>
                      <w:color w:val="auto"/>
                      <w:szCs w:val="21"/>
                    </w:rPr>
                  </w:pPr>
                  <w:r>
                    <w:rPr>
                      <w:rFonts w:ascii="Times New Roman" w:hAnsi="Times New Roman"/>
                      <w:color w:val="auto"/>
                      <w:szCs w:val="21"/>
                    </w:rPr>
                    <w:t>防止泥浆水外溢，设置必要的护坡等，加强巡视、检查和日常宣传</w:t>
                  </w:r>
                  <w:r>
                    <w:rPr>
                      <w:rFonts w:hint="eastAsia" w:ascii="Times New Roman" w:hAnsi="Times New Roman"/>
                      <w:color w:val="auto"/>
                      <w:szCs w:val="21"/>
                    </w:rPr>
                    <w:t>。</w:t>
                  </w:r>
                </w:p>
              </w:tc>
              <w:tc>
                <w:tcPr>
                  <w:tcW w:w="753" w:type="dxa"/>
                  <w:noWrap/>
                  <w:vAlign w:val="center"/>
                </w:tcPr>
                <w:p w14:paraId="48C9AB62">
                  <w:pPr>
                    <w:keepNext w:val="0"/>
                    <w:keepLines w:val="0"/>
                    <w:pageBreakBefore w:val="0"/>
                    <w:kinsoku/>
                    <w:wordWrap/>
                    <w:overflowPunct/>
                    <w:topLinePunct w:val="0"/>
                    <w:bidi w:val="0"/>
                    <w:ind w:left="-105" w:leftChars="-50" w:right="-105" w:rightChars="-50"/>
                    <w:jc w:val="center"/>
                    <w:textAlignment w:val="auto"/>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3</w:t>
                  </w:r>
                </w:p>
              </w:tc>
            </w:tr>
            <w:tr w14:paraId="7543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931" w:type="dxa"/>
                  <w:gridSpan w:val="4"/>
                  <w:noWrap/>
                  <w:vAlign w:val="center"/>
                </w:tcPr>
                <w:p w14:paraId="52145C57">
                  <w:pPr>
                    <w:keepNext w:val="0"/>
                    <w:keepLines w:val="0"/>
                    <w:pageBreakBefore w:val="0"/>
                    <w:kinsoku/>
                    <w:wordWrap/>
                    <w:overflowPunct/>
                    <w:topLinePunct w:val="0"/>
                    <w:bidi w:val="0"/>
                    <w:jc w:val="center"/>
                    <w:textAlignment w:val="auto"/>
                    <w:rPr>
                      <w:rFonts w:ascii="Times New Roman" w:hAnsi="Times New Roman"/>
                      <w:color w:val="auto"/>
                      <w:szCs w:val="21"/>
                    </w:rPr>
                  </w:pPr>
                  <w:r>
                    <w:rPr>
                      <w:rFonts w:ascii="Times New Roman" w:hAnsi="Times New Roman"/>
                      <w:color w:val="auto"/>
                      <w:szCs w:val="21"/>
                    </w:rPr>
                    <w:t>合计</w:t>
                  </w:r>
                </w:p>
              </w:tc>
              <w:tc>
                <w:tcPr>
                  <w:tcW w:w="753" w:type="dxa"/>
                  <w:noWrap/>
                  <w:vAlign w:val="center"/>
                </w:tcPr>
                <w:p w14:paraId="01AD69A6">
                  <w:pPr>
                    <w:keepNext w:val="0"/>
                    <w:keepLines w:val="0"/>
                    <w:pageBreakBefore w:val="0"/>
                    <w:kinsoku/>
                    <w:wordWrap/>
                    <w:overflowPunct/>
                    <w:topLinePunct w:val="0"/>
                    <w:bidi w:val="0"/>
                    <w:jc w:val="center"/>
                    <w:textAlignment w:val="auto"/>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35</w:t>
                  </w:r>
                </w:p>
              </w:tc>
            </w:tr>
          </w:tbl>
          <w:p w14:paraId="32026065">
            <w:pPr>
              <w:pStyle w:val="28"/>
              <w:keepNext w:val="0"/>
              <w:keepLines w:val="0"/>
              <w:pageBreakBefore w:val="0"/>
              <w:kinsoku/>
              <w:wordWrap/>
              <w:overflowPunct/>
              <w:topLinePunct w:val="0"/>
              <w:bidi w:val="0"/>
              <w:textAlignment w:val="auto"/>
              <w:rPr>
                <w:rFonts w:ascii="Times New Roman" w:hAnsi="Times New Roman"/>
                <w:bCs/>
                <w:color w:val="auto"/>
                <w:spacing w:val="10"/>
                <w:szCs w:val="21"/>
              </w:rPr>
            </w:pPr>
          </w:p>
        </w:tc>
      </w:tr>
    </w:tbl>
    <w:p w14:paraId="74FAD19D">
      <w:pPr>
        <w:rPr>
          <w:rFonts w:ascii="Times New Roman" w:hAnsi="Times New Roman"/>
          <w:color w:val="auto"/>
        </w:rPr>
        <w:sectPr>
          <w:pgSz w:w="11907" w:h="16840"/>
          <w:pgMar w:top="1440" w:right="1797" w:bottom="1440" w:left="1797" w:header="851" w:footer="1077" w:gutter="0"/>
          <w:pgNumType w:fmt="decimal"/>
          <w:cols w:space="720" w:num="1"/>
          <w:docGrid w:linePitch="312" w:charSpace="0"/>
        </w:sectPr>
      </w:pPr>
    </w:p>
    <w:p w14:paraId="4302A90D">
      <w:pPr>
        <w:pStyle w:val="19"/>
        <w:jc w:val="center"/>
        <w:outlineLvl w:val="0"/>
        <w:rPr>
          <w:rFonts w:ascii="Times New Roman" w:hAnsi="Times New Roman" w:eastAsia="黑体"/>
          <w:snapToGrid w:val="0"/>
          <w:color w:val="auto"/>
          <w:sz w:val="30"/>
          <w:szCs w:val="30"/>
        </w:rPr>
      </w:pPr>
      <w:bookmarkStart w:id="18" w:name="_Toc22535"/>
      <w:r>
        <w:rPr>
          <w:rFonts w:ascii="Times New Roman" w:hAnsi="Times New Roman" w:eastAsia="黑体"/>
          <w:snapToGrid w:val="0"/>
          <w:color w:val="auto"/>
          <w:sz w:val="30"/>
          <w:szCs w:val="30"/>
        </w:rPr>
        <w:t>六、生态环境保护措施监督检查清单</w:t>
      </w:r>
      <w:bookmarkEnd w:id="18"/>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978"/>
        <w:gridCol w:w="3518"/>
        <w:gridCol w:w="1174"/>
        <w:gridCol w:w="852"/>
        <w:gridCol w:w="757"/>
      </w:tblGrid>
      <w:tr w14:paraId="724567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restart"/>
            <w:tcBorders>
              <w:tl2br w:val="single" w:color="auto" w:sz="4" w:space="0"/>
            </w:tcBorders>
            <w:noWrap/>
          </w:tcPr>
          <w:p w14:paraId="3A742FF9">
            <w:pPr>
              <w:jc w:val="center"/>
              <w:rPr>
                <w:rFonts w:ascii="Times New Roman" w:hAnsi="Times New Roman"/>
                <w:color w:val="auto"/>
                <w:szCs w:val="21"/>
                <w:highlight w:val="none"/>
              </w:rPr>
            </w:pPr>
            <w:r>
              <w:rPr>
                <w:rFonts w:ascii="Times New Roman" w:hAnsi="Times New Roman"/>
                <w:color w:val="auto"/>
                <w:szCs w:val="21"/>
                <w:highlight w:val="none"/>
              </w:rPr>
              <w:t>内容</w:t>
            </w:r>
          </w:p>
          <w:p w14:paraId="15CE6004">
            <w:pPr>
              <w:rPr>
                <w:rFonts w:ascii="Times New Roman" w:hAnsi="Times New Roman"/>
                <w:color w:val="auto"/>
                <w:szCs w:val="21"/>
                <w:highlight w:val="none"/>
              </w:rPr>
            </w:pPr>
          </w:p>
          <w:p w14:paraId="640480D5">
            <w:pPr>
              <w:rPr>
                <w:rFonts w:ascii="Times New Roman" w:hAnsi="Times New Roman"/>
                <w:color w:val="auto"/>
                <w:szCs w:val="21"/>
                <w:highlight w:val="none"/>
              </w:rPr>
            </w:pPr>
            <w:r>
              <w:rPr>
                <w:rFonts w:ascii="Times New Roman" w:hAnsi="Times New Roman"/>
                <w:color w:val="auto"/>
                <w:szCs w:val="21"/>
                <w:highlight w:val="none"/>
              </w:rPr>
              <w:t>要素</w:t>
            </w:r>
          </w:p>
        </w:tc>
        <w:tc>
          <w:tcPr>
            <w:tcW w:w="5670" w:type="dxa"/>
            <w:gridSpan w:val="3"/>
            <w:noWrap/>
            <w:vAlign w:val="center"/>
          </w:tcPr>
          <w:p w14:paraId="25F74045">
            <w:pPr>
              <w:jc w:val="center"/>
              <w:rPr>
                <w:rFonts w:ascii="Times New Roman" w:hAnsi="Times New Roman"/>
                <w:color w:val="auto"/>
                <w:szCs w:val="21"/>
                <w:highlight w:val="none"/>
              </w:rPr>
            </w:pPr>
            <w:r>
              <w:rPr>
                <w:rFonts w:ascii="Times New Roman" w:hAnsi="Times New Roman"/>
                <w:color w:val="auto"/>
                <w:szCs w:val="21"/>
                <w:highlight w:val="none"/>
              </w:rPr>
              <w:t>施工期</w:t>
            </w:r>
          </w:p>
        </w:tc>
        <w:tc>
          <w:tcPr>
            <w:tcW w:w="1609" w:type="dxa"/>
            <w:gridSpan w:val="2"/>
            <w:noWrap/>
            <w:vAlign w:val="center"/>
          </w:tcPr>
          <w:p w14:paraId="3DA1EB6B">
            <w:pPr>
              <w:jc w:val="center"/>
              <w:rPr>
                <w:rFonts w:ascii="Times New Roman" w:hAnsi="Times New Roman"/>
                <w:color w:val="auto"/>
                <w:szCs w:val="21"/>
                <w:highlight w:val="none"/>
              </w:rPr>
            </w:pPr>
            <w:r>
              <w:rPr>
                <w:rFonts w:ascii="Times New Roman" w:hAnsi="Times New Roman"/>
                <w:color w:val="auto"/>
                <w:szCs w:val="21"/>
                <w:highlight w:val="none"/>
              </w:rPr>
              <w:t>运营期</w:t>
            </w:r>
          </w:p>
        </w:tc>
      </w:tr>
      <w:tr w14:paraId="1EC3F0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continue"/>
            <w:noWrap/>
          </w:tcPr>
          <w:p w14:paraId="07D18806">
            <w:pPr>
              <w:jc w:val="center"/>
              <w:rPr>
                <w:rFonts w:ascii="Times New Roman" w:hAnsi="Times New Roman"/>
                <w:color w:val="auto"/>
                <w:szCs w:val="21"/>
                <w:highlight w:val="none"/>
              </w:rPr>
            </w:pPr>
          </w:p>
        </w:tc>
        <w:tc>
          <w:tcPr>
            <w:tcW w:w="4496" w:type="dxa"/>
            <w:gridSpan w:val="2"/>
            <w:noWrap/>
            <w:vAlign w:val="center"/>
          </w:tcPr>
          <w:p w14:paraId="322B5AD5">
            <w:pPr>
              <w:jc w:val="center"/>
              <w:rPr>
                <w:rFonts w:ascii="Times New Roman" w:hAnsi="Times New Roman"/>
                <w:color w:val="auto"/>
                <w:szCs w:val="21"/>
                <w:highlight w:val="none"/>
              </w:rPr>
            </w:pPr>
            <w:r>
              <w:rPr>
                <w:rFonts w:ascii="Times New Roman" w:hAnsi="Times New Roman"/>
                <w:color w:val="auto"/>
                <w:szCs w:val="21"/>
                <w:highlight w:val="none"/>
              </w:rPr>
              <w:t>环境保护措施</w:t>
            </w:r>
          </w:p>
        </w:tc>
        <w:tc>
          <w:tcPr>
            <w:tcW w:w="1174" w:type="dxa"/>
            <w:noWrap/>
            <w:vAlign w:val="center"/>
          </w:tcPr>
          <w:p w14:paraId="25B77FC4">
            <w:pPr>
              <w:jc w:val="center"/>
              <w:rPr>
                <w:rFonts w:ascii="Times New Roman" w:hAnsi="Times New Roman"/>
                <w:color w:val="auto"/>
                <w:szCs w:val="21"/>
                <w:highlight w:val="none"/>
              </w:rPr>
            </w:pPr>
            <w:r>
              <w:rPr>
                <w:rFonts w:ascii="Times New Roman" w:hAnsi="Times New Roman"/>
                <w:color w:val="auto"/>
                <w:szCs w:val="21"/>
                <w:highlight w:val="none"/>
              </w:rPr>
              <w:t>验收要求</w:t>
            </w:r>
          </w:p>
        </w:tc>
        <w:tc>
          <w:tcPr>
            <w:tcW w:w="852" w:type="dxa"/>
            <w:noWrap/>
            <w:vAlign w:val="center"/>
          </w:tcPr>
          <w:p w14:paraId="50283305">
            <w:pPr>
              <w:jc w:val="center"/>
              <w:rPr>
                <w:rFonts w:ascii="Times New Roman" w:hAnsi="Times New Roman"/>
                <w:color w:val="auto"/>
                <w:szCs w:val="21"/>
                <w:highlight w:val="none"/>
              </w:rPr>
            </w:pPr>
            <w:r>
              <w:rPr>
                <w:rFonts w:ascii="Times New Roman" w:hAnsi="Times New Roman"/>
                <w:color w:val="auto"/>
                <w:szCs w:val="21"/>
                <w:highlight w:val="none"/>
              </w:rPr>
              <w:t>环境保护措施</w:t>
            </w:r>
          </w:p>
        </w:tc>
        <w:tc>
          <w:tcPr>
            <w:tcW w:w="757" w:type="dxa"/>
            <w:noWrap/>
            <w:vAlign w:val="center"/>
          </w:tcPr>
          <w:p w14:paraId="4D2195CB">
            <w:pPr>
              <w:jc w:val="center"/>
              <w:rPr>
                <w:rFonts w:ascii="Times New Roman" w:hAnsi="Times New Roman"/>
                <w:color w:val="auto"/>
                <w:szCs w:val="21"/>
                <w:highlight w:val="none"/>
              </w:rPr>
            </w:pPr>
            <w:r>
              <w:rPr>
                <w:rFonts w:ascii="Times New Roman" w:hAnsi="Times New Roman"/>
                <w:color w:val="auto"/>
                <w:szCs w:val="21"/>
                <w:highlight w:val="none"/>
              </w:rPr>
              <w:t>验收要求</w:t>
            </w:r>
          </w:p>
        </w:tc>
      </w:tr>
      <w:tr w14:paraId="4A424A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restart"/>
            <w:noWrap/>
            <w:vAlign w:val="center"/>
          </w:tcPr>
          <w:p w14:paraId="2374C280">
            <w:pPr>
              <w:jc w:val="center"/>
              <w:rPr>
                <w:rFonts w:ascii="Times New Roman" w:hAnsi="Times New Roman"/>
                <w:color w:val="auto"/>
                <w:szCs w:val="21"/>
                <w:highlight w:val="none"/>
              </w:rPr>
            </w:pPr>
            <w:r>
              <w:rPr>
                <w:rFonts w:ascii="Times New Roman" w:hAnsi="Times New Roman"/>
                <w:color w:val="auto"/>
                <w:szCs w:val="21"/>
                <w:highlight w:val="none"/>
              </w:rPr>
              <w:t>陆生生态</w:t>
            </w:r>
          </w:p>
        </w:tc>
        <w:tc>
          <w:tcPr>
            <w:tcW w:w="978" w:type="dxa"/>
            <w:vMerge w:val="restart"/>
            <w:noWrap/>
            <w:vAlign w:val="center"/>
          </w:tcPr>
          <w:p w14:paraId="2043084F">
            <w:pPr>
              <w:rPr>
                <w:rFonts w:ascii="Times New Roman" w:hAnsi="Times New Roman"/>
                <w:color w:val="auto"/>
                <w:szCs w:val="21"/>
                <w:highlight w:val="none"/>
              </w:rPr>
            </w:pPr>
            <w:r>
              <w:rPr>
                <w:rFonts w:ascii="Times New Roman" w:hAnsi="Times New Roman"/>
                <w:color w:val="auto"/>
                <w:szCs w:val="21"/>
                <w:highlight w:val="none"/>
              </w:rPr>
              <w:t>补偿、减少影响范围、生态恢复</w:t>
            </w:r>
          </w:p>
        </w:tc>
        <w:tc>
          <w:tcPr>
            <w:tcW w:w="3518" w:type="dxa"/>
            <w:noWrap/>
            <w:vAlign w:val="center"/>
          </w:tcPr>
          <w:p w14:paraId="562D9815">
            <w:pPr>
              <w:rPr>
                <w:rFonts w:ascii="Times New Roman" w:hAnsi="Times New Roman"/>
                <w:color w:val="auto"/>
                <w:szCs w:val="21"/>
                <w:highlight w:val="none"/>
              </w:rPr>
            </w:pPr>
            <w:r>
              <w:rPr>
                <w:rFonts w:ascii="Times New Roman" w:hAnsi="Times New Roman"/>
                <w:color w:val="auto"/>
                <w:szCs w:val="21"/>
                <w:highlight w:val="none"/>
              </w:rPr>
              <w:t>井场铺设钢板减少雨水冲刷；场地周围修临时排水沟；表层土壤采用分层开挖、分区堆放、分层填埋，减少因施工造成生土上翻、耕层养分损失、农作物减产等后果；堆场采取篷布遮盖或表面洒水抑尘等措施，并设置拦挡、排水措施</w:t>
            </w:r>
            <w:r>
              <w:rPr>
                <w:rFonts w:hint="eastAsia" w:ascii="Times New Roman" w:hAnsi="Times New Roman"/>
                <w:color w:val="auto"/>
                <w:szCs w:val="21"/>
                <w:highlight w:val="none"/>
              </w:rPr>
              <w:t>。</w:t>
            </w:r>
          </w:p>
        </w:tc>
        <w:tc>
          <w:tcPr>
            <w:tcW w:w="1174" w:type="dxa"/>
            <w:vMerge w:val="restart"/>
            <w:noWrap/>
            <w:vAlign w:val="center"/>
          </w:tcPr>
          <w:p w14:paraId="488A3383">
            <w:pPr>
              <w:jc w:val="center"/>
              <w:rPr>
                <w:rFonts w:ascii="Times New Roman" w:hAnsi="Times New Roman"/>
                <w:color w:val="auto"/>
                <w:szCs w:val="21"/>
                <w:highlight w:val="none"/>
              </w:rPr>
            </w:pPr>
            <w:r>
              <w:rPr>
                <w:rFonts w:ascii="Times New Roman" w:hAnsi="Times New Roman"/>
                <w:color w:val="auto"/>
                <w:szCs w:val="21"/>
                <w:highlight w:val="none"/>
              </w:rPr>
              <w:t>强化并落实水土保持措施，减轻对生态环境的影响</w:t>
            </w:r>
          </w:p>
        </w:tc>
        <w:tc>
          <w:tcPr>
            <w:tcW w:w="852" w:type="dxa"/>
            <w:noWrap/>
            <w:vAlign w:val="center"/>
          </w:tcPr>
          <w:p w14:paraId="596B0A89">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743C04AA">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2F66F1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243" w:type="dxa"/>
            <w:vMerge w:val="continue"/>
            <w:noWrap/>
            <w:vAlign w:val="center"/>
          </w:tcPr>
          <w:p w14:paraId="3EE2AE09">
            <w:pPr>
              <w:jc w:val="center"/>
              <w:rPr>
                <w:rFonts w:ascii="Times New Roman" w:hAnsi="Times New Roman"/>
                <w:color w:val="auto"/>
                <w:szCs w:val="21"/>
                <w:highlight w:val="none"/>
              </w:rPr>
            </w:pPr>
          </w:p>
        </w:tc>
        <w:tc>
          <w:tcPr>
            <w:tcW w:w="978" w:type="dxa"/>
            <w:vMerge w:val="continue"/>
            <w:noWrap/>
            <w:vAlign w:val="center"/>
          </w:tcPr>
          <w:p w14:paraId="0E579459">
            <w:pPr>
              <w:rPr>
                <w:rFonts w:ascii="Times New Roman" w:hAnsi="Times New Roman"/>
                <w:color w:val="auto"/>
                <w:szCs w:val="21"/>
                <w:highlight w:val="none"/>
              </w:rPr>
            </w:pPr>
          </w:p>
        </w:tc>
        <w:tc>
          <w:tcPr>
            <w:tcW w:w="3518" w:type="dxa"/>
            <w:noWrap/>
            <w:vAlign w:val="center"/>
          </w:tcPr>
          <w:p w14:paraId="6DBB7421">
            <w:pPr>
              <w:rPr>
                <w:rFonts w:ascii="Times New Roman" w:hAnsi="Times New Roman"/>
                <w:color w:val="auto"/>
                <w:szCs w:val="21"/>
                <w:highlight w:val="none"/>
              </w:rPr>
            </w:pPr>
            <w:r>
              <w:rPr>
                <w:rFonts w:ascii="Times New Roman" w:hAnsi="Times New Roman"/>
                <w:color w:val="auto"/>
                <w:szCs w:val="21"/>
                <w:highlight w:val="none"/>
              </w:rPr>
              <w:t>对井场占用的耕地给予经济补偿</w:t>
            </w:r>
          </w:p>
        </w:tc>
        <w:tc>
          <w:tcPr>
            <w:tcW w:w="1174" w:type="dxa"/>
            <w:vMerge w:val="continue"/>
            <w:noWrap/>
            <w:vAlign w:val="center"/>
          </w:tcPr>
          <w:p w14:paraId="0EC196F8">
            <w:pPr>
              <w:jc w:val="center"/>
              <w:rPr>
                <w:rFonts w:ascii="Times New Roman" w:hAnsi="Times New Roman"/>
                <w:color w:val="auto"/>
                <w:szCs w:val="21"/>
                <w:highlight w:val="none"/>
              </w:rPr>
            </w:pPr>
          </w:p>
        </w:tc>
        <w:tc>
          <w:tcPr>
            <w:tcW w:w="852" w:type="dxa"/>
            <w:noWrap/>
            <w:vAlign w:val="center"/>
          </w:tcPr>
          <w:p w14:paraId="4EF7E5BA">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06AA6DE7">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76113F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continue"/>
            <w:noWrap/>
            <w:vAlign w:val="center"/>
          </w:tcPr>
          <w:p w14:paraId="44B98D5C">
            <w:pPr>
              <w:jc w:val="center"/>
              <w:rPr>
                <w:rFonts w:ascii="Times New Roman" w:hAnsi="Times New Roman"/>
                <w:color w:val="auto"/>
                <w:szCs w:val="21"/>
                <w:highlight w:val="none"/>
              </w:rPr>
            </w:pPr>
          </w:p>
        </w:tc>
        <w:tc>
          <w:tcPr>
            <w:tcW w:w="978" w:type="dxa"/>
            <w:vMerge w:val="continue"/>
            <w:noWrap/>
            <w:vAlign w:val="center"/>
          </w:tcPr>
          <w:p w14:paraId="66B123FD">
            <w:pPr>
              <w:rPr>
                <w:rFonts w:ascii="Times New Roman" w:hAnsi="Times New Roman"/>
                <w:color w:val="auto"/>
                <w:szCs w:val="21"/>
                <w:highlight w:val="none"/>
              </w:rPr>
            </w:pPr>
          </w:p>
        </w:tc>
        <w:tc>
          <w:tcPr>
            <w:tcW w:w="3518" w:type="dxa"/>
            <w:noWrap/>
            <w:vAlign w:val="center"/>
          </w:tcPr>
          <w:p w14:paraId="7D012882">
            <w:pPr>
              <w:rPr>
                <w:rFonts w:ascii="Times New Roman" w:hAnsi="Times New Roman"/>
                <w:color w:val="auto"/>
                <w:szCs w:val="21"/>
                <w:highlight w:val="none"/>
              </w:rPr>
            </w:pPr>
            <w:r>
              <w:rPr>
                <w:rFonts w:ascii="Times New Roman" w:hAnsi="Times New Roman"/>
                <w:color w:val="auto"/>
                <w:szCs w:val="21"/>
                <w:highlight w:val="none"/>
              </w:rPr>
              <w:t>禁砍伐野外植被；严格划定施工作业范围、不得超越范围</w:t>
            </w:r>
          </w:p>
        </w:tc>
        <w:tc>
          <w:tcPr>
            <w:tcW w:w="1174" w:type="dxa"/>
            <w:vMerge w:val="continue"/>
            <w:noWrap/>
            <w:vAlign w:val="center"/>
          </w:tcPr>
          <w:p w14:paraId="4B20004E">
            <w:pPr>
              <w:jc w:val="center"/>
              <w:rPr>
                <w:rFonts w:ascii="Times New Roman" w:hAnsi="Times New Roman"/>
                <w:color w:val="auto"/>
                <w:szCs w:val="21"/>
                <w:highlight w:val="none"/>
              </w:rPr>
            </w:pPr>
          </w:p>
        </w:tc>
        <w:tc>
          <w:tcPr>
            <w:tcW w:w="852" w:type="dxa"/>
            <w:noWrap/>
            <w:vAlign w:val="center"/>
          </w:tcPr>
          <w:p w14:paraId="7552D207">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608CD64D">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3B2664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continue"/>
            <w:noWrap/>
            <w:vAlign w:val="center"/>
          </w:tcPr>
          <w:p w14:paraId="60A3D638">
            <w:pPr>
              <w:jc w:val="center"/>
              <w:rPr>
                <w:rFonts w:ascii="Times New Roman" w:hAnsi="Times New Roman"/>
                <w:color w:val="auto"/>
                <w:szCs w:val="21"/>
                <w:highlight w:val="none"/>
              </w:rPr>
            </w:pPr>
          </w:p>
        </w:tc>
        <w:tc>
          <w:tcPr>
            <w:tcW w:w="978" w:type="dxa"/>
            <w:noWrap/>
            <w:vAlign w:val="center"/>
          </w:tcPr>
          <w:p w14:paraId="6A9F85F3">
            <w:pPr>
              <w:rPr>
                <w:rFonts w:ascii="Times New Roman" w:hAnsi="Times New Roman"/>
                <w:color w:val="auto"/>
                <w:szCs w:val="21"/>
                <w:highlight w:val="none"/>
              </w:rPr>
            </w:pPr>
            <w:r>
              <w:rPr>
                <w:rFonts w:ascii="Times New Roman" w:hAnsi="Times New Roman"/>
                <w:color w:val="auto"/>
                <w:szCs w:val="21"/>
                <w:highlight w:val="none"/>
              </w:rPr>
              <w:t>临时占地恢复</w:t>
            </w:r>
          </w:p>
        </w:tc>
        <w:tc>
          <w:tcPr>
            <w:tcW w:w="3518" w:type="dxa"/>
            <w:noWrap/>
            <w:vAlign w:val="center"/>
          </w:tcPr>
          <w:p w14:paraId="41EC817C">
            <w:pPr>
              <w:rPr>
                <w:rFonts w:ascii="Times New Roman" w:hAnsi="Times New Roman"/>
                <w:color w:val="auto"/>
                <w:szCs w:val="21"/>
                <w:highlight w:val="none"/>
              </w:rPr>
            </w:pPr>
            <w:r>
              <w:rPr>
                <w:rFonts w:hint="eastAsia" w:ascii="Times New Roman" w:hAnsi="Times New Roman"/>
                <w:color w:val="auto"/>
                <w:szCs w:val="21"/>
                <w:highlight w:val="none"/>
              </w:rPr>
              <w:t>根据</w:t>
            </w:r>
            <w:r>
              <w:rPr>
                <w:rFonts w:ascii="Times New Roman" w:hAnsi="Times New Roman"/>
                <w:color w:val="auto"/>
                <w:szCs w:val="21"/>
                <w:highlight w:val="none"/>
              </w:rPr>
              <w:t>复垦方案和相关地方规定，</w:t>
            </w:r>
            <w:r>
              <w:rPr>
                <w:rFonts w:hint="eastAsia" w:ascii="Times New Roman" w:hAnsi="Times New Roman"/>
                <w:color w:val="auto"/>
                <w:szCs w:val="21"/>
                <w:highlight w:val="none"/>
              </w:rPr>
              <w:t>对工程临时征地进行补偿；严禁砍伐野外植被；严格规定施工作业范围，严格限制施工活动范围。项目施工结束后，硬化地面、雨水沟、污水沟等地面设施进行整体拆除，对拆除过程中可重复使用的材料可运至其他井站进行重复利用，水泥渣、碎石等</w:t>
            </w:r>
            <w:r>
              <w:rPr>
                <w:rFonts w:hint="eastAsia" w:ascii="Times New Roman" w:hAnsi="Times New Roman"/>
                <w:color w:val="auto"/>
                <w:szCs w:val="21"/>
                <w:highlight w:val="none"/>
                <w:lang w:val="en-US" w:eastAsia="zh-CN"/>
              </w:rPr>
              <w:t>外售综合利用</w:t>
            </w:r>
            <w:r>
              <w:rPr>
                <w:rFonts w:hint="eastAsia" w:ascii="Times New Roman" w:hAnsi="Times New Roman"/>
                <w:color w:val="auto"/>
                <w:szCs w:val="21"/>
                <w:highlight w:val="none"/>
              </w:rPr>
              <w:t>，不可利用部分运至政府指定的渣场，做到工完、料净、场地清，对构筑的设备基础拆除后作场地边坡凹地平整填方区填方回填，不留坑凼；清除场内固体废物，平整井场，在表层覆盖耕作土层，将废弃的井场恢复原状；</w:t>
            </w:r>
            <w:r>
              <w:rPr>
                <w:rFonts w:ascii="Times New Roman" w:hAnsi="Times New Roman"/>
                <w:color w:val="auto"/>
                <w:szCs w:val="21"/>
                <w:highlight w:val="none"/>
              </w:rPr>
              <w:t>对临时占地上的设施进行拆除并搬迁，对</w:t>
            </w:r>
            <w:r>
              <w:rPr>
                <w:rFonts w:hint="eastAsia" w:ascii="Times New Roman" w:hAnsi="Times New Roman"/>
                <w:color w:val="auto"/>
                <w:szCs w:val="21"/>
                <w:highlight w:val="none"/>
                <w:lang w:eastAsia="zh-CN"/>
              </w:rPr>
              <w:t>泥浆池</w:t>
            </w:r>
            <w:r>
              <w:rPr>
                <w:rFonts w:ascii="Times New Roman" w:hAnsi="Times New Roman"/>
                <w:color w:val="auto"/>
                <w:szCs w:val="21"/>
                <w:highlight w:val="none"/>
              </w:rPr>
              <w:t>等池体进行拆除并回填，现场无废弃构造设施遗留，平整井场，在表层覆盖耕作土层，进行复垦到原状态</w:t>
            </w:r>
            <w:r>
              <w:rPr>
                <w:rFonts w:hint="eastAsia" w:ascii="Times New Roman" w:hAnsi="Times New Roman"/>
                <w:color w:val="auto"/>
                <w:szCs w:val="21"/>
                <w:highlight w:val="none"/>
              </w:rPr>
              <w:t>。</w:t>
            </w:r>
          </w:p>
        </w:tc>
        <w:tc>
          <w:tcPr>
            <w:tcW w:w="1174" w:type="dxa"/>
            <w:noWrap/>
            <w:vAlign w:val="center"/>
          </w:tcPr>
          <w:p w14:paraId="426DDB2F">
            <w:pPr>
              <w:jc w:val="center"/>
              <w:rPr>
                <w:rFonts w:ascii="Times New Roman" w:hAnsi="Times New Roman"/>
                <w:color w:val="auto"/>
                <w:szCs w:val="21"/>
                <w:highlight w:val="none"/>
              </w:rPr>
            </w:pPr>
            <w:r>
              <w:rPr>
                <w:rFonts w:ascii="Times New Roman" w:hAnsi="Times New Roman"/>
                <w:color w:val="auto"/>
                <w:szCs w:val="21"/>
                <w:highlight w:val="none"/>
              </w:rPr>
              <w:t>恢复占地原有土地利用性质</w:t>
            </w:r>
          </w:p>
        </w:tc>
        <w:tc>
          <w:tcPr>
            <w:tcW w:w="852" w:type="dxa"/>
            <w:noWrap/>
            <w:vAlign w:val="center"/>
          </w:tcPr>
          <w:p w14:paraId="7E823BB9">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6EFF190C">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19990C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continue"/>
            <w:noWrap/>
            <w:vAlign w:val="center"/>
          </w:tcPr>
          <w:p w14:paraId="2C4801FD">
            <w:pPr>
              <w:jc w:val="center"/>
              <w:rPr>
                <w:rFonts w:ascii="Times New Roman" w:hAnsi="Times New Roman"/>
                <w:color w:val="auto"/>
                <w:szCs w:val="21"/>
                <w:highlight w:val="none"/>
              </w:rPr>
            </w:pPr>
          </w:p>
        </w:tc>
        <w:tc>
          <w:tcPr>
            <w:tcW w:w="978" w:type="dxa"/>
            <w:noWrap/>
            <w:vAlign w:val="center"/>
          </w:tcPr>
          <w:p w14:paraId="61F73506">
            <w:pPr>
              <w:rPr>
                <w:rFonts w:ascii="Times New Roman" w:hAnsi="Times New Roman"/>
                <w:color w:val="auto"/>
                <w:szCs w:val="21"/>
                <w:highlight w:val="none"/>
              </w:rPr>
            </w:pPr>
            <w:r>
              <w:rPr>
                <w:rFonts w:ascii="Times New Roman" w:hAnsi="Times New Roman"/>
                <w:color w:val="auto"/>
                <w:szCs w:val="21"/>
                <w:highlight w:val="none"/>
              </w:rPr>
              <w:t>植被恢复</w:t>
            </w:r>
          </w:p>
        </w:tc>
        <w:tc>
          <w:tcPr>
            <w:tcW w:w="3518" w:type="dxa"/>
            <w:noWrap/>
            <w:vAlign w:val="center"/>
          </w:tcPr>
          <w:p w14:paraId="28CD3AE0">
            <w:pPr>
              <w:rPr>
                <w:rFonts w:ascii="Times New Roman" w:hAnsi="Times New Roman"/>
                <w:color w:val="auto"/>
                <w:szCs w:val="21"/>
                <w:highlight w:val="none"/>
              </w:rPr>
            </w:pPr>
            <w:r>
              <w:rPr>
                <w:rFonts w:ascii="Times New Roman" w:hAnsi="Times New Roman"/>
                <w:color w:val="auto"/>
                <w:szCs w:val="21"/>
                <w:highlight w:val="none"/>
              </w:rPr>
              <w:t>对</w:t>
            </w:r>
            <w:r>
              <w:rPr>
                <w:rFonts w:hint="eastAsia" w:ascii="Times New Roman" w:hAnsi="Times New Roman"/>
                <w:color w:val="auto"/>
                <w:szCs w:val="21"/>
                <w:highlight w:val="none"/>
              </w:rPr>
              <w:t>配电室</w:t>
            </w:r>
            <w:r>
              <w:rPr>
                <w:rFonts w:ascii="Times New Roman" w:hAnsi="Times New Roman"/>
                <w:color w:val="auto"/>
                <w:szCs w:val="21"/>
                <w:highlight w:val="none"/>
              </w:rPr>
              <w:t>等建构物临时占地、回填后的</w:t>
            </w:r>
            <w:r>
              <w:rPr>
                <w:rFonts w:hint="eastAsia" w:ascii="Times New Roman" w:hAnsi="Times New Roman"/>
                <w:color w:val="auto"/>
                <w:szCs w:val="21"/>
                <w:highlight w:val="none"/>
                <w:lang w:eastAsia="zh-CN"/>
              </w:rPr>
              <w:t>泥浆池</w:t>
            </w:r>
            <w:r>
              <w:rPr>
                <w:rFonts w:ascii="Times New Roman" w:hAnsi="Times New Roman"/>
                <w:color w:val="auto"/>
                <w:szCs w:val="21"/>
                <w:highlight w:val="none"/>
              </w:rPr>
              <w:t>等池体表面覆盖耕作土层，恢复生态，以恢复耕地为主，同时进行土壤培育，复垦后应满足《土地复垦质量控制标准》（TD</w:t>
            </w:r>
            <w:r>
              <w:rPr>
                <w:rFonts w:hint="eastAsia" w:ascii="Times New Roman" w:hAnsi="Times New Roman"/>
                <w:color w:val="auto"/>
                <w:szCs w:val="21"/>
                <w:highlight w:val="none"/>
              </w:rPr>
              <w:t>/</w:t>
            </w:r>
            <w:r>
              <w:rPr>
                <w:rFonts w:ascii="Times New Roman" w:hAnsi="Times New Roman"/>
                <w:color w:val="auto"/>
                <w:szCs w:val="21"/>
                <w:highlight w:val="none"/>
              </w:rPr>
              <w:t>T1036-2013）中的要求，满足居民正常耕种要求</w:t>
            </w:r>
          </w:p>
        </w:tc>
        <w:tc>
          <w:tcPr>
            <w:tcW w:w="1174" w:type="dxa"/>
            <w:noWrap/>
            <w:vAlign w:val="center"/>
          </w:tcPr>
          <w:p w14:paraId="7035F907">
            <w:pPr>
              <w:jc w:val="center"/>
              <w:rPr>
                <w:rFonts w:ascii="Times New Roman" w:hAnsi="Times New Roman"/>
                <w:color w:val="auto"/>
                <w:szCs w:val="21"/>
                <w:highlight w:val="none"/>
              </w:rPr>
            </w:pPr>
            <w:r>
              <w:rPr>
                <w:rFonts w:ascii="Times New Roman" w:hAnsi="Times New Roman"/>
                <w:color w:val="auto"/>
                <w:szCs w:val="21"/>
                <w:highlight w:val="none"/>
              </w:rPr>
              <w:t>恢复土地生产力，满足《土地复垦质量控制标准》（TDT1036-2013）中要求</w:t>
            </w:r>
          </w:p>
        </w:tc>
        <w:tc>
          <w:tcPr>
            <w:tcW w:w="852" w:type="dxa"/>
            <w:noWrap/>
            <w:vAlign w:val="center"/>
          </w:tcPr>
          <w:p w14:paraId="48020D66">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0E8A4840">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5A7048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43" w:type="dxa"/>
            <w:noWrap/>
            <w:vAlign w:val="center"/>
          </w:tcPr>
          <w:p w14:paraId="06E87D6D">
            <w:pPr>
              <w:jc w:val="center"/>
              <w:rPr>
                <w:rFonts w:ascii="Times New Roman" w:hAnsi="Times New Roman"/>
                <w:color w:val="auto"/>
                <w:szCs w:val="21"/>
                <w:highlight w:val="none"/>
              </w:rPr>
            </w:pPr>
            <w:r>
              <w:rPr>
                <w:rFonts w:ascii="Times New Roman" w:hAnsi="Times New Roman"/>
                <w:color w:val="auto"/>
                <w:szCs w:val="21"/>
                <w:highlight w:val="none"/>
              </w:rPr>
              <w:t>水生生态</w:t>
            </w:r>
          </w:p>
        </w:tc>
        <w:tc>
          <w:tcPr>
            <w:tcW w:w="4496" w:type="dxa"/>
            <w:gridSpan w:val="2"/>
            <w:noWrap/>
            <w:vAlign w:val="center"/>
          </w:tcPr>
          <w:p w14:paraId="3AE2C9CE">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1174" w:type="dxa"/>
            <w:noWrap/>
            <w:vAlign w:val="center"/>
          </w:tcPr>
          <w:p w14:paraId="31753CAC">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852" w:type="dxa"/>
            <w:noWrap/>
            <w:vAlign w:val="center"/>
          </w:tcPr>
          <w:p w14:paraId="3FFA4937">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5DDBE3F7">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6F009A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ign w:val="center"/>
          </w:tcPr>
          <w:p w14:paraId="2A66215D">
            <w:pPr>
              <w:jc w:val="center"/>
              <w:rPr>
                <w:rFonts w:ascii="Times New Roman" w:hAnsi="Times New Roman"/>
                <w:color w:val="auto"/>
                <w:szCs w:val="21"/>
                <w:highlight w:val="none"/>
              </w:rPr>
            </w:pPr>
            <w:r>
              <w:rPr>
                <w:rFonts w:ascii="Times New Roman" w:hAnsi="Times New Roman"/>
                <w:color w:val="auto"/>
                <w:szCs w:val="21"/>
                <w:highlight w:val="none"/>
              </w:rPr>
              <w:t>地表水环境</w:t>
            </w:r>
          </w:p>
        </w:tc>
        <w:tc>
          <w:tcPr>
            <w:tcW w:w="4496" w:type="dxa"/>
            <w:gridSpan w:val="2"/>
            <w:noWrap/>
            <w:vAlign w:val="center"/>
          </w:tcPr>
          <w:p w14:paraId="7FDA61A6">
            <w:pPr>
              <w:rPr>
                <w:rFonts w:ascii="Times New Roman" w:hAnsi="Times New Roman"/>
                <w:color w:val="auto"/>
                <w:szCs w:val="21"/>
                <w:highlight w:val="none"/>
              </w:rPr>
            </w:pPr>
            <w:r>
              <w:rPr>
                <w:rFonts w:hint="eastAsia" w:ascii="Times New Roman" w:hAnsi="Times New Roman"/>
                <w:color w:val="auto"/>
                <w:szCs w:val="21"/>
                <w:highlight w:val="none"/>
              </w:rPr>
              <w:t>项目区不设置员工食宿，员工食宿依托附近村庄，生活污水经化粪池预处理后委托清掏单位定期清掏处理，不外排，用于当地农作物施肥。</w:t>
            </w:r>
          </w:p>
          <w:p w14:paraId="4FA03D7C">
            <w:pPr>
              <w:rPr>
                <w:rFonts w:ascii="Times New Roman" w:hAnsi="Times New Roman"/>
                <w:color w:val="auto"/>
                <w:szCs w:val="21"/>
                <w:highlight w:val="none"/>
              </w:rPr>
            </w:pPr>
            <w:r>
              <w:rPr>
                <w:rFonts w:ascii="Times New Roman" w:hAnsi="Times New Roman"/>
                <w:color w:val="auto"/>
                <w:szCs w:val="21"/>
                <w:highlight w:val="none"/>
              </w:rPr>
              <w:t>每个井场进出口</w:t>
            </w:r>
            <w:r>
              <w:rPr>
                <w:rFonts w:hint="eastAsia" w:ascii="Times New Roman" w:hAnsi="Times New Roman"/>
                <w:color w:val="auto"/>
                <w:szCs w:val="21"/>
                <w:highlight w:val="none"/>
              </w:rPr>
              <w:t>对车辆进行冲洗</w:t>
            </w:r>
            <w:r>
              <w:rPr>
                <w:rFonts w:ascii="Times New Roman" w:hAnsi="Times New Roman"/>
                <w:color w:val="auto"/>
                <w:szCs w:val="21"/>
                <w:highlight w:val="none"/>
              </w:rPr>
              <w:t>，配套建设容积</w:t>
            </w:r>
            <w:r>
              <w:rPr>
                <w:rFonts w:hint="eastAsia" w:ascii="Times New Roman" w:hAnsi="Times New Roman"/>
                <w:color w:val="auto"/>
                <w:szCs w:val="21"/>
                <w:highlight w:val="none"/>
                <w:lang w:val="en-US" w:eastAsia="zh-CN"/>
              </w:rPr>
              <w:t>8</w:t>
            </w:r>
            <w:r>
              <w:rPr>
                <w:rFonts w:ascii="Times New Roman" w:hAnsi="Times New Roman"/>
                <w:color w:val="auto"/>
                <w:szCs w:val="21"/>
                <w:highlight w:val="none"/>
              </w:rPr>
              <w:t>m</w:t>
            </w:r>
            <w:r>
              <w:rPr>
                <w:rFonts w:ascii="Times New Roman" w:hAnsi="Times New Roman"/>
                <w:color w:val="auto"/>
                <w:szCs w:val="21"/>
                <w:highlight w:val="none"/>
                <w:vertAlign w:val="superscript"/>
              </w:rPr>
              <w:t>3</w:t>
            </w:r>
            <w:r>
              <w:rPr>
                <w:rFonts w:ascii="Times New Roman" w:hAnsi="Times New Roman"/>
                <w:color w:val="auto"/>
                <w:szCs w:val="21"/>
                <w:highlight w:val="none"/>
              </w:rPr>
              <w:t>循环沉淀池，车辆清洗废水经沉淀池沉淀后循环使用，不外排；每个井场钻探废水设置设1个</w:t>
            </w:r>
            <w:r>
              <w:rPr>
                <w:rFonts w:hint="eastAsia" w:ascii="Times New Roman" w:hAnsi="Times New Roman"/>
                <w:color w:val="auto"/>
                <w:szCs w:val="21"/>
                <w:highlight w:val="none"/>
                <w:lang w:eastAsia="zh-CN"/>
              </w:rPr>
              <w:t>泥浆池</w:t>
            </w:r>
            <w:r>
              <w:rPr>
                <w:rFonts w:ascii="Times New Roman" w:hAnsi="Times New Roman"/>
                <w:color w:val="auto"/>
                <w:szCs w:val="21"/>
                <w:highlight w:val="none"/>
              </w:rPr>
              <w:t>，容积</w:t>
            </w:r>
            <w:r>
              <w:rPr>
                <w:rFonts w:hint="eastAsia" w:ascii="Times New Roman" w:hAnsi="Times New Roman"/>
                <w:color w:val="auto"/>
                <w:szCs w:val="21"/>
                <w:highlight w:val="none"/>
                <w:lang w:val="en-US" w:eastAsia="zh-CN"/>
              </w:rPr>
              <w:t>36</w:t>
            </w:r>
            <w:r>
              <w:rPr>
                <w:rFonts w:ascii="Times New Roman" w:hAnsi="Times New Roman"/>
                <w:color w:val="auto"/>
                <w:szCs w:val="21"/>
                <w:highlight w:val="none"/>
              </w:rPr>
              <w:t>m</w:t>
            </w:r>
            <w:r>
              <w:rPr>
                <w:rFonts w:ascii="Times New Roman" w:hAnsi="Times New Roman"/>
                <w:color w:val="auto"/>
                <w:szCs w:val="21"/>
                <w:highlight w:val="none"/>
                <w:vertAlign w:val="superscript"/>
              </w:rPr>
              <w:t>3</w:t>
            </w:r>
            <w:r>
              <w:rPr>
                <w:rFonts w:ascii="Times New Roman" w:hAnsi="Times New Roman"/>
                <w:color w:val="auto"/>
                <w:szCs w:val="21"/>
                <w:highlight w:val="none"/>
              </w:rPr>
              <w:t>，设置设1个干化池，容积</w:t>
            </w:r>
            <w:r>
              <w:rPr>
                <w:rFonts w:hint="eastAsia" w:ascii="Times New Roman" w:hAnsi="Times New Roman"/>
                <w:color w:val="auto"/>
                <w:szCs w:val="21"/>
                <w:highlight w:val="none"/>
                <w:lang w:val="en-US" w:eastAsia="zh-CN"/>
              </w:rPr>
              <w:t>36</w:t>
            </w:r>
            <w:r>
              <w:rPr>
                <w:rFonts w:ascii="Times New Roman" w:hAnsi="Times New Roman"/>
                <w:color w:val="auto"/>
                <w:szCs w:val="21"/>
                <w:highlight w:val="none"/>
              </w:rPr>
              <w:t>m</w:t>
            </w:r>
            <w:r>
              <w:rPr>
                <w:rFonts w:ascii="Times New Roman" w:hAnsi="Times New Roman"/>
                <w:color w:val="auto"/>
                <w:szCs w:val="21"/>
                <w:highlight w:val="none"/>
                <w:vertAlign w:val="superscript"/>
              </w:rPr>
              <w:t>3</w:t>
            </w:r>
            <w:r>
              <w:rPr>
                <w:rFonts w:ascii="Times New Roman" w:hAnsi="Times New Roman"/>
                <w:color w:val="auto"/>
                <w:szCs w:val="21"/>
                <w:highlight w:val="none"/>
              </w:rPr>
              <w:t>，钻探废水经沉淀后回用于钻探用水。施工尽量避开雨季施工，雨天做好遮盖工作，减少冲刷雨水的产生量</w:t>
            </w:r>
            <w:r>
              <w:rPr>
                <w:rFonts w:hint="eastAsia" w:ascii="Times New Roman" w:hAnsi="Times New Roman"/>
                <w:color w:val="auto"/>
                <w:szCs w:val="21"/>
                <w:highlight w:val="none"/>
              </w:rPr>
              <w:t>。</w:t>
            </w:r>
          </w:p>
        </w:tc>
        <w:tc>
          <w:tcPr>
            <w:tcW w:w="1174" w:type="dxa"/>
            <w:noWrap/>
            <w:vAlign w:val="center"/>
          </w:tcPr>
          <w:p w14:paraId="41F4EA61">
            <w:pPr>
              <w:jc w:val="center"/>
              <w:rPr>
                <w:rFonts w:ascii="Times New Roman" w:hAnsi="Times New Roman"/>
                <w:color w:val="auto"/>
                <w:szCs w:val="21"/>
                <w:highlight w:val="none"/>
              </w:rPr>
            </w:pPr>
            <w:r>
              <w:rPr>
                <w:rFonts w:ascii="Times New Roman" w:hAnsi="Times New Roman"/>
                <w:color w:val="auto"/>
                <w:szCs w:val="21"/>
                <w:highlight w:val="none"/>
              </w:rPr>
              <w:t>施工废水、施工生活污水禁止外排至地表水环境</w:t>
            </w:r>
          </w:p>
        </w:tc>
        <w:tc>
          <w:tcPr>
            <w:tcW w:w="852" w:type="dxa"/>
            <w:noWrap/>
            <w:vAlign w:val="center"/>
          </w:tcPr>
          <w:p w14:paraId="2D89DDFB">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4BDE6527">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3F4A59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ign w:val="center"/>
          </w:tcPr>
          <w:p w14:paraId="659C9E39">
            <w:pPr>
              <w:jc w:val="center"/>
              <w:rPr>
                <w:rFonts w:ascii="Times New Roman" w:hAnsi="Times New Roman"/>
                <w:color w:val="auto"/>
                <w:szCs w:val="21"/>
                <w:highlight w:val="none"/>
              </w:rPr>
            </w:pPr>
            <w:r>
              <w:rPr>
                <w:rFonts w:ascii="Times New Roman" w:hAnsi="Times New Roman"/>
                <w:color w:val="auto"/>
                <w:szCs w:val="21"/>
                <w:highlight w:val="none"/>
              </w:rPr>
              <w:t>地下水及土壤环境</w:t>
            </w:r>
          </w:p>
        </w:tc>
        <w:tc>
          <w:tcPr>
            <w:tcW w:w="4496" w:type="dxa"/>
            <w:gridSpan w:val="2"/>
            <w:noWrap/>
            <w:vAlign w:val="center"/>
          </w:tcPr>
          <w:p w14:paraId="192EB24D">
            <w:pPr>
              <w:jc w:val="center"/>
              <w:rPr>
                <w:rFonts w:ascii="Times New Roman" w:hAnsi="Times New Roman"/>
                <w:color w:val="auto"/>
                <w:szCs w:val="21"/>
                <w:highlight w:val="none"/>
              </w:rPr>
            </w:pPr>
            <w:r>
              <w:rPr>
                <w:rFonts w:hint="eastAsia" w:ascii="Times New Roman" w:hAnsi="Times New Roman"/>
                <w:color w:val="auto"/>
                <w:szCs w:val="21"/>
                <w:highlight w:val="none"/>
              </w:rPr>
              <w:t>项目采取分区防渗措施。</w:t>
            </w:r>
            <w:r>
              <w:rPr>
                <w:rFonts w:ascii="Times New Roman" w:hAnsi="Times New Roman"/>
                <w:color w:val="auto"/>
                <w:szCs w:val="21"/>
                <w:highlight w:val="none"/>
              </w:rPr>
              <w:t>重点防渗区：</w:t>
            </w:r>
            <w:r>
              <w:rPr>
                <w:rFonts w:hint="eastAsia" w:ascii="Times New Roman" w:hAnsi="Times New Roman"/>
                <w:color w:val="auto"/>
                <w:szCs w:val="21"/>
                <w:highlight w:val="none"/>
                <w:lang w:val="en-US" w:eastAsia="zh-CN"/>
              </w:rPr>
              <w:t>危废暂存间</w:t>
            </w:r>
            <w:r>
              <w:rPr>
                <w:rFonts w:ascii="Times New Roman" w:hAnsi="Times New Roman"/>
                <w:color w:val="auto"/>
                <w:szCs w:val="21"/>
                <w:highlight w:val="none"/>
              </w:rPr>
              <w:t>。防渗要求</w:t>
            </w:r>
            <w:r>
              <w:rPr>
                <w:rFonts w:hint="eastAsia" w:ascii="Times New Roman" w:hAnsi="Times New Roman"/>
                <w:color w:val="auto"/>
                <w:szCs w:val="21"/>
                <w:highlight w:val="none"/>
              </w:rPr>
              <w:t>：</w:t>
            </w:r>
            <w:r>
              <w:rPr>
                <w:rFonts w:ascii="Times New Roman" w:hAnsi="Times New Roman"/>
                <w:color w:val="auto"/>
                <w:szCs w:val="21"/>
                <w:highlight w:val="none"/>
              </w:rPr>
              <w:t>采用</w:t>
            </w:r>
            <w:r>
              <w:rPr>
                <w:rFonts w:hint="eastAsia" w:ascii="Times New Roman" w:hAnsi="Times New Roman"/>
                <w:color w:val="auto"/>
                <w:szCs w:val="21"/>
                <w:highlight w:val="none"/>
                <w:lang w:eastAsia="zh-CN"/>
              </w:rPr>
              <w:t>“</w:t>
            </w:r>
            <w:r>
              <w:rPr>
                <w:rFonts w:ascii="Times New Roman" w:hAnsi="Times New Roman"/>
                <w:color w:val="auto"/>
                <w:szCs w:val="21"/>
                <w:highlight w:val="none"/>
              </w:rPr>
              <w:t>防渗混凝土+防渗布+砂浆层</w:t>
            </w:r>
            <w:r>
              <w:rPr>
                <w:rFonts w:hint="eastAsia" w:ascii="Times New Roman" w:hAnsi="Times New Roman"/>
                <w:color w:val="auto"/>
                <w:szCs w:val="21"/>
                <w:highlight w:val="none"/>
                <w:lang w:eastAsia="zh-CN"/>
              </w:rPr>
              <w:t>”</w:t>
            </w:r>
            <w:r>
              <w:rPr>
                <w:rFonts w:ascii="Times New Roman" w:hAnsi="Times New Roman"/>
                <w:color w:val="auto"/>
                <w:szCs w:val="21"/>
                <w:highlight w:val="none"/>
              </w:rPr>
              <w:t>进行防渗，等效厚度≥6.0m，确保渗透系数不大于10</w:t>
            </w:r>
            <w:r>
              <w:rPr>
                <w:rFonts w:ascii="Times New Roman" w:hAnsi="Times New Roman"/>
                <w:color w:val="auto"/>
                <w:szCs w:val="21"/>
                <w:highlight w:val="none"/>
                <w:vertAlign w:val="superscript"/>
              </w:rPr>
              <w:t>-</w:t>
            </w:r>
            <w:r>
              <w:rPr>
                <w:rFonts w:hint="eastAsia" w:ascii="Times New Roman" w:hAnsi="Times New Roman"/>
                <w:color w:val="auto"/>
                <w:szCs w:val="21"/>
                <w:highlight w:val="none"/>
                <w:vertAlign w:val="superscript"/>
              </w:rPr>
              <w:t>7</w:t>
            </w:r>
            <w:r>
              <w:rPr>
                <w:rFonts w:ascii="Times New Roman" w:hAnsi="Times New Roman"/>
                <w:color w:val="auto"/>
                <w:szCs w:val="21"/>
                <w:highlight w:val="none"/>
              </w:rPr>
              <w:t>cm/s</w:t>
            </w:r>
            <w:r>
              <w:rPr>
                <w:rFonts w:hint="eastAsia" w:ascii="Times New Roman" w:hAnsi="Times New Roman"/>
                <w:color w:val="auto"/>
                <w:szCs w:val="21"/>
                <w:highlight w:val="none"/>
              </w:rPr>
              <w:t>；</w:t>
            </w:r>
            <w:r>
              <w:rPr>
                <w:rFonts w:ascii="Times New Roman" w:hAnsi="Times New Roman"/>
                <w:color w:val="auto"/>
                <w:szCs w:val="21"/>
                <w:highlight w:val="none"/>
              </w:rPr>
              <w:t>一般防渗区：</w:t>
            </w:r>
            <w:r>
              <w:rPr>
                <w:rFonts w:hint="eastAsia" w:ascii="Times New Roman" w:hAnsi="Times New Roman"/>
                <w:color w:val="auto"/>
                <w:szCs w:val="21"/>
                <w:highlight w:val="none"/>
                <w:lang w:eastAsia="zh-CN"/>
              </w:rPr>
              <w:t>钻机房井口区域、泥浆池、沉淀池、干化池、设备及库房</w:t>
            </w:r>
            <w:r>
              <w:rPr>
                <w:rFonts w:ascii="Times New Roman" w:hAnsi="Times New Roman"/>
                <w:color w:val="auto"/>
                <w:szCs w:val="21"/>
                <w:highlight w:val="none"/>
              </w:rPr>
              <w:t>。防渗要求</w:t>
            </w:r>
            <w:r>
              <w:rPr>
                <w:rFonts w:hint="eastAsia" w:ascii="Times New Roman" w:hAnsi="Times New Roman"/>
                <w:color w:val="auto"/>
                <w:szCs w:val="21"/>
                <w:highlight w:val="none"/>
              </w:rPr>
              <w:t>：</w:t>
            </w:r>
            <w:r>
              <w:rPr>
                <w:rFonts w:ascii="Times New Roman" w:hAnsi="Times New Roman"/>
                <w:color w:val="auto"/>
                <w:szCs w:val="21"/>
                <w:highlight w:val="none"/>
              </w:rPr>
              <w:t>采取防渗混凝土进行防渗，等效厚度≥1.5m</w:t>
            </w:r>
            <w:r>
              <w:rPr>
                <w:rFonts w:hint="eastAsia" w:ascii="Times New Roman" w:hAnsi="Times New Roman"/>
                <w:color w:val="auto"/>
                <w:szCs w:val="21"/>
                <w:highlight w:val="none"/>
              </w:rPr>
              <w:t>；</w:t>
            </w:r>
            <w:r>
              <w:rPr>
                <w:rFonts w:ascii="Times New Roman" w:hAnsi="Times New Roman"/>
                <w:color w:val="auto"/>
                <w:szCs w:val="21"/>
                <w:highlight w:val="none"/>
              </w:rPr>
              <w:t>简单防渗区：除重点防渗区和一般防渗区以外的其他区域。防渗要求</w:t>
            </w:r>
            <w:r>
              <w:rPr>
                <w:rFonts w:hint="eastAsia" w:ascii="Times New Roman" w:hAnsi="Times New Roman"/>
                <w:color w:val="auto"/>
                <w:szCs w:val="21"/>
                <w:highlight w:val="none"/>
              </w:rPr>
              <w:t>：</w:t>
            </w:r>
            <w:r>
              <w:rPr>
                <w:rFonts w:ascii="Times New Roman" w:hAnsi="Times New Roman"/>
                <w:color w:val="auto"/>
                <w:szCs w:val="21"/>
                <w:highlight w:val="none"/>
              </w:rPr>
              <w:t>采用一般地面硬化。</w:t>
            </w:r>
          </w:p>
        </w:tc>
        <w:tc>
          <w:tcPr>
            <w:tcW w:w="1174" w:type="dxa"/>
            <w:noWrap/>
            <w:vAlign w:val="center"/>
          </w:tcPr>
          <w:p w14:paraId="51B478FA">
            <w:pPr>
              <w:jc w:val="center"/>
              <w:rPr>
                <w:rFonts w:ascii="Times New Roman" w:hAnsi="Times New Roman"/>
                <w:color w:val="auto"/>
                <w:szCs w:val="21"/>
                <w:highlight w:val="none"/>
              </w:rPr>
            </w:pPr>
            <w:r>
              <w:rPr>
                <w:rFonts w:ascii="Times New Roman" w:hAnsi="Times New Roman"/>
                <w:color w:val="auto"/>
                <w:szCs w:val="21"/>
                <w:highlight w:val="none"/>
              </w:rPr>
              <w:t>不对周边浅层地下水以及周边土壤造成影响</w:t>
            </w:r>
          </w:p>
        </w:tc>
        <w:tc>
          <w:tcPr>
            <w:tcW w:w="852" w:type="dxa"/>
            <w:noWrap/>
            <w:vAlign w:val="center"/>
          </w:tcPr>
          <w:p w14:paraId="0E936AAC">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2FDC13A7">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7AE792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ign w:val="center"/>
          </w:tcPr>
          <w:p w14:paraId="73D4049A">
            <w:pPr>
              <w:jc w:val="center"/>
              <w:rPr>
                <w:rFonts w:ascii="Times New Roman" w:hAnsi="Times New Roman"/>
                <w:color w:val="auto"/>
                <w:szCs w:val="21"/>
                <w:highlight w:val="none"/>
              </w:rPr>
            </w:pPr>
            <w:r>
              <w:rPr>
                <w:rFonts w:ascii="Times New Roman" w:hAnsi="Times New Roman"/>
                <w:color w:val="auto"/>
                <w:szCs w:val="21"/>
                <w:highlight w:val="none"/>
              </w:rPr>
              <w:t>声环境</w:t>
            </w:r>
          </w:p>
        </w:tc>
        <w:tc>
          <w:tcPr>
            <w:tcW w:w="4496" w:type="dxa"/>
            <w:gridSpan w:val="2"/>
            <w:noWrap/>
            <w:vAlign w:val="center"/>
          </w:tcPr>
          <w:p w14:paraId="58F753C8">
            <w:pPr>
              <w:jc w:val="center"/>
              <w:rPr>
                <w:rFonts w:ascii="Times New Roman" w:hAnsi="Times New Roman"/>
                <w:color w:val="auto"/>
                <w:szCs w:val="21"/>
                <w:highlight w:val="none"/>
              </w:rPr>
            </w:pPr>
            <w:r>
              <w:rPr>
                <w:rFonts w:ascii="Times New Roman" w:hAnsi="Times New Roman"/>
                <w:color w:val="auto"/>
                <w:szCs w:val="21"/>
                <w:highlight w:val="none"/>
              </w:rPr>
              <w:t>选用低噪声设备，合理布置施工机械，合理安排施工时间，加强施工管理，设置施工围墙、降噪安全围帘等，根据现场调查，项目部分井场厂界外存在居民点声环境保护目标，项目可在井场面向敏感点一侧布置隔声屏等</w:t>
            </w:r>
            <w:r>
              <w:rPr>
                <w:rFonts w:ascii="Times New Roman" w:hAnsi="Times New Roman"/>
                <w:bCs/>
                <w:color w:val="auto"/>
                <w:szCs w:val="21"/>
                <w:highlight w:val="none"/>
              </w:rPr>
              <w:t>，可有效降低对周边敏感点的影响</w:t>
            </w:r>
          </w:p>
        </w:tc>
        <w:tc>
          <w:tcPr>
            <w:tcW w:w="1174" w:type="dxa"/>
            <w:noWrap/>
            <w:vAlign w:val="center"/>
          </w:tcPr>
          <w:p w14:paraId="7C1224D5">
            <w:pPr>
              <w:jc w:val="center"/>
              <w:rPr>
                <w:rFonts w:ascii="Times New Roman" w:hAnsi="Times New Roman"/>
                <w:color w:val="auto"/>
                <w:szCs w:val="21"/>
                <w:highlight w:val="none"/>
              </w:rPr>
            </w:pPr>
            <w:r>
              <w:rPr>
                <w:rFonts w:ascii="Times New Roman" w:hAnsi="Times New Roman"/>
                <w:color w:val="auto"/>
                <w:szCs w:val="21"/>
                <w:highlight w:val="none"/>
              </w:rPr>
              <w:t>满足《建筑施工场界环境噪声排放标准》（GB12523-2011），不发生扰民现象。</w:t>
            </w:r>
          </w:p>
        </w:tc>
        <w:tc>
          <w:tcPr>
            <w:tcW w:w="852" w:type="dxa"/>
            <w:noWrap/>
            <w:vAlign w:val="center"/>
          </w:tcPr>
          <w:p w14:paraId="466FF098">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603416A9">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17B47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3" w:type="dxa"/>
            <w:noWrap/>
            <w:vAlign w:val="center"/>
          </w:tcPr>
          <w:p w14:paraId="26137250">
            <w:pPr>
              <w:jc w:val="center"/>
              <w:rPr>
                <w:rFonts w:ascii="Times New Roman" w:hAnsi="Times New Roman"/>
                <w:color w:val="auto"/>
                <w:szCs w:val="21"/>
                <w:highlight w:val="none"/>
              </w:rPr>
            </w:pPr>
            <w:r>
              <w:rPr>
                <w:rFonts w:ascii="Times New Roman" w:hAnsi="Times New Roman"/>
                <w:color w:val="auto"/>
                <w:szCs w:val="21"/>
                <w:highlight w:val="none"/>
              </w:rPr>
              <w:t>振动</w:t>
            </w:r>
          </w:p>
        </w:tc>
        <w:tc>
          <w:tcPr>
            <w:tcW w:w="4496" w:type="dxa"/>
            <w:gridSpan w:val="2"/>
            <w:noWrap/>
            <w:vAlign w:val="center"/>
          </w:tcPr>
          <w:p w14:paraId="00F82D7A">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1174" w:type="dxa"/>
            <w:noWrap/>
            <w:vAlign w:val="center"/>
          </w:tcPr>
          <w:p w14:paraId="30F48432">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852" w:type="dxa"/>
            <w:noWrap/>
            <w:vAlign w:val="center"/>
          </w:tcPr>
          <w:p w14:paraId="252454D0">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5F7B039A">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7CE674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ign w:val="center"/>
          </w:tcPr>
          <w:p w14:paraId="7AD50C0D">
            <w:pPr>
              <w:jc w:val="center"/>
              <w:rPr>
                <w:rFonts w:ascii="Times New Roman" w:hAnsi="Times New Roman"/>
                <w:color w:val="auto"/>
                <w:szCs w:val="21"/>
                <w:highlight w:val="none"/>
              </w:rPr>
            </w:pPr>
            <w:r>
              <w:rPr>
                <w:rFonts w:ascii="Times New Roman" w:hAnsi="Times New Roman"/>
                <w:color w:val="auto"/>
                <w:szCs w:val="21"/>
                <w:highlight w:val="none"/>
              </w:rPr>
              <w:t>大气环境</w:t>
            </w:r>
          </w:p>
        </w:tc>
        <w:tc>
          <w:tcPr>
            <w:tcW w:w="4496" w:type="dxa"/>
            <w:gridSpan w:val="2"/>
            <w:noWrap/>
            <w:vAlign w:val="center"/>
          </w:tcPr>
          <w:p w14:paraId="45D05D66">
            <w:pPr>
              <w:jc w:val="center"/>
              <w:rPr>
                <w:rFonts w:ascii="Times New Roman" w:hAnsi="Times New Roman"/>
                <w:color w:val="auto"/>
                <w:szCs w:val="21"/>
                <w:highlight w:val="none"/>
              </w:rPr>
            </w:pPr>
            <w:r>
              <w:rPr>
                <w:rFonts w:ascii="Times New Roman" w:hAnsi="Times New Roman"/>
                <w:color w:val="auto"/>
                <w:szCs w:val="21"/>
                <w:highlight w:val="none"/>
              </w:rPr>
              <w:t>施工期影响主要为施工扬尘、机械尾气等。通过加强施工机械、车辆管理，进行物料覆盖，对施工道路进行固化、洒水处理等措施，施工现场扬尘污染防治应做到</w:t>
            </w:r>
            <w:r>
              <w:rPr>
                <w:rFonts w:hint="eastAsia" w:ascii="Times New Roman" w:hAnsi="Times New Roman"/>
                <w:color w:val="auto"/>
                <w:szCs w:val="21"/>
                <w:highlight w:val="none"/>
                <w:lang w:eastAsia="zh-CN"/>
              </w:rPr>
              <w:t>“</w:t>
            </w:r>
            <w:r>
              <w:rPr>
                <w:rFonts w:ascii="Times New Roman" w:hAnsi="Times New Roman"/>
                <w:color w:val="auto"/>
                <w:szCs w:val="21"/>
                <w:highlight w:val="none"/>
              </w:rPr>
              <w:t>六个百分之百</w:t>
            </w:r>
            <w:r>
              <w:rPr>
                <w:rFonts w:hint="eastAsia" w:ascii="Times New Roman" w:hAnsi="Times New Roman"/>
                <w:color w:val="auto"/>
                <w:szCs w:val="21"/>
                <w:highlight w:val="none"/>
                <w:lang w:eastAsia="zh-CN"/>
              </w:rPr>
              <w:t>”</w:t>
            </w:r>
            <w:r>
              <w:rPr>
                <w:rFonts w:ascii="Times New Roman" w:hAnsi="Times New Roman"/>
                <w:color w:val="auto"/>
                <w:szCs w:val="21"/>
                <w:highlight w:val="none"/>
              </w:rPr>
              <w:t>，减少对周边空气环境的影响。</w:t>
            </w:r>
          </w:p>
        </w:tc>
        <w:tc>
          <w:tcPr>
            <w:tcW w:w="1174" w:type="dxa"/>
            <w:noWrap/>
            <w:vAlign w:val="center"/>
          </w:tcPr>
          <w:p w14:paraId="69217470">
            <w:pPr>
              <w:jc w:val="center"/>
              <w:rPr>
                <w:rFonts w:ascii="Times New Roman" w:hAnsi="Times New Roman"/>
                <w:color w:val="auto"/>
                <w:szCs w:val="21"/>
                <w:highlight w:val="none"/>
              </w:rPr>
            </w:pPr>
            <w:r>
              <w:rPr>
                <w:rFonts w:hint="eastAsia" w:ascii="Times New Roman" w:hAnsi="Times New Roman"/>
                <w:color w:val="auto"/>
                <w:szCs w:val="21"/>
                <w:highlight w:val="none"/>
              </w:rPr>
              <w:t>施工期扬尘执行《施工场地颗粒物排放标准》（DB34/4811-2024）中厂界大气污染物无组织监控浓度限值要求</w:t>
            </w:r>
          </w:p>
        </w:tc>
        <w:tc>
          <w:tcPr>
            <w:tcW w:w="852" w:type="dxa"/>
            <w:noWrap/>
            <w:vAlign w:val="center"/>
          </w:tcPr>
          <w:p w14:paraId="43D2E748">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2681944D">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1CB363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7" w:hRule="atLeast"/>
          <w:jc w:val="center"/>
        </w:trPr>
        <w:tc>
          <w:tcPr>
            <w:tcW w:w="1243" w:type="dxa"/>
            <w:noWrap/>
            <w:vAlign w:val="center"/>
          </w:tcPr>
          <w:p w14:paraId="5282D307">
            <w:pPr>
              <w:jc w:val="center"/>
              <w:rPr>
                <w:rFonts w:ascii="Times New Roman" w:hAnsi="Times New Roman"/>
                <w:color w:val="auto"/>
                <w:szCs w:val="21"/>
                <w:highlight w:val="none"/>
              </w:rPr>
            </w:pPr>
            <w:r>
              <w:rPr>
                <w:rFonts w:ascii="Times New Roman" w:hAnsi="Times New Roman"/>
                <w:color w:val="auto"/>
                <w:szCs w:val="21"/>
                <w:highlight w:val="none"/>
              </w:rPr>
              <w:t>固体废物</w:t>
            </w:r>
          </w:p>
        </w:tc>
        <w:tc>
          <w:tcPr>
            <w:tcW w:w="4496" w:type="dxa"/>
            <w:gridSpan w:val="2"/>
            <w:noWrap/>
            <w:vAlign w:val="center"/>
          </w:tcPr>
          <w:p w14:paraId="132DFAA7">
            <w:pPr>
              <w:jc w:val="center"/>
              <w:rPr>
                <w:rFonts w:ascii="Times New Roman" w:hAnsi="Times New Roman"/>
                <w:color w:val="auto"/>
                <w:szCs w:val="21"/>
                <w:highlight w:val="none"/>
              </w:rPr>
            </w:pPr>
            <w:r>
              <w:rPr>
                <w:rFonts w:ascii="Times New Roman" w:hAnsi="Times New Roman"/>
                <w:color w:val="auto"/>
                <w:szCs w:val="21"/>
                <w:highlight w:val="none"/>
              </w:rPr>
              <w:t>施工结束后，开挖的土方后期回覆；</w:t>
            </w:r>
            <w:r>
              <w:rPr>
                <w:rFonts w:hint="eastAsia" w:ascii="Times New Roman" w:hAnsi="Times New Roman"/>
                <w:color w:val="auto"/>
                <w:szCs w:val="21"/>
                <w:highlight w:val="none"/>
                <w:lang w:val="en-US" w:eastAsia="zh-CN"/>
              </w:rPr>
              <w:t>钻井泥浆</w:t>
            </w:r>
            <w:r>
              <w:rPr>
                <w:rFonts w:ascii="Times New Roman" w:hAnsi="Times New Roman"/>
                <w:color w:val="auto"/>
                <w:szCs w:val="21"/>
                <w:highlight w:val="none"/>
              </w:rPr>
              <w:t>暂存于废浆干化池中，待钻井结束后投加泥浆固化剂</w:t>
            </w:r>
            <w:r>
              <w:rPr>
                <w:rFonts w:hint="eastAsia" w:ascii="Times New Roman" w:hAnsi="Times New Roman"/>
                <w:color w:val="auto"/>
                <w:szCs w:val="21"/>
                <w:highlight w:val="none"/>
                <w:lang w:eastAsia="zh-CN"/>
              </w:rPr>
              <w:t>固化后作为建筑材料外售</w:t>
            </w:r>
            <w:r>
              <w:rPr>
                <w:rFonts w:ascii="Times New Roman" w:hAnsi="Times New Roman"/>
                <w:color w:val="auto"/>
                <w:szCs w:val="21"/>
                <w:highlight w:val="none"/>
              </w:rPr>
              <w:t>；</w:t>
            </w:r>
            <w:r>
              <w:rPr>
                <w:rFonts w:hint="eastAsia" w:ascii="Times New Roman" w:hAnsi="Times New Roman"/>
                <w:color w:val="auto"/>
                <w:szCs w:val="21"/>
                <w:highlight w:val="none"/>
                <w:lang w:eastAsia="zh-CN"/>
              </w:rPr>
              <w:t>岩芯碎屑</w:t>
            </w:r>
            <w:r>
              <w:rPr>
                <w:rFonts w:hint="eastAsia" w:ascii="Times New Roman" w:hAnsi="Times New Roman"/>
                <w:color w:val="auto"/>
                <w:szCs w:val="21"/>
                <w:highlight w:val="none"/>
                <w:lang w:val="en-US" w:eastAsia="zh-CN"/>
              </w:rPr>
              <w:t>委托建材单位回收处置</w:t>
            </w:r>
            <w:r>
              <w:rPr>
                <w:rFonts w:ascii="Times New Roman" w:hAnsi="Times New Roman"/>
                <w:color w:val="auto"/>
                <w:szCs w:val="21"/>
                <w:highlight w:val="none"/>
              </w:rPr>
              <w:t>；废包装材料集中收集后外售处理。废润滑油、废润滑油桶</w:t>
            </w:r>
            <w:r>
              <w:rPr>
                <w:rFonts w:hint="eastAsia" w:ascii="Times New Roman" w:hAnsi="Times New Roman"/>
                <w:color w:val="auto"/>
                <w:szCs w:val="21"/>
                <w:highlight w:val="none"/>
              </w:rPr>
              <w:t>、</w:t>
            </w:r>
            <w:r>
              <w:rPr>
                <w:rFonts w:ascii="Times New Roman" w:hAnsi="Times New Roman"/>
                <w:color w:val="auto"/>
                <w:szCs w:val="21"/>
                <w:highlight w:val="none"/>
              </w:rPr>
              <w:t>废含油抹布和废含油手套属于危险废物，</w:t>
            </w:r>
            <w:r>
              <w:rPr>
                <w:rFonts w:hint="eastAsia" w:ascii="Times New Roman" w:hAnsi="Times New Roman"/>
                <w:color w:val="auto"/>
                <w:szCs w:val="21"/>
                <w:highlight w:val="none"/>
                <w:lang w:val="en-US" w:eastAsia="zh-CN"/>
              </w:rPr>
              <w:t>暂存于各个井场内</w:t>
            </w:r>
            <w:r>
              <w:rPr>
                <w:rFonts w:hint="eastAsia" w:ascii="Times New Roman" w:hAnsi="Times New Roman"/>
                <w:color w:val="auto"/>
                <w:szCs w:val="21"/>
                <w:highlight w:val="none"/>
              </w:rPr>
              <w:t>危废暂存间，</w:t>
            </w:r>
            <w:r>
              <w:rPr>
                <w:rFonts w:ascii="Times New Roman" w:hAnsi="Times New Roman"/>
                <w:color w:val="auto"/>
                <w:szCs w:val="21"/>
                <w:highlight w:val="none"/>
              </w:rPr>
              <w:t>交由有资质单位处置。生活垃圾委托环卫部门</w:t>
            </w:r>
            <w:r>
              <w:rPr>
                <w:rFonts w:hint="eastAsia" w:ascii="Times New Roman" w:hAnsi="Times New Roman"/>
                <w:color w:val="auto"/>
                <w:szCs w:val="21"/>
                <w:highlight w:val="none"/>
              </w:rPr>
              <w:t>统一清运。</w:t>
            </w:r>
          </w:p>
        </w:tc>
        <w:tc>
          <w:tcPr>
            <w:tcW w:w="1174" w:type="dxa"/>
            <w:noWrap/>
            <w:vAlign w:val="center"/>
          </w:tcPr>
          <w:p w14:paraId="07302A1A">
            <w:pPr>
              <w:jc w:val="center"/>
              <w:rPr>
                <w:rFonts w:ascii="Times New Roman" w:hAnsi="Times New Roman"/>
                <w:color w:val="auto"/>
                <w:szCs w:val="21"/>
                <w:highlight w:val="none"/>
              </w:rPr>
            </w:pPr>
            <w:r>
              <w:rPr>
                <w:rFonts w:ascii="Times New Roman" w:hAnsi="Times New Roman"/>
                <w:color w:val="auto"/>
                <w:szCs w:val="21"/>
                <w:highlight w:val="none"/>
              </w:rPr>
              <w:t>处置率100%，符合环境卫生及环境保护管理要求</w:t>
            </w:r>
          </w:p>
        </w:tc>
        <w:tc>
          <w:tcPr>
            <w:tcW w:w="852" w:type="dxa"/>
            <w:noWrap/>
            <w:vAlign w:val="center"/>
          </w:tcPr>
          <w:p w14:paraId="1C611FCE">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38D55EE1">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331BD2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43" w:type="dxa"/>
            <w:noWrap/>
            <w:vAlign w:val="center"/>
          </w:tcPr>
          <w:p w14:paraId="396EED63">
            <w:pPr>
              <w:jc w:val="center"/>
              <w:rPr>
                <w:rFonts w:ascii="Times New Roman" w:hAnsi="Times New Roman"/>
                <w:color w:val="auto"/>
                <w:szCs w:val="21"/>
                <w:highlight w:val="none"/>
              </w:rPr>
            </w:pPr>
            <w:r>
              <w:rPr>
                <w:rFonts w:ascii="Times New Roman" w:hAnsi="Times New Roman"/>
                <w:color w:val="auto"/>
                <w:szCs w:val="21"/>
                <w:highlight w:val="none"/>
              </w:rPr>
              <w:t>电磁环境</w:t>
            </w:r>
          </w:p>
        </w:tc>
        <w:tc>
          <w:tcPr>
            <w:tcW w:w="4496" w:type="dxa"/>
            <w:gridSpan w:val="2"/>
            <w:noWrap/>
            <w:vAlign w:val="center"/>
          </w:tcPr>
          <w:p w14:paraId="4C345519">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1174" w:type="dxa"/>
            <w:noWrap/>
            <w:vAlign w:val="center"/>
          </w:tcPr>
          <w:p w14:paraId="0A860B8F">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852" w:type="dxa"/>
            <w:noWrap/>
            <w:vAlign w:val="center"/>
          </w:tcPr>
          <w:p w14:paraId="1DF0EC7D">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6B1D2B53">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75699F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ign w:val="center"/>
          </w:tcPr>
          <w:p w14:paraId="259AB59F">
            <w:pPr>
              <w:jc w:val="center"/>
              <w:rPr>
                <w:rFonts w:ascii="Times New Roman" w:hAnsi="Times New Roman"/>
                <w:color w:val="auto"/>
                <w:szCs w:val="21"/>
                <w:highlight w:val="none"/>
              </w:rPr>
            </w:pPr>
            <w:r>
              <w:rPr>
                <w:rFonts w:ascii="Times New Roman" w:hAnsi="Times New Roman"/>
                <w:color w:val="auto"/>
                <w:szCs w:val="21"/>
                <w:highlight w:val="none"/>
              </w:rPr>
              <w:t>环境风险</w:t>
            </w:r>
          </w:p>
        </w:tc>
        <w:tc>
          <w:tcPr>
            <w:tcW w:w="4496" w:type="dxa"/>
            <w:gridSpan w:val="2"/>
            <w:noWrap/>
            <w:vAlign w:val="center"/>
          </w:tcPr>
          <w:p w14:paraId="01B1C8C9">
            <w:pPr>
              <w:jc w:val="center"/>
              <w:rPr>
                <w:rFonts w:ascii="Times New Roman" w:hAnsi="Times New Roman"/>
                <w:color w:val="auto"/>
                <w:szCs w:val="21"/>
                <w:highlight w:val="none"/>
              </w:rPr>
            </w:pPr>
            <w:r>
              <w:rPr>
                <w:rFonts w:ascii="Times New Roman" w:hAnsi="Times New Roman"/>
                <w:color w:val="auto"/>
                <w:szCs w:val="21"/>
                <w:highlight w:val="none"/>
              </w:rPr>
              <w:t>防止泥浆水外溢，设置必要的护坡等，加强巡视、检查和日常宣传</w:t>
            </w:r>
          </w:p>
        </w:tc>
        <w:tc>
          <w:tcPr>
            <w:tcW w:w="1174" w:type="dxa"/>
            <w:noWrap/>
            <w:vAlign w:val="center"/>
          </w:tcPr>
          <w:p w14:paraId="43519F87">
            <w:pPr>
              <w:jc w:val="center"/>
              <w:rPr>
                <w:rFonts w:ascii="Times New Roman" w:hAnsi="Times New Roman"/>
                <w:color w:val="auto"/>
                <w:szCs w:val="21"/>
                <w:highlight w:val="none"/>
              </w:rPr>
            </w:pPr>
            <w:r>
              <w:rPr>
                <w:rFonts w:ascii="Times New Roman" w:hAnsi="Times New Roman"/>
                <w:color w:val="auto"/>
                <w:szCs w:val="21"/>
                <w:highlight w:val="none"/>
              </w:rPr>
              <w:t>不发生环境风险事故</w:t>
            </w:r>
          </w:p>
        </w:tc>
        <w:tc>
          <w:tcPr>
            <w:tcW w:w="852" w:type="dxa"/>
            <w:noWrap/>
            <w:vAlign w:val="center"/>
          </w:tcPr>
          <w:p w14:paraId="1ECEC752">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01C035DF">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331C89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ign w:val="center"/>
          </w:tcPr>
          <w:p w14:paraId="6D51372A">
            <w:pPr>
              <w:jc w:val="center"/>
              <w:rPr>
                <w:rFonts w:ascii="Times New Roman" w:hAnsi="Times New Roman"/>
                <w:color w:val="auto"/>
                <w:szCs w:val="21"/>
                <w:highlight w:val="none"/>
              </w:rPr>
            </w:pPr>
            <w:r>
              <w:rPr>
                <w:rFonts w:ascii="Times New Roman" w:hAnsi="Times New Roman"/>
                <w:color w:val="auto"/>
                <w:szCs w:val="21"/>
                <w:highlight w:val="none"/>
              </w:rPr>
              <w:t>环境监测</w:t>
            </w:r>
          </w:p>
        </w:tc>
        <w:tc>
          <w:tcPr>
            <w:tcW w:w="4496" w:type="dxa"/>
            <w:gridSpan w:val="2"/>
            <w:noWrap/>
            <w:vAlign w:val="center"/>
          </w:tcPr>
          <w:p w14:paraId="068150BE">
            <w:pPr>
              <w:jc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w:t>
            </w:r>
          </w:p>
        </w:tc>
        <w:tc>
          <w:tcPr>
            <w:tcW w:w="1174" w:type="dxa"/>
            <w:noWrap/>
            <w:vAlign w:val="center"/>
          </w:tcPr>
          <w:p w14:paraId="0A1AEACC">
            <w:pPr>
              <w:jc w:val="center"/>
              <w:rPr>
                <w:rFonts w:hint="eastAsia" w:ascii="Times New Roman" w:hAnsi="Times New Roman" w:eastAsia="宋体"/>
                <w:color w:val="auto"/>
                <w:szCs w:val="21"/>
                <w:highlight w:val="none"/>
                <w:lang w:eastAsia="zh-CN"/>
              </w:rPr>
            </w:pPr>
            <w:r>
              <w:rPr>
                <w:rFonts w:hint="eastAsia" w:ascii="Times New Roman" w:hAnsi="Times New Roman"/>
                <w:color w:val="auto"/>
                <w:highlight w:val="none"/>
                <w:lang w:val="en-US" w:eastAsia="zh-CN"/>
              </w:rPr>
              <w:t>/</w:t>
            </w:r>
          </w:p>
        </w:tc>
        <w:tc>
          <w:tcPr>
            <w:tcW w:w="852" w:type="dxa"/>
            <w:noWrap/>
            <w:vAlign w:val="center"/>
          </w:tcPr>
          <w:p w14:paraId="658C7E4B">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63583386">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219FA5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243" w:type="dxa"/>
            <w:noWrap/>
            <w:vAlign w:val="center"/>
          </w:tcPr>
          <w:p w14:paraId="33DF0B7D">
            <w:pPr>
              <w:jc w:val="center"/>
              <w:rPr>
                <w:rFonts w:ascii="Times New Roman" w:hAnsi="Times New Roman"/>
                <w:color w:val="auto"/>
                <w:szCs w:val="21"/>
                <w:highlight w:val="none"/>
              </w:rPr>
            </w:pPr>
            <w:r>
              <w:rPr>
                <w:rFonts w:ascii="Times New Roman" w:hAnsi="Times New Roman"/>
                <w:color w:val="auto"/>
                <w:szCs w:val="21"/>
                <w:highlight w:val="none"/>
              </w:rPr>
              <w:t>其他</w:t>
            </w:r>
          </w:p>
        </w:tc>
        <w:tc>
          <w:tcPr>
            <w:tcW w:w="4496" w:type="dxa"/>
            <w:gridSpan w:val="2"/>
            <w:noWrap/>
            <w:vAlign w:val="center"/>
          </w:tcPr>
          <w:p w14:paraId="30A9B53B">
            <w:pPr>
              <w:jc w:val="center"/>
              <w:rPr>
                <w:rFonts w:ascii="Times New Roman" w:hAnsi="Times New Roman"/>
                <w:color w:val="auto"/>
                <w:szCs w:val="21"/>
                <w:highlight w:val="none"/>
              </w:rPr>
            </w:pPr>
            <w:r>
              <w:rPr>
                <w:rFonts w:ascii="Times New Roman" w:hAnsi="Times New Roman"/>
                <w:color w:val="auto"/>
                <w:szCs w:val="21"/>
                <w:highlight w:val="none"/>
              </w:rPr>
              <w:t>设专人负责监督施工单位在施工过程中的环境保护工作，同时监督施工单位落实环境保护措施</w:t>
            </w:r>
          </w:p>
        </w:tc>
        <w:tc>
          <w:tcPr>
            <w:tcW w:w="1174" w:type="dxa"/>
            <w:noWrap/>
            <w:vAlign w:val="center"/>
          </w:tcPr>
          <w:p w14:paraId="3F5EB60C">
            <w:pPr>
              <w:jc w:val="center"/>
              <w:rPr>
                <w:rFonts w:ascii="Times New Roman" w:hAnsi="Times New Roman"/>
                <w:color w:val="auto"/>
                <w:szCs w:val="21"/>
                <w:highlight w:val="none"/>
              </w:rPr>
            </w:pPr>
            <w:r>
              <w:rPr>
                <w:rFonts w:ascii="Times New Roman" w:hAnsi="Times New Roman"/>
                <w:color w:val="auto"/>
                <w:szCs w:val="21"/>
                <w:highlight w:val="none"/>
              </w:rPr>
              <w:t>监理日志存档可查</w:t>
            </w:r>
          </w:p>
        </w:tc>
        <w:tc>
          <w:tcPr>
            <w:tcW w:w="852" w:type="dxa"/>
            <w:noWrap/>
            <w:vAlign w:val="center"/>
          </w:tcPr>
          <w:p w14:paraId="4E72E7A7">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47532FDF">
            <w:pPr>
              <w:jc w:val="center"/>
              <w:rPr>
                <w:rFonts w:ascii="Times New Roman" w:hAnsi="Times New Roman"/>
                <w:color w:val="auto"/>
                <w:szCs w:val="21"/>
                <w:highlight w:val="none"/>
              </w:rPr>
            </w:pPr>
            <w:r>
              <w:rPr>
                <w:rFonts w:ascii="Times New Roman" w:hAnsi="Times New Roman"/>
                <w:color w:val="auto"/>
                <w:szCs w:val="21"/>
                <w:highlight w:val="none"/>
              </w:rPr>
              <w:t>/</w:t>
            </w:r>
          </w:p>
        </w:tc>
      </w:tr>
    </w:tbl>
    <w:p w14:paraId="6B5027A2">
      <w:pPr>
        <w:bidi w:val="0"/>
        <w:rPr>
          <w:color w:val="auto"/>
        </w:rPr>
      </w:pPr>
    </w:p>
    <w:p w14:paraId="5CF76D0C">
      <w:pPr>
        <w:bidi w:val="0"/>
        <w:rPr>
          <w:color w:val="auto"/>
        </w:rPr>
      </w:pPr>
      <w:r>
        <w:rPr>
          <w:color w:val="auto"/>
        </w:rPr>
        <w:br w:type="page"/>
      </w:r>
    </w:p>
    <w:p w14:paraId="14139004">
      <w:pPr>
        <w:pStyle w:val="19"/>
        <w:spacing w:before="192" w:beforeLines="80" w:beforeAutospacing="0"/>
        <w:jc w:val="center"/>
        <w:outlineLvl w:val="0"/>
        <w:rPr>
          <w:rFonts w:ascii="Times New Roman" w:hAnsi="Times New Roman" w:eastAsia="黑体"/>
          <w:snapToGrid w:val="0"/>
          <w:color w:val="auto"/>
          <w:sz w:val="30"/>
          <w:szCs w:val="30"/>
        </w:rPr>
      </w:pPr>
      <w:bookmarkStart w:id="19" w:name="_Toc31666"/>
      <w:r>
        <w:rPr>
          <w:rFonts w:ascii="Times New Roman" w:hAnsi="Times New Roman" w:eastAsia="黑体"/>
          <w:snapToGrid w:val="0"/>
          <w:color w:val="auto"/>
          <w:sz w:val="30"/>
          <w:szCs w:val="30"/>
        </w:rPr>
        <w:t>七、结论</w:t>
      </w:r>
      <w:bookmarkEnd w:id="19"/>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14"/>
      </w:tblGrid>
      <w:tr w14:paraId="49E1F2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trPr>
        <w:tc>
          <w:tcPr>
            <w:tcW w:w="8714" w:type="dxa"/>
            <w:noWrap w:val="0"/>
            <w:vAlign w:val="top"/>
          </w:tcPr>
          <w:p w14:paraId="54BC3EC5">
            <w:pPr>
              <w:spacing w:line="360" w:lineRule="auto"/>
              <w:ind w:firstLine="482"/>
              <w:rPr>
                <w:rFonts w:ascii="Times New Roman" w:hAnsi="Times New Roman"/>
                <w:color w:val="auto"/>
                <w:szCs w:val="21"/>
              </w:rPr>
            </w:pPr>
            <w:r>
              <w:rPr>
                <w:rFonts w:ascii="Times New Roman" w:hAnsi="Times New Roman"/>
                <w:b w:val="0"/>
                <w:bCs w:val="0"/>
                <w:color w:val="auto"/>
                <w:sz w:val="24"/>
              </w:rPr>
              <w:t>综上所述，中安联合煤化有限责任公司</w:t>
            </w:r>
            <w:r>
              <w:rPr>
                <w:rFonts w:hint="eastAsia" w:ascii="Times New Roman" w:hAnsi="Times New Roman"/>
                <w:b w:val="0"/>
                <w:bCs w:val="0"/>
                <w:color w:val="auto"/>
                <w:sz w:val="24"/>
                <w:lang w:eastAsia="zh-CN"/>
              </w:rPr>
              <w:t>“朱集西煤矿盾构机探查钻孔项目”</w:t>
            </w:r>
            <w:r>
              <w:rPr>
                <w:rFonts w:ascii="Times New Roman" w:hAnsi="Times New Roman"/>
                <w:b w:val="0"/>
                <w:bCs w:val="0"/>
                <w:color w:val="auto"/>
                <w:sz w:val="24"/>
              </w:rPr>
              <w:t>项目建设符合相关产业政策的要求，选址符合相关规划要求，选址合理，采取的各项污染防治措施可行，能够实现达标排放和总量控制要求，对环境影响较小。只要认真落实报告表提出的各项污染防治措施，从环保角度来看，该项目建设是可行的。</w:t>
            </w:r>
          </w:p>
        </w:tc>
      </w:tr>
    </w:tbl>
    <w:p w14:paraId="7C77FF40">
      <w:pPr>
        <w:rPr>
          <w:color w:val="auto"/>
        </w:rPr>
      </w:pPr>
    </w:p>
    <w:sectPr>
      <w:pgSz w:w="11906" w:h="16838"/>
      <w:pgMar w:top="1440" w:right="1800" w:bottom="1440" w:left="1800" w:header="851" w:footer="1077"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43"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CF3C50" w:usb2="00000016" w:usb3="00000000" w:csb0="0004001F"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Microsoft Uighur">
    <w:panose1 w:val="02000000000000000000"/>
    <w:charset w:val="00"/>
    <w:family w:val="auto"/>
    <w:pitch w:val="default"/>
    <w:sig w:usb0="80002023" w:usb1="80000002" w:usb2="00000008" w:usb3="00000000" w:csb0="0000004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MS PGothic">
    <w:panose1 w:val="020B0600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F593A">
    <w:pPr>
      <w:pStyle w:val="1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15F5C">
    <w:pPr>
      <w:pStyle w:val="14"/>
      <w:framePr w:wrap="around" w:vAnchor="text" w:hAnchor="margin" w:xAlign="outside" w:y="1"/>
      <w:rPr>
        <w:rStyle w:val="23"/>
      </w:rPr>
    </w:pPr>
    <w:r>
      <w:fldChar w:fldCharType="begin"/>
    </w:r>
    <w:r>
      <w:rPr>
        <w:rStyle w:val="23"/>
      </w:rPr>
      <w:instrText xml:space="preserve">PAGE  </w:instrText>
    </w:r>
    <w:r>
      <w:fldChar w:fldCharType="end"/>
    </w:r>
  </w:p>
  <w:p w14:paraId="69F03E0F">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E0B29">
    <w:pPr>
      <w:pStyle w:val="14"/>
      <w:snapToGri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B7600">
    <w:pPr>
      <w:pStyle w:val="14"/>
      <w:snapToGrid/>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1F149FD">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14:paraId="11F149FD">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7B6817"/>
    <w:multiLevelType w:val="singleLevel"/>
    <w:tmpl w:val="A97B6817"/>
    <w:lvl w:ilvl="0" w:tentative="0">
      <w:start w:val="2"/>
      <w:numFmt w:val="decimal"/>
      <w:suff w:val="nothing"/>
      <w:lvlText w:val="（%1）"/>
      <w:lvlJc w:val="left"/>
    </w:lvl>
  </w:abstractNum>
  <w:abstractNum w:abstractNumId="1">
    <w:nsid w:val="CD2B83F4"/>
    <w:multiLevelType w:val="singleLevel"/>
    <w:tmpl w:val="CD2B83F4"/>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A64C4"/>
    <w:rsid w:val="00417EF4"/>
    <w:rsid w:val="006360BD"/>
    <w:rsid w:val="00FC3E1B"/>
    <w:rsid w:val="010549E3"/>
    <w:rsid w:val="010A6538"/>
    <w:rsid w:val="01E94899"/>
    <w:rsid w:val="0200793B"/>
    <w:rsid w:val="028C11CF"/>
    <w:rsid w:val="02EB4148"/>
    <w:rsid w:val="03247659"/>
    <w:rsid w:val="035A307B"/>
    <w:rsid w:val="036D3BE0"/>
    <w:rsid w:val="039C3694"/>
    <w:rsid w:val="03B44E81"/>
    <w:rsid w:val="03E868D9"/>
    <w:rsid w:val="043A35D9"/>
    <w:rsid w:val="045320D8"/>
    <w:rsid w:val="049C0645"/>
    <w:rsid w:val="04CA4DE0"/>
    <w:rsid w:val="04CC1D57"/>
    <w:rsid w:val="05137986"/>
    <w:rsid w:val="051F1C74"/>
    <w:rsid w:val="052D4EEB"/>
    <w:rsid w:val="056F1060"/>
    <w:rsid w:val="05777F14"/>
    <w:rsid w:val="05FE23E4"/>
    <w:rsid w:val="062818A1"/>
    <w:rsid w:val="067803E8"/>
    <w:rsid w:val="06E3363B"/>
    <w:rsid w:val="07140111"/>
    <w:rsid w:val="071579E5"/>
    <w:rsid w:val="071F6AB6"/>
    <w:rsid w:val="072916E2"/>
    <w:rsid w:val="07630750"/>
    <w:rsid w:val="07A31BFC"/>
    <w:rsid w:val="07EA0E72"/>
    <w:rsid w:val="07FB495C"/>
    <w:rsid w:val="080F49BC"/>
    <w:rsid w:val="082D4AC6"/>
    <w:rsid w:val="08591B53"/>
    <w:rsid w:val="08BC0A60"/>
    <w:rsid w:val="08D35DAA"/>
    <w:rsid w:val="08E51639"/>
    <w:rsid w:val="090C4789"/>
    <w:rsid w:val="095A3DD5"/>
    <w:rsid w:val="09D27E0F"/>
    <w:rsid w:val="09FC4E8C"/>
    <w:rsid w:val="0A2E773B"/>
    <w:rsid w:val="0A2F0DBE"/>
    <w:rsid w:val="0A634F0B"/>
    <w:rsid w:val="0ABA06D3"/>
    <w:rsid w:val="0AF838A6"/>
    <w:rsid w:val="0B1D50BA"/>
    <w:rsid w:val="0BA8707A"/>
    <w:rsid w:val="0C211877"/>
    <w:rsid w:val="0CDD2D53"/>
    <w:rsid w:val="0D573E51"/>
    <w:rsid w:val="0D755681"/>
    <w:rsid w:val="0DE2712C"/>
    <w:rsid w:val="0DFF4482"/>
    <w:rsid w:val="0E15651D"/>
    <w:rsid w:val="0E207C40"/>
    <w:rsid w:val="0E910299"/>
    <w:rsid w:val="0EF75F24"/>
    <w:rsid w:val="0F152C78"/>
    <w:rsid w:val="0F4E7F38"/>
    <w:rsid w:val="0F694D72"/>
    <w:rsid w:val="0F7E719F"/>
    <w:rsid w:val="0F842885"/>
    <w:rsid w:val="10036F74"/>
    <w:rsid w:val="100D48FD"/>
    <w:rsid w:val="10394744"/>
    <w:rsid w:val="10622309"/>
    <w:rsid w:val="10961B97"/>
    <w:rsid w:val="10EA1EE2"/>
    <w:rsid w:val="10EC7A09"/>
    <w:rsid w:val="1180569B"/>
    <w:rsid w:val="11B5604C"/>
    <w:rsid w:val="12413D84"/>
    <w:rsid w:val="1272218F"/>
    <w:rsid w:val="12BD7227"/>
    <w:rsid w:val="12BE53D5"/>
    <w:rsid w:val="1330745F"/>
    <w:rsid w:val="13AA4928"/>
    <w:rsid w:val="14F11A91"/>
    <w:rsid w:val="15270331"/>
    <w:rsid w:val="15347BD0"/>
    <w:rsid w:val="1550037A"/>
    <w:rsid w:val="15553262"/>
    <w:rsid w:val="156404B5"/>
    <w:rsid w:val="158346B4"/>
    <w:rsid w:val="15EC4007"/>
    <w:rsid w:val="16DC407B"/>
    <w:rsid w:val="16FB7157"/>
    <w:rsid w:val="174F11DA"/>
    <w:rsid w:val="175D340E"/>
    <w:rsid w:val="17620A24"/>
    <w:rsid w:val="17C03A07"/>
    <w:rsid w:val="17D42FA4"/>
    <w:rsid w:val="17EB6A4A"/>
    <w:rsid w:val="185D2255"/>
    <w:rsid w:val="18736C61"/>
    <w:rsid w:val="187A1186"/>
    <w:rsid w:val="18950986"/>
    <w:rsid w:val="18AE1A47"/>
    <w:rsid w:val="190A3EBD"/>
    <w:rsid w:val="190C3911"/>
    <w:rsid w:val="1961582B"/>
    <w:rsid w:val="19FC2285"/>
    <w:rsid w:val="1A664C6F"/>
    <w:rsid w:val="1B356450"/>
    <w:rsid w:val="1B7C5E2D"/>
    <w:rsid w:val="1B8B5F08"/>
    <w:rsid w:val="1B8D0F31"/>
    <w:rsid w:val="1BD13B82"/>
    <w:rsid w:val="1BD96DDB"/>
    <w:rsid w:val="1BF41E67"/>
    <w:rsid w:val="1BF63E31"/>
    <w:rsid w:val="1BFF6E65"/>
    <w:rsid w:val="1C1222ED"/>
    <w:rsid w:val="1C623275"/>
    <w:rsid w:val="1D061E52"/>
    <w:rsid w:val="1D0F031C"/>
    <w:rsid w:val="1D3A6632"/>
    <w:rsid w:val="1D923082"/>
    <w:rsid w:val="1DF42DFE"/>
    <w:rsid w:val="1E01086B"/>
    <w:rsid w:val="1E1E766F"/>
    <w:rsid w:val="1E2A1B70"/>
    <w:rsid w:val="1E5E59AA"/>
    <w:rsid w:val="1E832EA2"/>
    <w:rsid w:val="1EE53CE9"/>
    <w:rsid w:val="1F664E2A"/>
    <w:rsid w:val="1F763715"/>
    <w:rsid w:val="1F867A4D"/>
    <w:rsid w:val="201721F5"/>
    <w:rsid w:val="203D202F"/>
    <w:rsid w:val="20831A0C"/>
    <w:rsid w:val="20A25B7C"/>
    <w:rsid w:val="219739C1"/>
    <w:rsid w:val="21EE387E"/>
    <w:rsid w:val="21FE134A"/>
    <w:rsid w:val="220C3579"/>
    <w:rsid w:val="220F79FB"/>
    <w:rsid w:val="223A6964"/>
    <w:rsid w:val="22EC1AEA"/>
    <w:rsid w:val="232F735E"/>
    <w:rsid w:val="233F61BF"/>
    <w:rsid w:val="23927CFF"/>
    <w:rsid w:val="23983A20"/>
    <w:rsid w:val="23EB7FF4"/>
    <w:rsid w:val="23F93B71"/>
    <w:rsid w:val="23FA766F"/>
    <w:rsid w:val="242B6642"/>
    <w:rsid w:val="24412260"/>
    <w:rsid w:val="249E0BC2"/>
    <w:rsid w:val="24BE3012"/>
    <w:rsid w:val="250849CF"/>
    <w:rsid w:val="25096983"/>
    <w:rsid w:val="250E4686"/>
    <w:rsid w:val="252D58FD"/>
    <w:rsid w:val="259118C9"/>
    <w:rsid w:val="261F21D6"/>
    <w:rsid w:val="2641214D"/>
    <w:rsid w:val="272E0923"/>
    <w:rsid w:val="2769195B"/>
    <w:rsid w:val="27A961FC"/>
    <w:rsid w:val="27B0758A"/>
    <w:rsid w:val="27C32B0E"/>
    <w:rsid w:val="27D235F6"/>
    <w:rsid w:val="27F21AE8"/>
    <w:rsid w:val="27F232D9"/>
    <w:rsid w:val="282C2A86"/>
    <w:rsid w:val="283F26BC"/>
    <w:rsid w:val="287A1946"/>
    <w:rsid w:val="28A91BE3"/>
    <w:rsid w:val="29001E4B"/>
    <w:rsid w:val="290D4568"/>
    <w:rsid w:val="291B0A33"/>
    <w:rsid w:val="29385A89"/>
    <w:rsid w:val="29656152"/>
    <w:rsid w:val="29A50C45"/>
    <w:rsid w:val="29A814A5"/>
    <w:rsid w:val="29FD282F"/>
    <w:rsid w:val="29FF0355"/>
    <w:rsid w:val="2A810D6A"/>
    <w:rsid w:val="2AD57308"/>
    <w:rsid w:val="2B0760E4"/>
    <w:rsid w:val="2B162FF4"/>
    <w:rsid w:val="2B6E6B82"/>
    <w:rsid w:val="2B6F6AC9"/>
    <w:rsid w:val="2BB46F1D"/>
    <w:rsid w:val="2BC37160"/>
    <w:rsid w:val="2C077995"/>
    <w:rsid w:val="2C3C359D"/>
    <w:rsid w:val="2C55559C"/>
    <w:rsid w:val="2C626979"/>
    <w:rsid w:val="2C731A45"/>
    <w:rsid w:val="2CBC252D"/>
    <w:rsid w:val="2CE23E3F"/>
    <w:rsid w:val="2CEB299B"/>
    <w:rsid w:val="2CEF608D"/>
    <w:rsid w:val="2D483DC1"/>
    <w:rsid w:val="2D4B705C"/>
    <w:rsid w:val="2E75231F"/>
    <w:rsid w:val="2E960B5C"/>
    <w:rsid w:val="2EA62AFB"/>
    <w:rsid w:val="2F146650"/>
    <w:rsid w:val="2F205CC5"/>
    <w:rsid w:val="2F8530AA"/>
    <w:rsid w:val="2FAF0127"/>
    <w:rsid w:val="2FD44032"/>
    <w:rsid w:val="2FF53CFF"/>
    <w:rsid w:val="30201025"/>
    <w:rsid w:val="30772A7B"/>
    <w:rsid w:val="30A864F4"/>
    <w:rsid w:val="30AE4CCA"/>
    <w:rsid w:val="30D91B27"/>
    <w:rsid w:val="30E25BAB"/>
    <w:rsid w:val="30E65DCB"/>
    <w:rsid w:val="31232B7B"/>
    <w:rsid w:val="31286F6B"/>
    <w:rsid w:val="31333A07"/>
    <w:rsid w:val="31550A3E"/>
    <w:rsid w:val="3163741B"/>
    <w:rsid w:val="316B2774"/>
    <w:rsid w:val="31CB78C4"/>
    <w:rsid w:val="32230959"/>
    <w:rsid w:val="32BF4FDB"/>
    <w:rsid w:val="33260700"/>
    <w:rsid w:val="3341378C"/>
    <w:rsid w:val="3344327C"/>
    <w:rsid w:val="33457039"/>
    <w:rsid w:val="3381002D"/>
    <w:rsid w:val="33846DE1"/>
    <w:rsid w:val="339C09C3"/>
    <w:rsid w:val="33A04957"/>
    <w:rsid w:val="33A1302F"/>
    <w:rsid w:val="33BF2BC8"/>
    <w:rsid w:val="33F00D0E"/>
    <w:rsid w:val="344A5496"/>
    <w:rsid w:val="345D45F6"/>
    <w:rsid w:val="346076B1"/>
    <w:rsid w:val="34781430"/>
    <w:rsid w:val="34BB756E"/>
    <w:rsid w:val="34FD3602"/>
    <w:rsid w:val="35213875"/>
    <w:rsid w:val="35411821"/>
    <w:rsid w:val="3578720D"/>
    <w:rsid w:val="35A4333B"/>
    <w:rsid w:val="361E7DB5"/>
    <w:rsid w:val="363B2715"/>
    <w:rsid w:val="36BD75CE"/>
    <w:rsid w:val="36DB5CA6"/>
    <w:rsid w:val="36F4363E"/>
    <w:rsid w:val="37397F6D"/>
    <w:rsid w:val="375F0685"/>
    <w:rsid w:val="37600FC5"/>
    <w:rsid w:val="3786033A"/>
    <w:rsid w:val="37964C14"/>
    <w:rsid w:val="37B81C9C"/>
    <w:rsid w:val="37C60704"/>
    <w:rsid w:val="37D72DD1"/>
    <w:rsid w:val="37EE05E4"/>
    <w:rsid w:val="37F708BD"/>
    <w:rsid w:val="37FB12D6"/>
    <w:rsid w:val="37FD7071"/>
    <w:rsid w:val="380D00E1"/>
    <w:rsid w:val="38685317"/>
    <w:rsid w:val="38F60B75"/>
    <w:rsid w:val="391C1F89"/>
    <w:rsid w:val="39203309"/>
    <w:rsid w:val="3935166B"/>
    <w:rsid w:val="397F7046"/>
    <w:rsid w:val="3A173CF6"/>
    <w:rsid w:val="3A5D2658"/>
    <w:rsid w:val="3A946897"/>
    <w:rsid w:val="3A960861"/>
    <w:rsid w:val="3AB26D1E"/>
    <w:rsid w:val="3AC34280"/>
    <w:rsid w:val="3AC52430"/>
    <w:rsid w:val="3ACD5CBF"/>
    <w:rsid w:val="3B163750"/>
    <w:rsid w:val="3B31058A"/>
    <w:rsid w:val="3B5C05B6"/>
    <w:rsid w:val="3B673FAC"/>
    <w:rsid w:val="3B9A5D55"/>
    <w:rsid w:val="3BCE7B87"/>
    <w:rsid w:val="3BE64ED1"/>
    <w:rsid w:val="3C0D4B53"/>
    <w:rsid w:val="3C53115E"/>
    <w:rsid w:val="3C6329C5"/>
    <w:rsid w:val="3CA42E02"/>
    <w:rsid w:val="3CAF1767"/>
    <w:rsid w:val="3CC64D02"/>
    <w:rsid w:val="3CE37662"/>
    <w:rsid w:val="3CED04E1"/>
    <w:rsid w:val="3CF1446D"/>
    <w:rsid w:val="3D07190C"/>
    <w:rsid w:val="3D263EE9"/>
    <w:rsid w:val="3DA212CB"/>
    <w:rsid w:val="3DAE7C70"/>
    <w:rsid w:val="3DB54DD9"/>
    <w:rsid w:val="3DC61838"/>
    <w:rsid w:val="3DD31485"/>
    <w:rsid w:val="3DF37D79"/>
    <w:rsid w:val="3ECA4F52"/>
    <w:rsid w:val="3ECB11C6"/>
    <w:rsid w:val="3ED23E32"/>
    <w:rsid w:val="3EF93FA3"/>
    <w:rsid w:val="3F040AF2"/>
    <w:rsid w:val="3F283A52"/>
    <w:rsid w:val="3F9F32B0"/>
    <w:rsid w:val="3FA532F5"/>
    <w:rsid w:val="3FD339BE"/>
    <w:rsid w:val="3FDF4AF7"/>
    <w:rsid w:val="415A3828"/>
    <w:rsid w:val="418D13E5"/>
    <w:rsid w:val="41D35EF7"/>
    <w:rsid w:val="420C67D1"/>
    <w:rsid w:val="42552DB0"/>
    <w:rsid w:val="42EF6D61"/>
    <w:rsid w:val="42F80ECE"/>
    <w:rsid w:val="43916EF7"/>
    <w:rsid w:val="43BF2BD7"/>
    <w:rsid w:val="43C57AC2"/>
    <w:rsid w:val="43FF1225"/>
    <w:rsid w:val="44450930"/>
    <w:rsid w:val="44557097"/>
    <w:rsid w:val="44D6347B"/>
    <w:rsid w:val="450B3BFA"/>
    <w:rsid w:val="454964D0"/>
    <w:rsid w:val="45513D03"/>
    <w:rsid w:val="45BD3146"/>
    <w:rsid w:val="45E230E4"/>
    <w:rsid w:val="45E76415"/>
    <w:rsid w:val="46160AA8"/>
    <w:rsid w:val="462A429C"/>
    <w:rsid w:val="46587D6C"/>
    <w:rsid w:val="46601D24"/>
    <w:rsid w:val="46851C1F"/>
    <w:rsid w:val="469D547F"/>
    <w:rsid w:val="46ED7A5B"/>
    <w:rsid w:val="470A39CF"/>
    <w:rsid w:val="4723522B"/>
    <w:rsid w:val="474033EB"/>
    <w:rsid w:val="4762530A"/>
    <w:rsid w:val="47833F1C"/>
    <w:rsid w:val="47B83278"/>
    <w:rsid w:val="47B9793D"/>
    <w:rsid w:val="47CE30B0"/>
    <w:rsid w:val="47ED5839"/>
    <w:rsid w:val="47F266D9"/>
    <w:rsid w:val="47FD5DF2"/>
    <w:rsid w:val="48180B08"/>
    <w:rsid w:val="484A4A39"/>
    <w:rsid w:val="48621D83"/>
    <w:rsid w:val="48E42798"/>
    <w:rsid w:val="49647D7D"/>
    <w:rsid w:val="497F0713"/>
    <w:rsid w:val="49B371DE"/>
    <w:rsid w:val="4A0F5F3A"/>
    <w:rsid w:val="4A114D9C"/>
    <w:rsid w:val="4A62606A"/>
    <w:rsid w:val="4A673681"/>
    <w:rsid w:val="4A6F4C2B"/>
    <w:rsid w:val="4A857FAB"/>
    <w:rsid w:val="4ADC40E1"/>
    <w:rsid w:val="4B3043BA"/>
    <w:rsid w:val="4BA65DC5"/>
    <w:rsid w:val="4C0D2006"/>
    <w:rsid w:val="4C5639F5"/>
    <w:rsid w:val="4C6A7458"/>
    <w:rsid w:val="4C9E3D41"/>
    <w:rsid w:val="4CD52BD1"/>
    <w:rsid w:val="4CE54D31"/>
    <w:rsid w:val="4D453A21"/>
    <w:rsid w:val="4D5123C6"/>
    <w:rsid w:val="4D826A23"/>
    <w:rsid w:val="4DE374C2"/>
    <w:rsid w:val="4E197388"/>
    <w:rsid w:val="4E636855"/>
    <w:rsid w:val="4E83273B"/>
    <w:rsid w:val="4EE94FAC"/>
    <w:rsid w:val="4F0B3174"/>
    <w:rsid w:val="4F2204BE"/>
    <w:rsid w:val="4F275CED"/>
    <w:rsid w:val="4F32268A"/>
    <w:rsid w:val="4F5F701C"/>
    <w:rsid w:val="4F691C49"/>
    <w:rsid w:val="4F8343BC"/>
    <w:rsid w:val="4FB56C3C"/>
    <w:rsid w:val="4FFE214A"/>
    <w:rsid w:val="509E3B74"/>
    <w:rsid w:val="50C555A5"/>
    <w:rsid w:val="514069D9"/>
    <w:rsid w:val="51532BB1"/>
    <w:rsid w:val="51972CF4"/>
    <w:rsid w:val="520C2D5F"/>
    <w:rsid w:val="522235D3"/>
    <w:rsid w:val="527342A0"/>
    <w:rsid w:val="531B420E"/>
    <w:rsid w:val="533802B0"/>
    <w:rsid w:val="534704F3"/>
    <w:rsid w:val="537D7163"/>
    <w:rsid w:val="538B31C6"/>
    <w:rsid w:val="53A854CE"/>
    <w:rsid w:val="53B042EA"/>
    <w:rsid w:val="53B33222"/>
    <w:rsid w:val="53C51418"/>
    <w:rsid w:val="53F65A75"/>
    <w:rsid w:val="543071D9"/>
    <w:rsid w:val="54414309"/>
    <w:rsid w:val="545F7ABE"/>
    <w:rsid w:val="54A02118"/>
    <w:rsid w:val="54A03FFE"/>
    <w:rsid w:val="54B5148C"/>
    <w:rsid w:val="54D20290"/>
    <w:rsid w:val="553B5E36"/>
    <w:rsid w:val="55747599"/>
    <w:rsid w:val="55AF118E"/>
    <w:rsid w:val="55C71477"/>
    <w:rsid w:val="55ED0692"/>
    <w:rsid w:val="55F11B90"/>
    <w:rsid w:val="55FF557B"/>
    <w:rsid w:val="56521689"/>
    <w:rsid w:val="568850AA"/>
    <w:rsid w:val="56986128"/>
    <w:rsid w:val="570D735E"/>
    <w:rsid w:val="571C5F7A"/>
    <w:rsid w:val="572A43B4"/>
    <w:rsid w:val="57A001D2"/>
    <w:rsid w:val="57C57C38"/>
    <w:rsid w:val="57D12A81"/>
    <w:rsid w:val="57E83927"/>
    <w:rsid w:val="58030761"/>
    <w:rsid w:val="581E77FE"/>
    <w:rsid w:val="58242BB1"/>
    <w:rsid w:val="59030A18"/>
    <w:rsid w:val="5984566C"/>
    <w:rsid w:val="59C53F20"/>
    <w:rsid w:val="59CA3C2C"/>
    <w:rsid w:val="5A4E03B9"/>
    <w:rsid w:val="5A80766E"/>
    <w:rsid w:val="5ACE08E9"/>
    <w:rsid w:val="5AD92379"/>
    <w:rsid w:val="5B4B2B4A"/>
    <w:rsid w:val="5BB4249E"/>
    <w:rsid w:val="5C164F06"/>
    <w:rsid w:val="5C4604C8"/>
    <w:rsid w:val="5C732C8F"/>
    <w:rsid w:val="5C764DF0"/>
    <w:rsid w:val="5C94679F"/>
    <w:rsid w:val="5CC74949"/>
    <w:rsid w:val="5D812854"/>
    <w:rsid w:val="5D9C1821"/>
    <w:rsid w:val="5E227B93"/>
    <w:rsid w:val="5F2C67EF"/>
    <w:rsid w:val="5F9E76ED"/>
    <w:rsid w:val="5FA77C77"/>
    <w:rsid w:val="5FC03B07"/>
    <w:rsid w:val="5FFB4B3F"/>
    <w:rsid w:val="6014175D"/>
    <w:rsid w:val="60430294"/>
    <w:rsid w:val="60730B79"/>
    <w:rsid w:val="6105554A"/>
    <w:rsid w:val="6109328C"/>
    <w:rsid w:val="6151266D"/>
    <w:rsid w:val="61926DDD"/>
    <w:rsid w:val="62791D4B"/>
    <w:rsid w:val="627B3D15"/>
    <w:rsid w:val="62D17DD9"/>
    <w:rsid w:val="62DD551E"/>
    <w:rsid w:val="62EF1E1C"/>
    <w:rsid w:val="62F73105"/>
    <w:rsid w:val="632D2C36"/>
    <w:rsid w:val="63F35B2D"/>
    <w:rsid w:val="641F561C"/>
    <w:rsid w:val="644B7717"/>
    <w:rsid w:val="64B17EC2"/>
    <w:rsid w:val="6509385A"/>
    <w:rsid w:val="65764C68"/>
    <w:rsid w:val="6578453C"/>
    <w:rsid w:val="659155FE"/>
    <w:rsid w:val="65CE6852"/>
    <w:rsid w:val="65DD0843"/>
    <w:rsid w:val="65F067C8"/>
    <w:rsid w:val="662F5543"/>
    <w:rsid w:val="66BC082E"/>
    <w:rsid w:val="66F745F1"/>
    <w:rsid w:val="671E7365"/>
    <w:rsid w:val="6736443F"/>
    <w:rsid w:val="675B2367"/>
    <w:rsid w:val="67E20393"/>
    <w:rsid w:val="680B78E9"/>
    <w:rsid w:val="680D3662"/>
    <w:rsid w:val="686139AD"/>
    <w:rsid w:val="68680898"/>
    <w:rsid w:val="686F7E78"/>
    <w:rsid w:val="68774F7F"/>
    <w:rsid w:val="689E250C"/>
    <w:rsid w:val="68A45648"/>
    <w:rsid w:val="6922313D"/>
    <w:rsid w:val="698C2CAC"/>
    <w:rsid w:val="69985062"/>
    <w:rsid w:val="6A1B7B8C"/>
    <w:rsid w:val="6A505A87"/>
    <w:rsid w:val="6A615DFE"/>
    <w:rsid w:val="6A8A71EB"/>
    <w:rsid w:val="6AB26742"/>
    <w:rsid w:val="6ADD3C1C"/>
    <w:rsid w:val="6B0672AC"/>
    <w:rsid w:val="6B0845B4"/>
    <w:rsid w:val="6B2749D6"/>
    <w:rsid w:val="6B427AC6"/>
    <w:rsid w:val="6B937C74"/>
    <w:rsid w:val="6B9E0A74"/>
    <w:rsid w:val="6BAF2C82"/>
    <w:rsid w:val="6C00528B"/>
    <w:rsid w:val="6C07486C"/>
    <w:rsid w:val="6C2B055A"/>
    <w:rsid w:val="6C496C32"/>
    <w:rsid w:val="6CB263C9"/>
    <w:rsid w:val="6D2356D5"/>
    <w:rsid w:val="6D9C28BB"/>
    <w:rsid w:val="6DE05374"/>
    <w:rsid w:val="6E0307C8"/>
    <w:rsid w:val="6E3A0E77"/>
    <w:rsid w:val="6E835323"/>
    <w:rsid w:val="6E9F3C8B"/>
    <w:rsid w:val="6F046E40"/>
    <w:rsid w:val="6F174DC6"/>
    <w:rsid w:val="6F2F65B3"/>
    <w:rsid w:val="6F7E4E45"/>
    <w:rsid w:val="6FB40867"/>
    <w:rsid w:val="6FC35501"/>
    <w:rsid w:val="6FCE7B7A"/>
    <w:rsid w:val="6FF139B8"/>
    <w:rsid w:val="70313C65"/>
    <w:rsid w:val="70A02B99"/>
    <w:rsid w:val="70F97E5D"/>
    <w:rsid w:val="71047B41"/>
    <w:rsid w:val="715776FB"/>
    <w:rsid w:val="71841741"/>
    <w:rsid w:val="72200435"/>
    <w:rsid w:val="724A54B2"/>
    <w:rsid w:val="729B7ABC"/>
    <w:rsid w:val="729F57FE"/>
    <w:rsid w:val="72AA7CFF"/>
    <w:rsid w:val="73B21561"/>
    <w:rsid w:val="73F43927"/>
    <w:rsid w:val="73F82FD0"/>
    <w:rsid w:val="7406129A"/>
    <w:rsid w:val="74177616"/>
    <w:rsid w:val="741D5F30"/>
    <w:rsid w:val="7443040B"/>
    <w:rsid w:val="748B3BD7"/>
    <w:rsid w:val="75284195"/>
    <w:rsid w:val="7541494A"/>
    <w:rsid w:val="758F3128"/>
    <w:rsid w:val="75DD215E"/>
    <w:rsid w:val="75E12BAC"/>
    <w:rsid w:val="75ED062E"/>
    <w:rsid w:val="760B6D06"/>
    <w:rsid w:val="76200A04"/>
    <w:rsid w:val="762A6157"/>
    <w:rsid w:val="763C3364"/>
    <w:rsid w:val="765E777E"/>
    <w:rsid w:val="76857A17"/>
    <w:rsid w:val="76960CC6"/>
    <w:rsid w:val="76D518A0"/>
    <w:rsid w:val="77387230"/>
    <w:rsid w:val="77453882"/>
    <w:rsid w:val="775F555C"/>
    <w:rsid w:val="777E6082"/>
    <w:rsid w:val="77DA1086"/>
    <w:rsid w:val="77E617D9"/>
    <w:rsid w:val="78151CD1"/>
    <w:rsid w:val="784120E7"/>
    <w:rsid w:val="78680440"/>
    <w:rsid w:val="790A66CF"/>
    <w:rsid w:val="79A25BD4"/>
    <w:rsid w:val="79C21BAF"/>
    <w:rsid w:val="79DE0E87"/>
    <w:rsid w:val="7A2A00A3"/>
    <w:rsid w:val="7A2F2F59"/>
    <w:rsid w:val="7A477914"/>
    <w:rsid w:val="7A6F3D08"/>
    <w:rsid w:val="7A7A4B7F"/>
    <w:rsid w:val="7AA8546C"/>
    <w:rsid w:val="7AAC09E6"/>
    <w:rsid w:val="7AD149C3"/>
    <w:rsid w:val="7B172452"/>
    <w:rsid w:val="7B3D7C92"/>
    <w:rsid w:val="7B4C1D99"/>
    <w:rsid w:val="7B7F7F7B"/>
    <w:rsid w:val="7BCC6F38"/>
    <w:rsid w:val="7BF42D23"/>
    <w:rsid w:val="7C8810B1"/>
    <w:rsid w:val="7C8A4E29"/>
    <w:rsid w:val="7CAC1243"/>
    <w:rsid w:val="7CAD6D69"/>
    <w:rsid w:val="7CBC51FE"/>
    <w:rsid w:val="7CC52305"/>
    <w:rsid w:val="7D456FA2"/>
    <w:rsid w:val="7D752AE9"/>
    <w:rsid w:val="7D806106"/>
    <w:rsid w:val="7DA667F3"/>
    <w:rsid w:val="7DBA34EC"/>
    <w:rsid w:val="7DBD122E"/>
    <w:rsid w:val="7DD16A88"/>
    <w:rsid w:val="7DDD7209"/>
    <w:rsid w:val="7E046E5D"/>
    <w:rsid w:val="7E396311"/>
    <w:rsid w:val="7E462FD2"/>
    <w:rsid w:val="7E8F2BCB"/>
    <w:rsid w:val="7EA83C8C"/>
    <w:rsid w:val="7F207CC7"/>
    <w:rsid w:val="7F3D71AE"/>
    <w:rsid w:val="7FF6692D"/>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iPriority="0" w:semiHidden="0" w:name="Note Heading"/>
    <w:lsdException w:qFormat="1" w:uiPriority="99"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qFormat/>
    <w:uiPriority w:val="0"/>
    <w:pPr>
      <w:keepNext/>
      <w:keepLines/>
      <w:spacing w:before="260" w:beforeLines="0" w:after="260" w:afterLines="0" w:line="416" w:lineRule="auto"/>
      <w:outlineLvl w:val="2"/>
    </w:pPr>
    <w:rPr>
      <w:b/>
      <w:bCs/>
      <w:kern w:val="0"/>
      <w:sz w:val="32"/>
      <w:szCs w:val="32"/>
    </w:rPr>
  </w:style>
  <w:style w:type="paragraph" w:styleId="3">
    <w:name w:val="heading 4"/>
    <w:basedOn w:val="1"/>
    <w:next w:val="1"/>
    <w:qFormat/>
    <w:uiPriority w:val="1"/>
    <w:pPr>
      <w:ind w:left="1068"/>
      <w:outlineLvl w:val="3"/>
    </w:pPr>
    <w:rPr>
      <w:rFonts w:ascii="宋体" w:hAnsi="宋体" w:eastAsia="宋体" w:cs="宋体"/>
      <w:b/>
      <w:bCs/>
      <w:sz w:val="24"/>
      <w:szCs w:val="24"/>
      <w:lang w:val="zh-CN" w:eastAsia="zh-CN" w:bidi="zh-CN"/>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4">
    <w:name w:val="Note Heading"/>
    <w:basedOn w:val="1"/>
    <w:next w:val="1"/>
    <w:unhideWhenUsed/>
    <w:qFormat/>
    <w:uiPriority w:val="0"/>
    <w:pPr>
      <w:jc w:val="center"/>
    </w:pPr>
  </w:style>
  <w:style w:type="paragraph" w:styleId="5">
    <w:name w:val="Normal Indent"/>
    <w:basedOn w:val="1"/>
    <w:qFormat/>
    <w:uiPriority w:val="0"/>
    <w:pPr>
      <w:ind w:firstLine="200" w:firstLineChars="200"/>
    </w:pPr>
    <w:rPr>
      <w:sz w:val="28"/>
    </w:rPr>
  </w:style>
  <w:style w:type="paragraph" w:styleId="6">
    <w:name w:val="caption"/>
    <w:basedOn w:val="1"/>
    <w:next w:val="1"/>
    <w:qFormat/>
    <w:uiPriority w:val="0"/>
    <w:rPr>
      <w:rFonts w:ascii="Cambria" w:hAnsi="Cambria" w:eastAsia="黑体" w:cs="Times New Roman"/>
      <w:sz w:val="20"/>
      <w:szCs w:val="20"/>
    </w:rPr>
  </w:style>
  <w:style w:type="paragraph" w:styleId="7">
    <w:name w:val="annotation text"/>
    <w:basedOn w:val="1"/>
    <w:qFormat/>
    <w:uiPriority w:val="99"/>
    <w:pPr>
      <w:jc w:val="left"/>
    </w:pPr>
    <w:rPr>
      <w:rFonts w:ascii="Times New Roman" w:hAnsi="Times New Roman"/>
      <w:kern w:val="0"/>
      <w:sz w:val="24"/>
      <w:szCs w:val="20"/>
    </w:rPr>
  </w:style>
  <w:style w:type="paragraph" w:styleId="8">
    <w:name w:val="Salutation"/>
    <w:basedOn w:val="1"/>
    <w:next w:val="1"/>
    <w:qFormat/>
    <w:uiPriority w:val="0"/>
  </w:style>
  <w:style w:type="paragraph" w:styleId="9">
    <w:name w:val="Body Text"/>
    <w:basedOn w:val="1"/>
    <w:next w:val="1"/>
    <w:qFormat/>
    <w:uiPriority w:val="0"/>
    <w:pPr>
      <w:widowControl/>
      <w:snapToGrid w:val="0"/>
      <w:spacing w:before="60" w:after="160" w:line="259" w:lineRule="auto"/>
      <w:ind w:right="113"/>
    </w:pPr>
    <w:rPr>
      <w:kern w:val="0"/>
      <w:sz w:val="18"/>
      <w:szCs w:val="20"/>
    </w:rPr>
  </w:style>
  <w:style w:type="paragraph" w:styleId="10">
    <w:name w:val="Body Text Indent"/>
    <w:basedOn w:val="1"/>
    <w:next w:val="11"/>
    <w:semiHidden/>
    <w:qFormat/>
    <w:uiPriority w:val="0"/>
    <w:pPr>
      <w:spacing w:after="120"/>
      <w:ind w:left="420" w:leftChars="200"/>
    </w:pPr>
  </w:style>
  <w:style w:type="paragraph" w:styleId="11">
    <w:name w:val="Body Text Indent 2"/>
    <w:basedOn w:val="1"/>
    <w:next w:val="12"/>
    <w:qFormat/>
    <w:uiPriority w:val="0"/>
    <w:pPr>
      <w:spacing w:after="120" w:line="480" w:lineRule="auto"/>
      <w:ind w:left="420" w:leftChars="200"/>
    </w:pPr>
  </w:style>
  <w:style w:type="paragraph" w:styleId="12">
    <w:name w:val="Body Text First Indent 2"/>
    <w:basedOn w:val="10"/>
    <w:next w:val="1"/>
    <w:qFormat/>
    <w:uiPriority w:val="0"/>
    <w:pPr>
      <w:spacing w:after="120"/>
      <w:ind w:left="420" w:firstLine="210"/>
    </w:pPr>
    <w:rPr>
      <w:rFonts w:eastAsia="楷体_GB2312"/>
      <w:sz w:val="30"/>
    </w:rPr>
  </w:style>
  <w:style w:type="paragraph" w:styleId="13">
    <w:name w:val="Plain Text"/>
    <w:basedOn w:val="1"/>
    <w:next w:val="8"/>
    <w:qFormat/>
    <w:uiPriority w:val="0"/>
    <w:pPr>
      <w:snapToGrid w:val="0"/>
      <w:spacing w:line="324" w:lineRule="auto"/>
    </w:pPr>
    <w:rPr>
      <w:rFonts w:ascii="宋体" w:hAnsi="Courier New"/>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List"/>
    <w:basedOn w:val="1"/>
    <w:qFormat/>
    <w:uiPriority w:val="0"/>
    <w:pPr>
      <w:jc w:val="center"/>
    </w:pPr>
    <w:rPr>
      <w:kern w:val="21"/>
      <w:szCs w:val="22"/>
    </w:rPr>
  </w:style>
  <w:style w:type="paragraph" w:styleId="18">
    <w:name w:val="Body Text 2"/>
    <w:basedOn w:val="1"/>
    <w:semiHidden/>
    <w:unhideWhenUsed/>
    <w:qFormat/>
    <w:uiPriority w:val="99"/>
    <w:pPr>
      <w:spacing w:after="120" w:line="480" w:lineRule="auto"/>
    </w:pPr>
  </w:style>
  <w:style w:type="paragraph" w:styleId="19">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21">
    <w:name w:val="Table Grid"/>
    <w:basedOn w:val="20"/>
    <w:qFormat/>
    <w:uiPriority w:val="0"/>
    <w:pPr>
      <w:widowControl w:val="0"/>
      <w:jc w:val="both"/>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3">
    <w:name w:val="page number"/>
    <w:basedOn w:val="22"/>
    <w:qFormat/>
    <w:uiPriority w:val="0"/>
  </w:style>
  <w:style w:type="character" w:styleId="24">
    <w:name w:val="annotation reference"/>
    <w:basedOn w:val="22"/>
    <w:semiHidden/>
    <w:qFormat/>
    <w:uiPriority w:val="0"/>
    <w:rPr>
      <w:sz w:val="21"/>
    </w:rPr>
  </w:style>
  <w:style w:type="paragraph" w:customStyle="1" w:styleId="25">
    <w:name w:val="表头"/>
    <w:basedOn w:val="26"/>
    <w:qFormat/>
    <w:uiPriority w:val="99"/>
    <w:pPr>
      <w:spacing w:line="420" w:lineRule="exact"/>
      <w:jc w:val="center"/>
    </w:pPr>
    <w:rPr>
      <w:rFonts w:hAnsi="宋体"/>
      <w:b/>
      <w:color w:val="000000"/>
      <w:position w:val="2"/>
      <w:sz w:val="24"/>
    </w:rPr>
  </w:style>
  <w:style w:type="paragraph" w:customStyle="1" w:styleId="26">
    <w:name w:val="文本"/>
    <w:basedOn w:val="1"/>
    <w:next w:val="1"/>
    <w:qFormat/>
    <w:uiPriority w:val="0"/>
    <w:pPr>
      <w:adjustRightInd w:val="0"/>
      <w:snapToGrid w:val="0"/>
      <w:ind w:firstLine="960"/>
    </w:pPr>
  </w:style>
  <w:style w:type="paragraph" w:customStyle="1" w:styleId="27">
    <w:name w:val="0正文"/>
    <w:unhideWhenUsed/>
    <w:qFormat/>
    <w:uiPriority w:val="0"/>
    <w:pPr>
      <w:widowControl w:val="0"/>
      <w:spacing w:line="360" w:lineRule="auto"/>
      <w:ind w:firstLine="720" w:firstLineChars="200"/>
    </w:pPr>
    <w:rPr>
      <w:rFonts w:ascii="Times New Roman" w:hAnsi="Times New Roman" w:eastAsia="宋体" w:cs="Microsoft Uighur"/>
      <w:sz w:val="24"/>
      <w:szCs w:val="22"/>
      <w:lang w:val="en-US" w:eastAsia="zh-CN" w:bidi="ar-SA"/>
    </w:rPr>
  </w:style>
  <w:style w:type="paragraph" w:customStyle="1" w:styleId="28">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29">
    <w:name w:val="表格正文"/>
    <w:basedOn w:val="1"/>
    <w:next w:val="1"/>
    <w:qFormat/>
    <w:uiPriority w:val="0"/>
    <w:pPr>
      <w:spacing w:line="300" w:lineRule="auto"/>
      <w:jc w:val="center"/>
    </w:pPr>
    <w:rPr>
      <w:sz w:val="24"/>
    </w:rPr>
  </w:style>
  <w:style w:type="paragraph" w:customStyle="1" w:styleId="30">
    <w:name w:val="11正文"/>
    <w:qFormat/>
    <w:uiPriority w:val="0"/>
    <w:pPr>
      <w:spacing w:line="360" w:lineRule="auto"/>
      <w:ind w:firstLine="200" w:firstLineChars="200"/>
      <w:jc w:val="both"/>
    </w:pPr>
    <w:rPr>
      <w:rFonts w:ascii="Calibri" w:hAnsi="Calibri" w:eastAsia="宋体" w:cs="Times New Roman"/>
      <w:kern w:val="2"/>
      <w:sz w:val="24"/>
      <w:szCs w:val="22"/>
      <w:lang w:val="en-US" w:eastAsia="zh-CN" w:bidi="ar-SA"/>
    </w:rPr>
  </w:style>
  <w:style w:type="paragraph" w:customStyle="1" w:styleId="31">
    <w:name w:val="3-四级标题"/>
    <w:basedOn w:val="1"/>
    <w:qFormat/>
    <w:uiPriority w:val="0"/>
    <w:pPr>
      <w:adjustRightInd w:val="0"/>
      <w:snapToGrid w:val="0"/>
      <w:spacing w:line="360" w:lineRule="auto"/>
      <w:ind w:firstLine="200" w:firstLineChars="200"/>
      <w:outlineLvl w:val="3"/>
    </w:pPr>
    <w:rPr>
      <w:rFonts w:ascii="仿宋_GB2312" w:hAnsi="宋体" w:eastAsia="仿宋_GB2312"/>
      <w:b/>
      <w:sz w:val="30"/>
      <w:szCs w:val="32"/>
    </w:rPr>
  </w:style>
  <w:style w:type="paragraph" w:customStyle="1" w:styleId="32">
    <w:name w:val="正式文本"/>
    <w:basedOn w:val="1"/>
    <w:qFormat/>
    <w:uiPriority w:val="0"/>
    <w:pPr>
      <w:adjustRightInd w:val="0"/>
      <w:snapToGrid w:val="0"/>
      <w:spacing w:line="360" w:lineRule="auto"/>
      <w:ind w:firstLine="420" w:firstLineChars="200"/>
      <w:jc w:val="left"/>
    </w:pPr>
    <w:rPr>
      <w:rFonts w:ascii="Times New Roman" w:hAnsi="Times New Roman"/>
      <w:bCs/>
      <w:szCs w:val="21"/>
    </w:rPr>
  </w:style>
  <w:style w:type="paragraph" w:customStyle="1" w:styleId="33">
    <w:name w:val="表头。图尾"/>
    <w:basedOn w:val="1"/>
    <w:next w:val="1"/>
    <w:qFormat/>
    <w:uiPriority w:val="0"/>
    <w:pPr>
      <w:keepNext/>
      <w:jc w:val="center"/>
    </w:pPr>
    <w:rPr>
      <w:rFonts w:ascii="Times New Roman" w:hAnsi="Times New Roman"/>
      <w:b/>
      <w:spacing w:val="10"/>
      <w:kern w:val="21"/>
      <w:szCs w:val="21"/>
    </w:rPr>
  </w:style>
  <w:style w:type="paragraph" w:customStyle="1" w:styleId="34">
    <w:name w:val="表格内格式"/>
    <w:basedOn w:val="1"/>
    <w:qFormat/>
    <w:uiPriority w:val="0"/>
    <w:pPr>
      <w:adjustRightInd w:val="0"/>
      <w:snapToGrid w:val="0"/>
      <w:spacing w:before="60"/>
      <w:jc w:val="center"/>
    </w:pPr>
    <w:rPr>
      <w:rFonts w:ascii="Times New Roman" w:hAnsi="Times New Roman" w:cs="宋体"/>
      <w:snapToGrid w:val="0"/>
      <w:sz w:val="18"/>
      <w:szCs w:val="21"/>
    </w:rPr>
  </w:style>
  <w:style w:type="paragraph" w:customStyle="1" w:styleId="35">
    <w:name w:val="4-正文"/>
    <w:basedOn w:val="1"/>
    <w:qFormat/>
    <w:uiPriority w:val="0"/>
    <w:pPr>
      <w:adjustRightInd w:val="0"/>
      <w:snapToGrid w:val="0"/>
      <w:spacing w:line="360" w:lineRule="auto"/>
      <w:ind w:firstLine="200" w:firstLineChars="200"/>
    </w:pPr>
    <w:rPr>
      <w:rFonts w:ascii="仿宋_GB2312" w:hAnsi="宋体" w:eastAsia="仿宋_GB2312"/>
      <w:sz w:val="30"/>
      <w:szCs w:val="32"/>
    </w:rPr>
  </w:style>
  <w:style w:type="paragraph" w:customStyle="1" w:styleId="36">
    <w:name w:val="说明书正文"/>
    <w:basedOn w:val="1"/>
    <w:qFormat/>
    <w:uiPriority w:val="0"/>
    <w:pPr>
      <w:spacing w:line="480" w:lineRule="exact"/>
      <w:ind w:firstLine="600" w:firstLineChars="200"/>
    </w:pPr>
    <w:rPr>
      <w:rFonts w:ascii="Times New Roman" w:hAnsi="Times New Roman" w:eastAsia="仿宋_GB2312"/>
      <w:color w:val="000000"/>
      <w:sz w:val="30"/>
    </w:rPr>
  </w:style>
  <w:style w:type="paragraph" w:customStyle="1" w:styleId="37">
    <w:name w:val="正文部分"/>
    <w:basedOn w:val="1"/>
    <w:qFormat/>
    <w:uiPriority w:val="0"/>
    <w:pPr>
      <w:topLinePunct/>
      <w:adjustRightInd w:val="0"/>
      <w:snapToGrid w:val="0"/>
      <w:spacing w:line="360" w:lineRule="auto"/>
      <w:ind w:firstLine="480" w:firstLineChars="200"/>
    </w:pPr>
    <w:rPr>
      <w:kern w:val="0"/>
      <w:sz w:val="24"/>
      <w:shd w:val="clear" w:color="auto" w:fill="FFFFFF"/>
      <w:lang w:val="zh-CN"/>
    </w:rPr>
  </w:style>
  <w:style w:type="paragraph" w:customStyle="1" w:styleId="38">
    <w:name w:val="样式 小四 行距: 1.5 倍行距"/>
    <w:basedOn w:val="1"/>
    <w:qFormat/>
    <w:uiPriority w:val="0"/>
    <w:pPr>
      <w:ind w:firstLine="480" w:firstLineChars="200"/>
    </w:pPr>
    <w:rPr>
      <w:rFonts w:ascii="Times New Roman" w:hAnsi="Times New Roman" w:cs="宋体"/>
    </w:rPr>
  </w:style>
  <w:style w:type="paragraph" w:customStyle="1" w:styleId="39">
    <w:name w:val="表格内正文"/>
    <w:basedOn w:val="1"/>
    <w:qFormat/>
    <w:uiPriority w:val="0"/>
    <w:pPr>
      <w:spacing w:line="360" w:lineRule="auto"/>
      <w:ind w:firstLine="720" w:firstLineChars="200"/>
      <w:jc w:val="left"/>
    </w:pPr>
    <w:rPr>
      <w:rFonts w:ascii="Times New Roman" w:hAnsi="Times New Roman"/>
    </w:rPr>
  </w:style>
  <w:style w:type="paragraph" w:customStyle="1" w:styleId="40">
    <w:name w:val="表格内容"/>
    <w:basedOn w:val="13"/>
    <w:next w:val="1"/>
    <w:qFormat/>
    <w:uiPriority w:val="0"/>
    <w:pPr>
      <w:tabs>
        <w:tab w:val="left" w:pos="0"/>
      </w:tabs>
      <w:jc w:val="center"/>
    </w:pPr>
    <w:rPr>
      <w:rFonts w:ascii="Times New Roman" w:hAnsi="Times New Roman"/>
      <w:szCs w:val="21"/>
    </w:rPr>
  </w:style>
  <w:style w:type="character" w:customStyle="1" w:styleId="41">
    <w:name w:val="宋体"/>
    <w:basedOn w:val="22"/>
    <w:qFormat/>
    <w:uiPriority w:val="0"/>
    <w:rPr>
      <w:rFonts w:hint="eastAsia" w:ascii="仿宋" w:hAnsi="仿宋" w:eastAsia="宋体"/>
      <w:color w:val="000000"/>
      <w:sz w:val="24"/>
      <w:szCs w:val="24"/>
    </w:rPr>
  </w:style>
  <w:style w:type="paragraph" w:customStyle="1" w:styleId="42">
    <w:name w:val="样式41"/>
    <w:basedOn w:val="1"/>
    <w:qFormat/>
    <w:uiPriority w:val="0"/>
    <w:pPr>
      <w:spacing w:before="156" w:beforeLines="50" w:after="156" w:afterLines="50" w:line="400" w:lineRule="exact"/>
      <w:jc w:val="center"/>
    </w:pPr>
    <w:rPr>
      <w:rFonts w:ascii="黑体" w:eastAsia="黑体"/>
      <w:kern w:val="0"/>
      <w:sz w:val="24"/>
    </w:rPr>
  </w:style>
  <w:style w:type="paragraph" w:customStyle="1" w:styleId="43">
    <w:name w:val="eia正文"/>
    <w:basedOn w:val="1"/>
    <w:next w:val="1"/>
    <w:unhideWhenUsed/>
    <w:qFormat/>
    <w:uiPriority w:val="99"/>
    <w:pPr>
      <w:spacing w:line="360" w:lineRule="auto"/>
      <w:ind w:firstLine="200" w:firstLineChars="200"/>
      <w:jc w:val="left"/>
    </w:pPr>
    <w:rPr>
      <w:color w:val="000000"/>
      <w:kern w:val="0"/>
      <w:sz w:val="22"/>
      <w:szCs w:val="20"/>
      <w:lang w:val="sq-AL" w:eastAsia="en-US"/>
    </w:rPr>
  </w:style>
  <w:style w:type="paragraph" w:customStyle="1" w:styleId="44">
    <w:name w:val="eia标题表头"/>
    <w:basedOn w:val="6"/>
    <w:unhideWhenUsed/>
    <w:qFormat/>
    <w:uiPriority w:val="99"/>
    <w:pPr>
      <w:tabs>
        <w:tab w:val="left" w:pos="1080"/>
      </w:tabs>
      <w:spacing w:line="360" w:lineRule="auto"/>
      <w:jc w:val="center"/>
    </w:pPr>
    <w:rPr>
      <w:rFonts w:hint="eastAsia" w:ascii="Arial" w:hAnsi="Arial" w:cs="Times New Roman"/>
      <w:sz w:val="24"/>
      <w:lang w:eastAsia="en-US"/>
    </w:rPr>
  </w:style>
  <w:style w:type="character" w:customStyle="1" w:styleId="45">
    <w:name w:val="font21"/>
    <w:basedOn w:val="22"/>
    <w:qFormat/>
    <w:uiPriority w:val="0"/>
    <w:rPr>
      <w:rFonts w:hint="eastAsia" w:ascii="宋体" w:hAnsi="宋体" w:eastAsia="宋体" w:cs="宋体"/>
      <w:color w:val="000000"/>
      <w:sz w:val="21"/>
      <w:szCs w:val="21"/>
      <w:u w:val="none"/>
    </w:rPr>
  </w:style>
  <w:style w:type="character" w:customStyle="1" w:styleId="46">
    <w:name w:val="font31"/>
    <w:basedOn w:val="22"/>
    <w:qFormat/>
    <w:uiPriority w:val="0"/>
    <w:rPr>
      <w:rFonts w:hint="default" w:ascii="Times New Roman" w:hAnsi="Times New Roman" w:cs="Times New Roman"/>
      <w:color w:val="000000"/>
      <w:sz w:val="21"/>
      <w:szCs w:val="21"/>
      <w:u w:val="none"/>
    </w:rPr>
  </w:style>
  <w:style w:type="paragraph" w:customStyle="1" w:styleId="47">
    <w:name w:val="表格文字"/>
    <w:basedOn w:val="48"/>
    <w:next w:val="1"/>
    <w:qFormat/>
    <w:uiPriority w:val="0"/>
    <w:pPr>
      <w:widowControl/>
      <w:snapToGrid w:val="0"/>
      <w:spacing w:before="60" w:after="160" w:line="259" w:lineRule="auto"/>
      <w:ind w:right="113"/>
      <w:jc w:val="center"/>
    </w:pPr>
    <w:rPr>
      <w:rFonts w:ascii="仿宋_GB2312" w:hAnsi="Arial Black" w:eastAsia="仿宋_GB2312" w:cs="Times New Roman"/>
      <w:kern w:val="44"/>
      <w:sz w:val="24"/>
      <w:szCs w:val="20"/>
    </w:rPr>
  </w:style>
  <w:style w:type="paragraph" w:customStyle="1" w:styleId="48">
    <w:name w:val="图标"/>
    <w:basedOn w:val="1"/>
    <w:qFormat/>
    <w:uiPriority w:val="0"/>
    <w:pPr>
      <w:widowControl/>
      <w:spacing w:line="240" w:lineRule="auto"/>
      <w:ind w:firstLine="0" w:firstLineChars="0"/>
      <w:jc w:val="center"/>
    </w:pPr>
    <w:rPr>
      <w:rFonts w:ascii="Calibri" w:hAnsi="Calibri" w:eastAsia="仿宋" w:cs="宋体"/>
      <w:color w:val="000000"/>
      <w:kern w:val="0"/>
      <w:sz w:val="20"/>
      <w:szCs w:val="20"/>
    </w:rPr>
  </w:style>
  <w:style w:type="character" w:customStyle="1" w:styleId="49">
    <w:name w:val="font11"/>
    <w:basedOn w:val="22"/>
    <w:qFormat/>
    <w:uiPriority w:val="0"/>
    <w:rPr>
      <w:rFonts w:hint="default" w:ascii="Times New Roman" w:hAnsi="Times New Roman" w:cs="Times New Roman"/>
      <w:color w:val="000000"/>
      <w:sz w:val="21"/>
      <w:szCs w:val="21"/>
      <w:u w:val="none"/>
    </w:rPr>
  </w:style>
  <w:style w:type="character" w:customStyle="1" w:styleId="50">
    <w:name w:val="font51"/>
    <w:basedOn w:val="22"/>
    <w:qFormat/>
    <w:uiPriority w:val="0"/>
    <w:rPr>
      <w:rFonts w:hint="default" w:ascii="Times New Roman" w:hAnsi="Times New Roman" w:cs="Times New Roman"/>
      <w:color w:val="000000"/>
      <w:sz w:val="21"/>
      <w:szCs w:val="21"/>
      <w:u w:val="none"/>
    </w:rPr>
  </w:style>
  <w:style w:type="character" w:customStyle="1" w:styleId="51">
    <w:name w:val="font41"/>
    <w:basedOn w:val="22"/>
    <w:qFormat/>
    <w:uiPriority w:val="0"/>
    <w:rPr>
      <w:rFonts w:hint="eastAsia" w:ascii="宋体" w:hAnsi="宋体" w:eastAsia="宋体" w:cs="宋体"/>
      <w:color w:val="000000"/>
      <w:sz w:val="21"/>
      <w:szCs w:val="21"/>
      <w:u w:val="none"/>
    </w:rPr>
  </w:style>
  <w:style w:type="paragraph" w:customStyle="1" w:styleId="52">
    <w:name w:val="！正文"/>
    <w:basedOn w:val="1"/>
    <w:qFormat/>
    <w:uiPriority w:val="0"/>
    <w:pPr>
      <w:spacing w:line="360" w:lineRule="auto"/>
      <w:ind w:firstLine="480" w:firstLineChars="200"/>
    </w:pPr>
    <w:rPr>
      <w:rFonts w:ascii="Times New Roman" w:hAnsi="Times New Roman" w:eastAsia="宋体" w:cs="Times New Roman"/>
      <w:color w:val="FF0000"/>
      <w:sz w:val="24"/>
      <w:szCs w:val="24"/>
    </w:rPr>
  </w:style>
  <w:style w:type="paragraph" w:customStyle="1" w:styleId="53">
    <w:name w:val="Table Text"/>
    <w:basedOn w:val="1"/>
    <w:semiHidden/>
    <w:qFormat/>
    <w:uiPriority w:val="0"/>
    <w:rPr>
      <w:rFonts w:ascii="仿宋" w:hAnsi="仿宋" w:eastAsia="仿宋" w:cs="仿宋"/>
      <w:sz w:val="24"/>
      <w:szCs w:val="24"/>
      <w:lang w:val="en-US" w:eastAsia="en-US" w:bidi="ar-SA"/>
    </w:rPr>
  </w:style>
  <w:style w:type="table" w:customStyle="1" w:styleId="54">
    <w:name w:val="Table Normal"/>
    <w:semiHidden/>
    <w:unhideWhenUsed/>
    <w:qFormat/>
    <w:uiPriority w:val="0"/>
    <w:tblPr>
      <w:tblCellMar>
        <w:top w:w="0" w:type="dxa"/>
        <w:left w:w="0" w:type="dxa"/>
        <w:bottom w:w="0" w:type="dxa"/>
        <w:right w:w="0" w:type="dxa"/>
      </w:tblCellMar>
    </w:tblPr>
  </w:style>
  <w:style w:type="paragraph" w:customStyle="1" w:styleId="55">
    <w:name w:val="Table Paragraph"/>
    <w:basedOn w:val="1"/>
    <w:qFormat/>
    <w:uiPriority w:val="0"/>
    <w:pPr>
      <w:autoSpaceDE w:val="0"/>
      <w:autoSpaceDN w:val="0"/>
      <w:spacing w:before="33"/>
      <w:jc w:val="center"/>
    </w:pPr>
    <w:rPr>
      <w:rFonts w:ascii="宋体" w:hAnsi="宋体" w:cs="宋体"/>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"/>
    </extobj>
    <extobj name="F360BE8B-6686-4F3D-AEAF-501FE73E4058-2">
      <extobjdata type="F360BE8B-6686-4F3D-AEAF-501FE73E4058" data="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"/>
    </extobj>
    <extobj name="F360BE8B-6686-4F3D-AEAF-501FE73E4058-3">
      <extobjdata type="F360BE8B-6686-4F3D-AEAF-501FE73E4058" data="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51052</Words>
  <Characters>54708</Characters>
  <Lines>0</Lines>
  <Paragraphs>0</Paragraphs>
  <TotalTime>21</TotalTime>
  <ScaleCrop>false</ScaleCrop>
  <LinksUpToDate>false</LinksUpToDate>
  <CharactersWithSpaces>54985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2025-07-22T00:54:00Z</dcterms:created>
  <dc:creator>。。。</dc:creator>
  <cp:lastModifiedBy>一见你就笑</cp:lastModifiedBy>
  <dcterms:modified xsi:type="dcterms:W3CDTF">2025-11-26T06:51:52Z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91FBAE7F2BF64FE18CF4CC39C6F98164_13</vt:lpwstr>
  </property>
  <property fmtid="{D5CDD505-2E9C-101B-9397-08002B2CF9AE}" pid="4" name="KSOTemplateDocerSaveRecord">
    <vt:lpwstr>eyJoZGlkIjoiYmQ5ZTcxMmI3MTI3MmYxZDY5NTRhYWJlY2MzZjg1NjYiLCJ1c2VySWQiOiI0MzMyNjQyOTUifQ==</vt:lpwstr>
  </property>
</Properties>
</file>