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93433">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color w:val="auto"/>
          <w:kern w:val="0"/>
          <w:sz w:val="32"/>
          <w:szCs w:val="32"/>
          <w:lang w:val="en-US" w:eastAsia="zh-CN" w:bidi="ar-SA"/>
        </w:rPr>
      </w:pPr>
    </w:p>
    <w:p w14:paraId="0C6C510F">
      <w:pPr>
        <w:keepNext w:val="0"/>
        <w:keepLines w:val="0"/>
        <w:pageBreakBefore w:val="0"/>
        <w:widowControl w:val="0"/>
        <w:kinsoku/>
        <w:wordWrap w:val="0"/>
        <w:overflowPunct/>
        <w:topLinePunct/>
        <w:autoSpaceDE/>
        <w:autoSpaceDN/>
        <w:bidi w:val="0"/>
        <w:adjustRightInd/>
        <w:snapToGrid/>
        <w:spacing w:line="560" w:lineRule="exact"/>
        <w:jc w:val="both"/>
        <w:textAlignment w:val="auto"/>
        <w:rPr>
          <w:rFonts w:hint="eastAsia" w:ascii="方正仿宋_GB2312" w:hAnsi="方正仿宋_GB2312" w:eastAsia="方正仿宋_GB2312" w:cs="方正仿宋_GB2312"/>
          <w:color w:val="auto"/>
          <w:kern w:val="0"/>
          <w:sz w:val="32"/>
          <w:szCs w:val="32"/>
          <w:lang w:val="en-US" w:eastAsia="zh-CN" w:bidi="ar-SA"/>
        </w:rPr>
      </w:pPr>
    </w:p>
    <w:p w14:paraId="0E465502">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color w:val="auto"/>
          <w:kern w:val="0"/>
          <w:sz w:val="32"/>
          <w:szCs w:val="32"/>
          <w:lang w:val="en-US" w:eastAsia="zh-CN" w:bidi="ar-SA"/>
        </w:rPr>
      </w:pPr>
    </w:p>
    <w:p w14:paraId="21F57663">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color w:val="auto"/>
          <w:kern w:val="0"/>
          <w:sz w:val="32"/>
          <w:szCs w:val="32"/>
          <w:lang w:val="en-US" w:eastAsia="zh-CN" w:bidi="ar-SA"/>
        </w:rPr>
      </w:pPr>
    </w:p>
    <w:p w14:paraId="212B322A">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color w:val="auto"/>
          <w:kern w:val="0"/>
          <w:sz w:val="32"/>
          <w:szCs w:val="32"/>
          <w:lang w:val="en-US" w:eastAsia="zh-CN" w:bidi="ar-SA"/>
        </w:rPr>
      </w:pPr>
    </w:p>
    <w:p w14:paraId="4028DBE0">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仿宋_GB2312" w:hAnsi="仿宋_GB2312" w:eastAsia="仿宋_GB2312" w:cs="仿宋_GB2312"/>
          <w:color w:val="auto"/>
          <w:sz w:val="32"/>
          <w:szCs w:val="32"/>
        </w:rPr>
      </w:pPr>
      <w:r>
        <w:rPr>
          <w:rFonts w:hint="eastAsia" w:ascii="方正仿宋_GB2312" w:hAnsi="方正仿宋_GB2312" w:eastAsia="方正仿宋_GB2312" w:cs="方正仿宋_GB2312"/>
          <w:color w:val="auto"/>
          <w:kern w:val="0"/>
          <w:sz w:val="32"/>
          <w:szCs w:val="32"/>
          <w:lang w:val="en-US" w:eastAsia="zh-CN" w:bidi="ar-SA"/>
        </w:rPr>
        <w:t>潘环审复〔</w:t>
      </w:r>
      <w:r>
        <w:rPr>
          <w:rFonts w:hint="eastAsia" w:ascii="Times New Roman" w:hAnsi="Times New Roman" w:eastAsia="方正仿宋_GB2312" w:cs="方正仿宋_GB2312"/>
          <w:color w:val="auto"/>
          <w:kern w:val="0"/>
          <w:sz w:val="32"/>
          <w:szCs w:val="32"/>
          <w:lang w:val="en-US" w:eastAsia="zh-CN" w:bidi="ar-SA"/>
        </w:rPr>
        <w:t>2025</w:t>
      </w:r>
      <w:r>
        <w:rPr>
          <w:rFonts w:hint="eastAsia" w:ascii="方正仿宋_GB2312" w:hAnsi="方正仿宋_GB2312" w:eastAsia="方正仿宋_GB2312" w:cs="方正仿宋_GB2312"/>
          <w:color w:val="auto"/>
          <w:kern w:val="0"/>
          <w:sz w:val="32"/>
          <w:szCs w:val="32"/>
          <w:lang w:val="en-US" w:eastAsia="zh-CN" w:bidi="ar-SA"/>
        </w:rPr>
        <w:t>〕</w:t>
      </w:r>
      <w:r>
        <w:rPr>
          <w:rFonts w:hint="eastAsia" w:ascii="Times New Roman" w:hAnsi="Times New Roman" w:eastAsia="方正仿宋_GB2312" w:cs="方正仿宋_GB2312"/>
          <w:color w:val="auto"/>
          <w:kern w:val="0"/>
          <w:sz w:val="32"/>
          <w:szCs w:val="32"/>
          <w:lang w:val="en-US" w:eastAsia="zh-CN" w:bidi="ar-SA"/>
        </w:rPr>
        <w:t>13</w:t>
      </w:r>
      <w:r>
        <w:rPr>
          <w:rFonts w:hint="eastAsia" w:ascii="方正仿宋_GB2312" w:hAnsi="方正仿宋_GB2312" w:eastAsia="方正仿宋_GB2312" w:cs="方正仿宋_GB2312"/>
          <w:color w:val="auto"/>
          <w:kern w:val="0"/>
          <w:sz w:val="32"/>
          <w:szCs w:val="32"/>
          <w:lang w:val="en-US" w:eastAsia="zh-CN" w:bidi="ar-SA"/>
        </w:rPr>
        <w:t>号</w:t>
      </w:r>
    </w:p>
    <w:p w14:paraId="57835C75">
      <w:pPr>
        <w:keepNext w:val="0"/>
        <w:keepLines w:val="0"/>
        <w:pageBreakBefore w:val="0"/>
        <w:widowControl w:val="0"/>
        <w:shd w:val="clear" w:color="auto" w:fill="FFFFFF"/>
        <w:kinsoku/>
        <w:wordWrap w:val="0"/>
        <w:overflowPunct/>
        <w:topLinePunct/>
        <w:autoSpaceDE/>
        <w:autoSpaceDN/>
        <w:bidi w:val="0"/>
        <w:adjustRightInd/>
        <w:snapToGrid/>
        <w:spacing w:line="560" w:lineRule="exact"/>
        <w:ind w:firstLine="880" w:firstLineChars="200"/>
        <w:jc w:val="center"/>
        <w:textAlignment w:val="auto"/>
        <w:rPr>
          <w:rFonts w:ascii="方正小标宋简体" w:hAnsi="方正小标宋简体" w:eastAsia="方正小标宋简体" w:cs="方正小标宋简体"/>
          <w:bCs/>
          <w:color w:val="auto"/>
          <w:sz w:val="44"/>
          <w:szCs w:val="44"/>
        </w:rPr>
      </w:pPr>
    </w:p>
    <w:p w14:paraId="4EE521D7">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方正公文小标宋" w:hAnsi="方正公文小标宋" w:eastAsia="方正公文小标宋" w:cs="方正公文小标宋"/>
          <w:color w:val="auto"/>
          <w:sz w:val="44"/>
          <w:szCs w:val="44"/>
        </w:rPr>
      </w:pPr>
      <w:r>
        <w:rPr>
          <w:rFonts w:hint="eastAsia" w:ascii="方正公文小标宋" w:hAnsi="方正公文小标宋" w:eastAsia="方正公文小标宋" w:cs="方正公文小标宋"/>
          <w:color w:val="auto"/>
          <w:sz w:val="44"/>
          <w:szCs w:val="44"/>
          <w:lang w:val="en-US" w:eastAsia="zh-CN"/>
        </w:rPr>
        <w:t>关于</w:t>
      </w:r>
      <w:r>
        <w:rPr>
          <w:rFonts w:hint="eastAsia" w:ascii="方正公文小标宋" w:hAnsi="方正公文小标宋" w:eastAsia="方正公文小标宋" w:cs="方正公文小标宋"/>
          <w:color w:val="auto"/>
          <w:sz w:val="44"/>
          <w:szCs w:val="44"/>
        </w:rPr>
        <w:t>安徽田福农业科技有限公司架河循环</w:t>
      </w:r>
    </w:p>
    <w:p w14:paraId="7E4796C6">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方正公文小标宋" w:hAnsi="方正公文小标宋" w:eastAsia="方正公文小标宋" w:cs="方正公文小标宋"/>
          <w:color w:val="auto"/>
          <w:sz w:val="44"/>
          <w:szCs w:val="44"/>
        </w:rPr>
      </w:pPr>
      <w:r>
        <w:rPr>
          <w:rFonts w:hint="eastAsia" w:ascii="方正公文小标宋" w:hAnsi="方正公文小标宋" w:eastAsia="方正公文小标宋" w:cs="方正公文小标宋"/>
          <w:color w:val="auto"/>
          <w:sz w:val="44"/>
          <w:szCs w:val="44"/>
        </w:rPr>
        <w:t>产业园田福食品项目环境影响报告表的</w:t>
      </w:r>
    </w:p>
    <w:p w14:paraId="27E7E8C2">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方正公文小标宋" w:hAnsi="方正公文小标宋" w:eastAsia="方正公文小标宋" w:cs="方正公文小标宋"/>
          <w:color w:val="auto"/>
          <w:sz w:val="44"/>
          <w:szCs w:val="44"/>
        </w:rPr>
      </w:pPr>
      <w:r>
        <w:rPr>
          <w:rFonts w:hint="eastAsia" w:ascii="方正公文小标宋" w:hAnsi="方正公文小标宋" w:eastAsia="方正公文小标宋" w:cs="方正公文小标宋"/>
          <w:color w:val="auto"/>
          <w:sz w:val="44"/>
          <w:szCs w:val="44"/>
        </w:rPr>
        <w:t>批复</w:t>
      </w:r>
    </w:p>
    <w:p w14:paraId="508EEF04">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楷体" w:hAnsi="楷体" w:eastAsia="楷体" w:cs="楷体"/>
          <w:b w:val="0"/>
          <w:bCs w:val="0"/>
          <w:color w:val="auto"/>
          <w:sz w:val="32"/>
          <w:szCs w:val="32"/>
        </w:rPr>
      </w:pPr>
    </w:p>
    <w:p w14:paraId="72FCC6A1">
      <w:pPr>
        <w:keepNext w:val="0"/>
        <w:keepLines w:val="0"/>
        <w:pageBreakBefore w:val="0"/>
        <w:widowControl w:val="0"/>
        <w:kinsoku/>
        <w:wordWrap/>
        <w:overflowPunct/>
        <w:topLinePunct/>
        <w:autoSpaceDE/>
        <w:autoSpaceDN/>
        <w:bidi w:val="0"/>
        <w:adjustRightInd/>
        <w:snapToGrid/>
        <w:spacing w:line="560" w:lineRule="exact"/>
        <w:ind w:right="0"/>
        <w:jc w:val="left"/>
        <w:textAlignment w:val="auto"/>
        <w:rPr>
          <w:rFonts w:ascii="楷体" w:hAnsi="楷体" w:eastAsia="楷体" w:cs="楷体"/>
          <w:b/>
          <w:bCs/>
          <w:color w:val="auto"/>
          <w:sz w:val="32"/>
          <w:szCs w:val="32"/>
        </w:rPr>
      </w:pPr>
      <w:r>
        <w:rPr>
          <w:rFonts w:hint="eastAsia" w:ascii="楷体" w:hAnsi="楷体" w:eastAsia="楷体" w:cs="楷体"/>
          <w:b/>
          <w:bCs/>
          <w:color w:val="auto"/>
          <w:sz w:val="32"/>
          <w:szCs w:val="32"/>
          <w:lang w:val="en-US" w:eastAsia="zh-CN"/>
        </w:rPr>
        <w:t>安徽田福农业科技有限公司</w:t>
      </w:r>
      <w:r>
        <w:rPr>
          <w:rFonts w:hint="eastAsia" w:ascii="楷体" w:hAnsi="楷体" w:eastAsia="楷体" w:cs="楷体"/>
          <w:b/>
          <w:bCs/>
          <w:color w:val="auto"/>
          <w:sz w:val="32"/>
          <w:szCs w:val="32"/>
        </w:rPr>
        <w:t>：</w:t>
      </w:r>
    </w:p>
    <w:p w14:paraId="13DBEE2C">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你公司报送《</w:t>
      </w:r>
      <w:r>
        <w:rPr>
          <w:rFonts w:hint="eastAsia" w:ascii="方正仿宋_GB2312" w:hAnsi="方正仿宋_GB2312" w:eastAsia="方正仿宋_GB2312" w:cs="方正仿宋_GB2312"/>
          <w:color w:val="auto"/>
          <w:sz w:val="32"/>
          <w:szCs w:val="32"/>
          <w:lang w:val="en-US" w:eastAsia="zh-CN"/>
        </w:rPr>
        <w:t>架河循环产业园田福食品项目环境影响报告表</w:t>
      </w:r>
      <w:r>
        <w:rPr>
          <w:rFonts w:hint="eastAsia" w:ascii="方正仿宋_GB2312" w:hAnsi="方正仿宋_GB2312" w:eastAsia="方正仿宋_GB2312" w:cs="方正仿宋_GB2312"/>
          <w:color w:val="auto"/>
          <w:sz w:val="32"/>
          <w:szCs w:val="32"/>
        </w:rPr>
        <w:t>》（以下简称《报告表》）收悉，经审查研究后批复如下：</w:t>
      </w:r>
    </w:p>
    <w:p w14:paraId="77991AA1">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在全面落实环评文件提出的各项污染防治措施和风险防范措施的前提下，结合专家审查意见，原则同意该项目按照</w:t>
      </w:r>
      <w:r>
        <w:rPr>
          <w:rFonts w:hint="eastAsia" w:ascii="方正仿宋_GB2312" w:hAnsi="方正仿宋_GB2312" w:eastAsia="方正仿宋_GB2312" w:cs="方正仿宋_GB2312"/>
          <w:color w:val="auto"/>
          <w:sz w:val="32"/>
          <w:szCs w:val="32"/>
          <w:lang w:eastAsia="zh-CN"/>
        </w:rPr>
        <w:t>安徽国燚环境科技有限公司</w:t>
      </w:r>
      <w:r>
        <w:rPr>
          <w:rFonts w:hint="eastAsia" w:ascii="方正仿宋_GB2312" w:hAnsi="方正仿宋_GB2312" w:eastAsia="方正仿宋_GB2312" w:cs="方正仿宋_GB2312"/>
          <w:color w:val="auto"/>
          <w:sz w:val="32"/>
          <w:szCs w:val="32"/>
        </w:rPr>
        <w:t>编制的《报告表》及本审批意见要求进行建</w:t>
      </w:r>
      <w:bookmarkStart w:id="0" w:name="_GoBack"/>
      <w:bookmarkEnd w:id="0"/>
      <w:r>
        <w:rPr>
          <w:rFonts w:hint="eastAsia" w:ascii="方正仿宋_GB2312" w:hAnsi="方正仿宋_GB2312" w:eastAsia="方正仿宋_GB2312" w:cs="方正仿宋_GB2312"/>
          <w:color w:val="auto"/>
          <w:sz w:val="32"/>
          <w:szCs w:val="32"/>
        </w:rPr>
        <w:t>设。</w:t>
      </w:r>
    </w:p>
    <w:p w14:paraId="69961B49">
      <w:pPr>
        <w:keepNext w:val="0"/>
        <w:keepLines w:val="0"/>
        <w:pageBreakBefore w:val="0"/>
        <w:widowControl w:val="0"/>
        <w:kinsoku/>
        <w:wordWrap/>
        <w:overflowPunct/>
        <w:topLinePunct/>
        <w:autoSpaceDE/>
        <w:autoSpaceDN/>
        <w:bidi w:val="0"/>
        <w:adjustRightInd/>
        <w:snapToGrid/>
        <w:spacing w:line="560" w:lineRule="exact"/>
        <w:ind w:right="0" w:firstLine="640" w:firstLineChars="200"/>
        <w:jc w:val="left"/>
        <w:textAlignment w:val="auto"/>
        <w:rPr>
          <w:rFonts w:ascii="黑体" w:hAnsi="黑体" w:eastAsia="黑体" w:cs="黑体"/>
          <w:color w:val="auto"/>
          <w:sz w:val="32"/>
          <w:szCs w:val="32"/>
        </w:rPr>
      </w:pPr>
      <w:r>
        <w:rPr>
          <w:rFonts w:hint="eastAsia" w:ascii="黑体" w:hAnsi="黑体" w:eastAsia="黑体" w:cs="黑体"/>
          <w:color w:val="auto"/>
          <w:sz w:val="32"/>
          <w:szCs w:val="32"/>
        </w:rPr>
        <w:t>一、项目概况</w:t>
      </w:r>
    </w:p>
    <w:p w14:paraId="3383D19A">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textAlignment w:val="auto"/>
        <w:rPr>
          <w:rFonts w:hint="eastAsia" w:ascii="方正仿宋_GB2312" w:hAnsi="方正仿宋_GB2312" w:eastAsia="方正仿宋_GB2312" w:cs="方正仿宋_GB2312"/>
          <w:snapToGrid/>
          <w:color w:val="auto"/>
          <w:kern w:val="2"/>
          <w:sz w:val="32"/>
          <w:szCs w:val="32"/>
          <w:lang w:eastAsia="zh-CN"/>
        </w:rPr>
      </w:pPr>
      <w:r>
        <w:rPr>
          <w:rFonts w:hint="eastAsia" w:ascii="方正仿宋_GB2312" w:hAnsi="方正仿宋_GB2312" w:eastAsia="方正仿宋_GB2312" w:cs="方正仿宋_GB2312"/>
          <w:snapToGrid/>
          <w:color w:val="auto"/>
          <w:kern w:val="2"/>
          <w:sz w:val="32"/>
          <w:szCs w:val="32"/>
          <w:lang w:eastAsia="zh-CN"/>
        </w:rPr>
        <w:t>架河循环产业园田福食品项目位于安徽省淮南市潘集区泥集村，项目建设</w:t>
      </w:r>
      <w:r>
        <w:rPr>
          <w:rFonts w:hint="eastAsia" w:ascii="Times New Roman" w:hAnsi="Times New Roman" w:eastAsia="方正仿宋_GB2312" w:cs="方正仿宋_GB2312"/>
          <w:snapToGrid/>
          <w:color w:val="auto"/>
          <w:kern w:val="2"/>
          <w:sz w:val="32"/>
          <w:szCs w:val="32"/>
          <w:lang w:eastAsia="zh-CN"/>
        </w:rPr>
        <w:t>5600</w:t>
      </w:r>
      <w:r>
        <w:rPr>
          <w:rFonts w:hint="eastAsia" w:ascii="方正仿宋_GB2312" w:hAnsi="方正仿宋_GB2312" w:eastAsia="方正仿宋_GB2312" w:cs="方正仿宋_GB2312"/>
          <w:snapToGrid/>
          <w:color w:val="auto"/>
          <w:kern w:val="2"/>
          <w:sz w:val="32"/>
          <w:szCs w:val="32"/>
          <w:lang w:eastAsia="zh-CN"/>
        </w:rPr>
        <w:t>平方米标准化厂房，购置全自动千张生产线</w:t>
      </w:r>
      <w:r>
        <w:rPr>
          <w:rFonts w:hint="eastAsia" w:ascii="Times New Roman" w:hAnsi="Times New Roman" w:eastAsia="方正仿宋_GB2312" w:cs="方正仿宋_GB2312"/>
          <w:snapToGrid/>
          <w:color w:val="auto"/>
          <w:kern w:val="2"/>
          <w:sz w:val="32"/>
          <w:szCs w:val="32"/>
          <w:lang w:eastAsia="zh-CN"/>
        </w:rPr>
        <w:t>10</w:t>
      </w:r>
      <w:r>
        <w:rPr>
          <w:rFonts w:hint="eastAsia" w:ascii="方正仿宋_GB2312" w:hAnsi="方正仿宋_GB2312" w:eastAsia="方正仿宋_GB2312" w:cs="方正仿宋_GB2312"/>
          <w:snapToGrid/>
          <w:color w:val="auto"/>
          <w:kern w:val="2"/>
          <w:sz w:val="32"/>
          <w:szCs w:val="32"/>
          <w:lang w:eastAsia="zh-CN"/>
        </w:rPr>
        <w:t>条、豆干生产线</w:t>
      </w:r>
      <w:r>
        <w:rPr>
          <w:rFonts w:hint="eastAsia" w:ascii="Times New Roman" w:hAnsi="Times New Roman" w:eastAsia="方正仿宋_GB2312" w:cs="方正仿宋_GB2312"/>
          <w:snapToGrid/>
          <w:color w:val="auto"/>
          <w:kern w:val="2"/>
          <w:sz w:val="32"/>
          <w:szCs w:val="32"/>
          <w:lang w:eastAsia="zh-CN"/>
        </w:rPr>
        <w:t>5</w:t>
      </w:r>
      <w:r>
        <w:rPr>
          <w:rFonts w:hint="eastAsia" w:ascii="方正仿宋_GB2312" w:hAnsi="方正仿宋_GB2312" w:eastAsia="方正仿宋_GB2312" w:cs="方正仿宋_GB2312"/>
          <w:snapToGrid/>
          <w:color w:val="auto"/>
          <w:kern w:val="2"/>
          <w:sz w:val="32"/>
          <w:szCs w:val="32"/>
          <w:lang w:eastAsia="zh-CN"/>
        </w:rPr>
        <w:t>条和内酯豆腐生产线</w:t>
      </w:r>
      <w:r>
        <w:rPr>
          <w:rFonts w:hint="eastAsia" w:ascii="Times New Roman" w:hAnsi="Times New Roman" w:eastAsia="方正仿宋_GB2312" w:cs="方正仿宋_GB2312"/>
          <w:snapToGrid/>
          <w:color w:val="auto"/>
          <w:kern w:val="2"/>
          <w:sz w:val="32"/>
          <w:szCs w:val="32"/>
          <w:lang w:eastAsia="zh-CN"/>
        </w:rPr>
        <w:t>2</w:t>
      </w:r>
      <w:r>
        <w:rPr>
          <w:rFonts w:hint="eastAsia" w:ascii="方正仿宋_GB2312" w:hAnsi="方正仿宋_GB2312" w:eastAsia="方正仿宋_GB2312" w:cs="方正仿宋_GB2312"/>
          <w:snapToGrid/>
          <w:color w:val="auto"/>
          <w:kern w:val="2"/>
          <w:sz w:val="32"/>
          <w:szCs w:val="32"/>
          <w:lang w:eastAsia="zh-CN"/>
        </w:rPr>
        <w:t>条并配套建设辅助设施；项目建成后可达成年产</w:t>
      </w:r>
      <w:r>
        <w:rPr>
          <w:rFonts w:hint="eastAsia" w:ascii="Times New Roman" w:hAnsi="Times New Roman" w:eastAsia="方正仿宋_GB2312" w:cs="方正仿宋_GB2312"/>
          <w:snapToGrid/>
          <w:color w:val="auto"/>
          <w:kern w:val="2"/>
          <w:sz w:val="32"/>
          <w:szCs w:val="32"/>
          <w:lang w:eastAsia="zh-CN"/>
        </w:rPr>
        <w:t>4000</w:t>
      </w:r>
      <w:r>
        <w:rPr>
          <w:rFonts w:hint="eastAsia" w:ascii="方正仿宋_GB2312" w:hAnsi="方正仿宋_GB2312" w:eastAsia="方正仿宋_GB2312" w:cs="方正仿宋_GB2312"/>
          <w:snapToGrid/>
          <w:color w:val="auto"/>
          <w:kern w:val="2"/>
          <w:sz w:val="32"/>
          <w:szCs w:val="32"/>
          <w:lang w:eastAsia="zh-CN"/>
        </w:rPr>
        <w:t>吨豆制品的生产能力。工程投资</w:t>
      </w:r>
      <w:r>
        <w:rPr>
          <w:rFonts w:hint="eastAsia" w:ascii="Times New Roman" w:hAnsi="Times New Roman" w:eastAsia="方正仿宋_GB2312" w:cs="方正仿宋_GB2312"/>
          <w:snapToGrid/>
          <w:color w:val="auto"/>
          <w:kern w:val="2"/>
          <w:sz w:val="32"/>
          <w:szCs w:val="32"/>
          <w:lang w:val="en-US" w:eastAsia="zh-CN"/>
        </w:rPr>
        <w:t>1000</w:t>
      </w:r>
      <w:r>
        <w:rPr>
          <w:rFonts w:hint="eastAsia" w:ascii="方正仿宋_GB2312" w:hAnsi="方正仿宋_GB2312" w:eastAsia="方正仿宋_GB2312" w:cs="方正仿宋_GB2312"/>
          <w:snapToGrid/>
          <w:color w:val="auto"/>
          <w:kern w:val="2"/>
          <w:sz w:val="32"/>
          <w:szCs w:val="32"/>
          <w:lang w:eastAsia="zh-CN"/>
        </w:rPr>
        <w:t>万元，其中环保投资</w:t>
      </w:r>
      <w:r>
        <w:rPr>
          <w:rFonts w:hint="eastAsia" w:ascii="Times New Roman" w:hAnsi="Times New Roman" w:eastAsia="方正仿宋_GB2312" w:cs="方正仿宋_GB2312"/>
          <w:snapToGrid/>
          <w:color w:val="auto"/>
          <w:kern w:val="2"/>
          <w:sz w:val="32"/>
          <w:szCs w:val="32"/>
          <w:lang w:val="en-US" w:eastAsia="zh-CN"/>
        </w:rPr>
        <w:t>60</w:t>
      </w:r>
      <w:r>
        <w:rPr>
          <w:rFonts w:hint="eastAsia" w:ascii="方正仿宋_GB2312" w:hAnsi="方正仿宋_GB2312" w:eastAsia="方正仿宋_GB2312" w:cs="方正仿宋_GB2312"/>
          <w:snapToGrid/>
          <w:color w:val="auto"/>
          <w:kern w:val="2"/>
          <w:sz w:val="32"/>
          <w:szCs w:val="32"/>
          <w:lang w:eastAsia="zh-CN"/>
        </w:rPr>
        <w:t>万元。</w:t>
      </w:r>
    </w:p>
    <w:p w14:paraId="74AA0D43">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textAlignment w:val="auto"/>
        <w:rPr>
          <w:rFonts w:hint="eastAsia" w:ascii="方正仿宋_GB2312" w:hAnsi="方正仿宋_GB2312" w:eastAsia="方正仿宋_GB2312" w:cs="方正仿宋_GB2312"/>
          <w:bCs/>
          <w:color w:val="auto"/>
          <w:sz w:val="24"/>
          <w:lang w:val="en-US" w:eastAsia="zh-CN"/>
        </w:rPr>
      </w:pPr>
      <w:r>
        <w:rPr>
          <w:rFonts w:hint="eastAsia" w:ascii="方正仿宋_GB2312" w:hAnsi="方正仿宋_GB2312" w:eastAsia="方正仿宋_GB2312" w:cs="方正仿宋_GB2312"/>
          <w:color w:val="auto"/>
          <w:sz w:val="32"/>
          <w:szCs w:val="32"/>
          <w:lang w:val="en-US" w:eastAsia="zh-CN"/>
        </w:rPr>
        <w:t>本项目已由淮南市潘集区发展和改革委员会备案，项目编码：</w:t>
      </w:r>
      <w:r>
        <w:rPr>
          <w:rFonts w:hint="eastAsia" w:ascii="Times New Roman" w:hAnsi="Times New Roman" w:eastAsia="方正仿宋_GB2312" w:cs="方正仿宋_GB2312"/>
          <w:color w:val="auto"/>
          <w:sz w:val="32"/>
          <w:szCs w:val="32"/>
          <w:lang w:val="en-US" w:eastAsia="zh-CN"/>
        </w:rPr>
        <w:t>2401-340406-04-01-572380</w:t>
      </w:r>
      <w:r>
        <w:rPr>
          <w:rFonts w:hint="eastAsia" w:ascii="方正仿宋_GB2312" w:hAnsi="方正仿宋_GB2312" w:eastAsia="方正仿宋_GB2312" w:cs="方正仿宋_GB2312"/>
          <w:color w:val="auto"/>
          <w:sz w:val="32"/>
          <w:szCs w:val="32"/>
          <w:lang w:val="en-US" w:eastAsia="zh-CN"/>
        </w:rPr>
        <w:t>，未经同意不得擅自改变建设内容、工艺、规模和选址等。若工程建设发生重大变动，必须严格依照《中华人民共和国环境影响评价法》的有关规定办理相关手续。</w:t>
      </w:r>
    </w:p>
    <w:p w14:paraId="72E31427">
      <w:pPr>
        <w:keepNext w:val="0"/>
        <w:keepLines w:val="0"/>
        <w:pageBreakBefore w:val="0"/>
        <w:widowControl w:val="0"/>
        <w:kinsoku/>
        <w:wordWrap/>
        <w:overflowPunct/>
        <w:topLinePunct/>
        <w:autoSpaceDE/>
        <w:autoSpaceDN/>
        <w:bidi w:val="0"/>
        <w:adjustRightInd/>
        <w:snapToGrid/>
        <w:spacing w:line="560" w:lineRule="exact"/>
        <w:ind w:right="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二、污染防治措施要求</w:t>
      </w:r>
    </w:p>
    <w:p w14:paraId="322DBAEF">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为保护区域环境质量不因本项目建设而降低，项目设计、建设和运行必须做到以下要求：</w:t>
      </w:r>
    </w:p>
    <w:p w14:paraId="6CBB30E3">
      <w:pPr>
        <w:keepNext w:val="0"/>
        <w:keepLines w:val="0"/>
        <w:pageBreakBefore w:val="0"/>
        <w:widowControl w:val="0"/>
        <w:numPr>
          <w:ilvl w:val="0"/>
          <w:numId w:val="0"/>
        </w:numPr>
        <w:suppressLineNumbers w:val="0"/>
        <w:kinsoku/>
        <w:wordWrap/>
        <w:overflowPunct/>
        <w:topLinePunct/>
        <w:autoSpaceDE/>
        <w:autoSpaceDN/>
        <w:bidi w:val="0"/>
        <w:adjustRightInd/>
        <w:snapToGrid/>
        <w:spacing w:line="560" w:lineRule="exact"/>
        <w:ind w:right="0" w:rightChars="0" w:firstLine="640"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kern w:val="2"/>
          <w:sz w:val="32"/>
          <w:szCs w:val="32"/>
          <w:lang w:val="en-US" w:eastAsia="zh-CN" w:bidi="ar-SA"/>
        </w:rPr>
        <w:t>（一）</w:t>
      </w:r>
      <w:r>
        <w:rPr>
          <w:rFonts w:hint="eastAsia" w:ascii="楷体" w:hAnsi="楷体" w:eastAsia="楷体" w:cs="楷体"/>
          <w:color w:val="auto"/>
          <w:sz w:val="32"/>
          <w:szCs w:val="32"/>
        </w:rPr>
        <w:t>严格落实大气污染防治措施。</w:t>
      </w:r>
      <w:r>
        <w:rPr>
          <w:rFonts w:hint="eastAsia" w:ascii="方正仿宋_GB2312" w:hAnsi="方正仿宋_GB2312" w:eastAsia="方正仿宋_GB2312" w:cs="方正仿宋_GB2312"/>
          <w:color w:val="auto"/>
          <w:sz w:val="32"/>
          <w:szCs w:val="32"/>
          <w:lang w:val="en-US" w:eastAsia="zh-CN"/>
        </w:rPr>
        <w:t>严格落实</w:t>
      </w:r>
      <w:r>
        <w:rPr>
          <w:rFonts w:hint="eastAsia" w:ascii="方正仿宋_GB2312" w:hAnsi="方正仿宋_GB2312" w:eastAsia="方正仿宋_GB2312" w:cs="方正仿宋_GB2312"/>
          <w:color w:val="auto"/>
          <w:sz w:val="32"/>
          <w:szCs w:val="32"/>
        </w:rPr>
        <w:t>《报告表》</w:t>
      </w:r>
      <w:r>
        <w:rPr>
          <w:rFonts w:hint="eastAsia" w:ascii="方正仿宋_GB2312" w:hAnsi="方正仿宋_GB2312" w:eastAsia="方正仿宋_GB2312" w:cs="方正仿宋_GB2312"/>
          <w:color w:val="auto"/>
          <w:sz w:val="32"/>
          <w:szCs w:val="32"/>
          <w:lang w:val="en-US" w:eastAsia="zh-CN"/>
        </w:rPr>
        <w:t>中提出的废气污染防治措施。施工期间严格按照《安徽省大气污染防治条例》、《安徽省建筑工程施工和预拌混凝土生产扬尘污染防治标准》（试行）、《淮南市扬尘污染防治管理条例》和《淮南市建设工程文明施工管理办法》中的相关要求，加强扬尘综合治理，严格施工扬尘监管。施工期施工扬尘等无组织粉尘采取洒水降尘措施；采用密闭车辆运输，加强运输车辆和路面的管理，合理安排施工车辆行驶路线，尽量避开居民集中区，途经居民区集中区域应尽量减缓行驶车速。</w:t>
      </w:r>
    </w:p>
    <w:p w14:paraId="4DD51112">
      <w:pPr>
        <w:keepNext w:val="0"/>
        <w:keepLines w:val="0"/>
        <w:pageBreakBefore w:val="0"/>
        <w:widowControl w:val="0"/>
        <w:numPr>
          <w:ilvl w:val="0"/>
          <w:numId w:val="0"/>
        </w:numPr>
        <w:suppressLineNumbers w:val="0"/>
        <w:kinsoku/>
        <w:wordWrap/>
        <w:overflowPunct/>
        <w:topLinePunct/>
        <w:autoSpaceDE/>
        <w:autoSpaceDN/>
        <w:bidi w:val="0"/>
        <w:adjustRightInd/>
        <w:snapToGrid/>
        <w:spacing w:line="560" w:lineRule="exact"/>
        <w:ind w:right="0" w:firstLine="640"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运营期间严格落实大气污染防治措施。燃烧尾气经排气管经</w:t>
      </w:r>
      <w:r>
        <w:rPr>
          <w:rFonts w:hint="eastAsia" w:ascii="Times New Roman" w:hAnsi="Times New Roman" w:eastAsia="方正仿宋_GB2312" w:cs="方正仿宋_GB2312"/>
          <w:color w:val="auto"/>
          <w:sz w:val="32"/>
          <w:szCs w:val="32"/>
          <w:lang w:val="en-US" w:eastAsia="zh-CN"/>
        </w:rPr>
        <w:t>18m</w:t>
      </w:r>
      <w:r>
        <w:rPr>
          <w:rFonts w:hint="eastAsia" w:ascii="方正仿宋_GB2312" w:hAnsi="方正仿宋_GB2312" w:eastAsia="方正仿宋_GB2312" w:cs="方正仿宋_GB2312"/>
          <w:color w:val="auto"/>
          <w:sz w:val="32"/>
          <w:szCs w:val="32"/>
          <w:lang w:val="en-US" w:eastAsia="zh-CN"/>
        </w:rPr>
        <w:t>高排气筒排放；废豆渣要求暂存在封闭的豆渣暂存间内，豆渣须日产日清，并对豆渣暂存间进行清扫。</w:t>
      </w:r>
    </w:p>
    <w:p w14:paraId="7AA62C26">
      <w:pPr>
        <w:keepNext w:val="0"/>
        <w:keepLines w:val="0"/>
        <w:pageBreakBefore w:val="0"/>
        <w:widowControl w:val="0"/>
        <w:numPr>
          <w:ilvl w:val="0"/>
          <w:numId w:val="0"/>
        </w:numPr>
        <w:suppressLineNumbers w:val="0"/>
        <w:kinsoku/>
        <w:wordWrap/>
        <w:overflowPunct/>
        <w:topLinePunct/>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color w:val="auto"/>
          <w:sz w:val="32"/>
          <w:szCs w:val="32"/>
        </w:rPr>
        <w:t>（二）严格落实水污染防治措施。</w:t>
      </w:r>
      <w:r>
        <w:rPr>
          <w:rFonts w:hint="eastAsia" w:ascii="方正仿宋_GB2312" w:hAnsi="方正仿宋_GB2312" w:eastAsia="方正仿宋_GB2312" w:cs="方正仿宋_GB2312"/>
          <w:color w:val="auto"/>
          <w:kern w:val="2"/>
          <w:sz w:val="32"/>
          <w:szCs w:val="32"/>
          <w:lang w:val="en-US" w:eastAsia="zh-CN" w:bidi="ar-SA"/>
        </w:rPr>
        <w:t>项目生活废水经化粪池处理后和所有生产废水一并排入项目区现有的沼气发电系统进行厌氧发酵，项目所有废水均不允许外排。</w:t>
      </w:r>
    </w:p>
    <w:p w14:paraId="2179F341">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楷体" w:hAnsi="楷体" w:eastAsia="楷体" w:cs="楷体"/>
          <w:color w:val="auto"/>
          <w:sz w:val="32"/>
          <w:szCs w:val="32"/>
        </w:rPr>
        <w:t>（三）严格落实噪声污染防治措施。</w:t>
      </w:r>
      <w:r>
        <w:rPr>
          <w:rFonts w:hint="default" w:ascii="Times New Roman" w:hAnsi="Times New Roman" w:eastAsia="方正仿宋_GB2312" w:cs="Times New Roman"/>
          <w:color w:val="auto"/>
          <w:kern w:val="0"/>
          <w:sz w:val="32"/>
          <w:szCs w:val="32"/>
        </w:rPr>
        <w:t>项目运营期噪声主要来源于各机械生产设备运行产生的噪声，通过采取厂房隔声、选用低噪声施工机械，设备定期维护保养，加强设备及人员操作管理</w:t>
      </w:r>
      <w:r>
        <w:rPr>
          <w:rFonts w:hint="default" w:ascii="Times New Roman" w:hAnsi="Times New Roman" w:eastAsia="方正仿宋_GB2312" w:cs="Times New Roman"/>
          <w:color w:val="auto"/>
          <w:kern w:val="0"/>
          <w:sz w:val="32"/>
          <w:szCs w:val="32"/>
          <w:lang w:eastAsia="zh-CN"/>
        </w:rPr>
        <w:t>等</w:t>
      </w:r>
      <w:r>
        <w:rPr>
          <w:rFonts w:hint="default" w:ascii="Times New Roman" w:hAnsi="Times New Roman" w:eastAsia="方正仿宋_GB2312" w:cs="Times New Roman"/>
          <w:color w:val="auto"/>
          <w:kern w:val="0"/>
          <w:sz w:val="32"/>
          <w:szCs w:val="32"/>
        </w:rPr>
        <w:t>措施防治噪声对周边环境的影响，保证厂界噪声达标。</w:t>
      </w:r>
    </w:p>
    <w:p w14:paraId="778971BE">
      <w:pPr>
        <w:keepNext w:val="0"/>
        <w:keepLines w:val="0"/>
        <w:pageBreakBefore w:val="0"/>
        <w:widowControl w:val="0"/>
        <w:numPr>
          <w:ilvl w:val="0"/>
          <w:numId w:val="0"/>
        </w:numPr>
        <w:suppressLineNumbers w:val="0"/>
        <w:kinsoku/>
        <w:wordWrap/>
        <w:overflowPunct/>
        <w:topLinePunct/>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四</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严格落实固废污染防治措施。</w:t>
      </w:r>
      <w:r>
        <w:rPr>
          <w:rFonts w:hint="eastAsia" w:ascii="方正仿宋_GB2312" w:hAnsi="方正仿宋_GB2312" w:eastAsia="方正仿宋_GB2312" w:cs="方正仿宋_GB2312"/>
          <w:color w:val="auto"/>
          <w:kern w:val="0"/>
          <w:sz w:val="32"/>
          <w:szCs w:val="32"/>
          <w:lang w:val="en-US" w:eastAsia="zh-CN" w:bidi="ar-SA"/>
        </w:rPr>
        <w:t>项目产生的一般工业固体废弃物主要为豆渣、不合格品、废包装材料、废</w:t>
      </w:r>
      <w:r>
        <w:rPr>
          <w:rFonts w:hint="default" w:ascii="Times New Roman" w:hAnsi="Times New Roman" w:eastAsia="方正仿宋_GB2312" w:cs="Times New Roman"/>
          <w:color w:val="auto"/>
          <w:kern w:val="0"/>
          <w:sz w:val="32"/>
          <w:szCs w:val="32"/>
          <w:lang w:val="en-US" w:eastAsia="zh-CN" w:bidi="ar-SA"/>
        </w:rPr>
        <w:t>RO</w:t>
      </w:r>
      <w:r>
        <w:rPr>
          <w:rFonts w:hint="eastAsia" w:ascii="方正仿宋_GB2312" w:hAnsi="方正仿宋_GB2312" w:eastAsia="方正仿宋_GB2312" w:cs="方正仿宋_GB2312"/>
          <w:color w:val="auto"/>
          <w:kern w:val="0"/>
          <w:sz w:val="32"/>
          <w:szCs w:val="32"/>
          <w:lang w:val="en-US" w:eastAsia="zh-CN" w:bidi="ar-SA"/>
        </w:rPr>
        <w:t>反渗透膜和生活垃圾。厂区内设置一般固废暂存间；一般固废进行分类收集，定期委托有资质单位进行处置。豆渣暂存于密闭豆渣库作为园区养殖区的饲料；废黄豆作为园区养殖区的饲料；废包装材料外售综合利用；废包装材料由企业收集后外售；废</w:t>
      </w:r>
      <w:r>
        <w:rPr>
          <w:rFonts w:hint="default" w:ascii="Times New Roman" w:hAnsi="Times New Roman" w:eastAsia="方正仿宋_GB2312" w:cs="Times New Roman"/>
          <w:color w:val="auto"/>
          <w:kern w:val="0"/>
          <w:sz w:val="32"/>
          <w:szCs w:val="32"/>
          <w:lang w:val="en-US" w:eastAsia="zh-CN" w:bidi="ar-SA"/>
        </w:rPr>
        <w:t>RO</w:t>
      </w:r>
      <w:r>
        <w:rPr>
          <w:rFonts w:hint="eastAsia" w:ascii="方正仿宋_GB2312" w:hAnsi="方正仿宋_GB2312" w:eastAsia="方正仿宋_GB2312" w:cs="方正仿宋_GB2312"/>
          <w:color w:val="auto"/>
          <w:kern w:val="0"/>
          <w:sz w:val="32"/>
          <w:szCs w:val="32"/>
          <w:lang w:val="en-US" w:eastAsia="zh-CN" w:bidi="ar-SA"/>
        </w:rPr>
        <w:t>反渗透膜更换时由厂家直接回收；生活垃圾委托环卫部门清运处理。</w:t>
      </w:r>
    </w:p>
    <w:p w14:paraId="31660621">
      <w:pPr>
        <w:keepNext w:val="0"/>
        <w:keepLines w:val="0"/>
        <w:pageBreakBefore w:val="0"/>
        <w:widowControl w:val="0"/>
        <w:kinsoku/>
        <w:wordWrap/>
        <w:overflowPunct/>
        <w:topLinePunct/>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楷体" w:hAnsi="楷体" w:eastAsia="楷体" w:cs="楷体"/>
          <w:color w:val="auto"/>
          <w:kern w:val="2"/>
          <w:sz w:val="32"/>
          <w:szCs w:val="32"/>
        </w:rPr>
        <w:t>（五）严格落实土壤及地下水污染防治措施。</w:t>
      </w:r>
      <w:r>
        <w:rPr>
          <w:rFonts w:hint="eastAsia" w:ascii="方正仿宋_GB2312" w:hAnsi="方正仿宋_GB2312" w:eastAsia="方正仿宋_GB2312" w:cs="方正仿宋_GB2312"/>
          <w:color w:val="auto"/>
          <w:kern w:val="0"/>
          <w:sz w:val="32"/>
          <w:szCs w:val="32"/>
          <w:lang w:val="en-GB" w:eastAsia="zh-CN" w:bidi="ar-SA"/>
        </w:rPr>
        <w:t>结合</w:t>
      </w:r>
      <w:r>
        <w:rPr>
          <w:rFonts w:hint="eastAsia" w:ascii="方正仿宋_GB2312" w:hAnsi="方正仿宋_GB2312" w:eastAsia="方正仿宋_GB2312" w:cs="方正仿宋_GB2312"/>
          <w:color w:val="auto"/>
          <w:kern w:val="0"/>
          <w:sz w:val="32"/>
          <w:szCs w:val="32"/>
          <w:lang w:val="en-US" w:eastAsia="zh-CN" w:bidi="ar-SA"/>
        </w:rPr>
        <w:t>《报告表》</w:t>
      </w:r>
      <w:r>
        <w:rPr>
          <w:rFonts w:hint="eastAsia" w:ascii="方正仿宋_GB2312" w:hAnsi="方正仿宋_GB2312" w:eastAsia="方正仿宋_GB2312" w:cs="方正仿宋_GB2312"/>
          <w:color w:val="auto"/>
          <w:kern w:val="0"/>
          <w:sz w:val="32"/>
          <w:szCs w:val="32"/>
          <w:lang w:val="en-GB" w:eastAsia="zh-CN" w:bidi="ar-SA"/>
        </w:rPr>
        <w:t>相关内容，严格落实分区防渗措施，防止</w:t>
      </w:r>
      <w:r>
        <w:rPr>
          <w:rFonts w:hint="eastAsia" w:ascii="方正仿宋_GB2312" w:hAnsi="方正仿宋_GB2312" w:eastAsia="方正仿宋_GB2312" w:cs="方正仿宋_GB2312"/>
          <w:color w:val="auto"/>
          <w:kern w:val="0"/>
          <w:sz w:val="32"/>
          <w:szCs w:val="32"/>
          <w:lang w:val="en-US" w:eastAsia="zh-CN" w:bidi="ar-SA"/>
        </w:rPr>
        <w:t>污染土壤及地下水。</w:t>
      </w:r>
    </w:p>
    <w:p w14:paraId="001789CB">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textAlignment w:val="auto"/>
        <w:rPr>
          <w:rFonts w:hint="default" w:ascii="仿宋_GB2312" w:hAnsi="仿宋_GB2312" w:eastAsia="仿宋_GB2312" w:cs="仿宋_GB2312"/>
          <w:color w:val="auto"/>
          <w:kern w:val="0"/>
          <w:sz w:val="32"/>
          <w:szCs w:val="32"/>
          <w:lang w:val="en-US" w:eastAsia="zh-CN" w:bidi="ar-SA"/>
        </w:rPr>
      </w:pPr>
      <w:r>
        <w:rPr>
          <w:rFonts w:hint="eastAsia" w:ascii="楷体" w:hAnsi="楷体" w:eastAsia="楷体" w:cs="楷体"/>
          <w:color w:val="auto"/>
          <w:kern w:val="2"/>
          <w:sz w:val="32"/>
          <w:szCs w:val="32"/>
        </w:rPr>
        <w:t>（六）加强环境风险预防和控制</w:t>
      </w:r>
      <w:r>
        <w:rPr>
          <w:rFonts w:hint="eastAsia" w:ascii="楷体" w:hAnsi="楷体" w:eastAsia="楷体" w:cs="楷体"/>
          <w:color w:val="auto"/>
          <w:sz w:val="32"/>
          <w:szCs w:val="32"/>
        </w:rPr>
        <w:t>。</w:t>
      </w:r>
      <w:r>
        <w:rPr>
          <w:rFonts w:hint="eastAsia" w:ascii="方正仿宋_GB2312" w:hAnsi="方正仿宋_GB2312" w:eastAsia="方正仿宋_GB2312" w:cs="方正仿宋_GB2312"/>
          <w:color w:val="auto"/>
          <w:kern w:val="0"/>
          <w:sz w:val="32"/>
          <w:szCs w:val="32"/>
          <w:lang w:val="en-US" w:eastAsia="zh-CN" w:bidi="ar-SA"/>
        </w:rPr>
        <w:t>落实《报告表》提出的各项风险防范措施。结合本项目存在的环境风险点，编制环境风险应急预案，依法开展应急演练，确保突发事故状态下的次生环境影响程度可控。</w:t>
      </w:r>
    </w:p>
    <w:p w14:paraId="51B80A0A">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三、环境管理要求</w:t>
      </w:r>
    </w:p>
    <w:p w14:paraId="12244E7C">
      <w:pPr>
        <w:keepNext w:val="0"/>
        <w:keepLines w:val="0"/>
        <w:pageBreakBefore w:val="0"/>
        <w:widowControl w:val="0"/>
        <w:kinsoku/>
        <w:wordWrap/>
        <w:overflowPunct/>
        <w:topLinePunct/>
        <w:autoSpaceDE/>
        <w:autoSpaceDN/>
        <w:bidi w:val="0"/>
        <w:adjustRightInd/>
        <w:snapToGrid/>
        <w:spacing w:line="560" w:lineRule="exact"/>
        <w:ind w:right="0" w:firstLine="640"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rPr>
        <w:t>项目建设过程中应严格执行环境保护“三同时”制度。项目建成后，及时申请排污许可证，项目竣工后应及时对配套建设的环境保护设施进行验收，验收合格后方可使用。如有环境功能区划</w:t>
      </w:r>
      <w:r>
        <w:rPr>
          <w:rFonts w:hint="eastAsia" w:ascii="方正仿宋_GB2312" w:hAnsi="方正仿宋_GB2312" w:eastAsia="方正仿宋_GB2312" w:cs="方正仿宋_GB2312"/>
          <w:color w:val="auto"/>
          <w:sz w:val="32"/>
          <w:szCs w:val="32"/>
          <w:lang w:val="en-US" w:eastAsia="zh-CN"/>
        </w:rPr>
        <w:t>调整、新标准制定实施等情况，按照要求变更执行标准。</w:t>
      </w:r>
    </w:p>
    <w:p w14:paraId="1F47E78E">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四、环评执行标准</w:t>
      </w:r>
    </w:p>
    <w:p w14:paraId="74452851">
      <w:pPr>
        <w:keepNext w:val="0"/>
        <w:keepLines w:val="0"/>
        <w:pageBreakBefore w:val="0"/>
        <w:widowControl w:val="0"/>
        <w:kinsoku/>
        <w:wordWrap w:val="0"/>
        <w:overflowPunct/>
        <w:topLinePunct/>
        <w:autoSpaceDE/>
        <w:autoSpaceDN/>
        <w:bidi w:val="0"/>
        <w:adjustRightInd/>
        <w:snapToGrid/>
        <w:spacing w:line="560" w:lineRule="exact"/>
        <w:ind w:left="0" w:firstLine="640" w:firstLineChars="200"/>
        <w:jc w:val="left"/>
        <w:textAlignment w:val="auto"/>
        <w:rPr>
          <w:rFonts w:hint="eastAsia" w:ascii="方正仿宋_GB2312" w:hAnsi="方正仿宋_GB2312" w:eastAsia="方正仿宋_GB2312" w:cs="方正仿宋_GB2312"/>
          <w:color w:val="auto"/>
          <w:kern w:val="2"/>
          <w:sz w:val="32"/>
          <w:szCs w:val="32"/>
        </w:rPr>
      </w:pPr>
      <w:r>
        <w:rPr>
          <w:rFonts w:hint="eastAsia" w:ascii="Times New Roman" w:hAnsi="Times New Roman" w:eastAsia="方正仿宋_GB2312" w:cs="方正仿宋_GB2312"/>
          <w:color w:val="auto"/>
          <w:kern w:val="2"/>
          <w:sz w:val="32"/>
          <w:szCs w:val="32"/>
        </w:rPr>
        <w:t>1</w:t>
      </w:r>
      <w:r>
        <w:rPr>
          <w:rFonts w:hint="eastAsia" w:ascii="方正仿宋_GB2312" w:hAnsi="方正仿宋_GB2312" w:eastAsia="方正仿宋_GB2312" w:cs="方正仿宋_GB2312"/>
          <w:color w:val="auto"/>
          <w:kern w:val="2"/>
          <w:sz w:val="32"/>
          <w:szCs w:val="32"/>
        </w:rPr>
        <w:t>.废气排放</w:t>
      </w:r>
    </w:p>
    <w:p w14:paraId="0B5D3AA6">
      <w:pPr>
        <w:keepNext w:val="0"/>
        <w:keepLines w:val="0"/>
        <w:pageBreakBefore w:val="0"/>
        <w:widowControl w:val="0"/>
        <w:kinsoku/>
        <w:wordWrap/>
        <w:overflowPunct/>
        <w:topLinePunct/>
        <w:autoSpaceDE/>
        <w:autoSpaceDN/>
        <w:bidi w:val="0"/>
        <w:adjustRightInd/>
        <w:snapToGrid/>
        <w:spacing w:line="560" w:lineRule="exact"/>
        <w:ind w:right="0" w:firstLine="640" w:firstLineChars="200"/>
        <w:jc w:val="left"/>
        <w:textAlignment w:val="auto"/>
        <w:rPr>
          <w:rFonts w:hint="default"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项目臭气浓度排放执行《恶臭污染物排放标准》（</w:t>
      </w:r>
      <w:r>
        <w:rPr>
          <w:rFonts w:hint="eastAsia" w:ascii="Times New Roman" w:hAnsi="Times New Roman" w:eastAsia="方正仿宋_GB2312" w:cs="方正仿宋_GB2312"/>
          <w:color w:val="auto"/>
          <w:sz w:val="32"/>
          <w:szCs w:val="32"/>
          <w:lang w:val="en-US" w:eastAsia="zh-CN"/>
        </w:rPr>
        <w:t>GB14554</w:t>
      </w:r>
      <w:r>
        <w:rPr>
          <w:rFonts w:hint="eastAsia" w:ascii="方正仿宋_GB2312" w:hAnsi="方正仿宋_GB2312" w:eastAsia="方正仿宋_GB2312" w:cs="方正仿宋_GB2312"/>
          <w:color w:val="auto"/>
          <w:sz w:val="32"/>
          <w:szCs w:val="32"/>
          <w:lang w:val="en-US" w:eastAsia="zh-CN"/>
        </w:rPr>
        <w:t>-</w:t>
      </w:r>
      <w:r>
        <w:rPr>
          <w:rFonts w:hint="eastAsia" w:ascii="Times New Roman" w:hAnsi="Times New Roman" w:eastAsia="方正仿宋_GB2312" w:cs="方正仿宋_GB2312"/>
          <w:color w:val="auto"/>
          <w:sz w:val="32"/>
          <w:szCs w:val="32"/>
          <w:lang w:val="en-US" w:eastAsia="zh-CN"/>
        </w:rPr>
        <w:t>93</w:t>
      </w:r>
      <w:r>
        <w:rPr>
          <w:rFonts w:hint="eastAsia" w:ascii="方正仿宋_GB2312" w:hAnsi="方正仿宋_GB2312" w:eastAsia="方正仿宋_GB2312" w:cs="方正仿宋_GB2312"/>
          <w:color w:val="auto"/>
          <w:sz w:val="32"/>
          <w:szCs w:val="32"/>
          <w:lang w:val="en-US" w:eastAsia="zh-CN"/>
        </w:rPr>
        <w:t>）二级排放标准。</w:t>
      </w:r>
    </w:p>
    <w:p w14:paraId="7645AAB0">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Times New Roman" w:hAnsi="Times New Roman" w:eastAsia="方正仿宋_GB2312" w:cs="方正仿宋_GB2312"/>
          <w:color w:val="auto"/>
          <w:sz w:val="32"/>
          <w:szCs w:val="32"/>
          <w:lang w:val="en-US" w:eastAsia="zh-CN"/>
        </w:rPr>
        <w:t>2</w:t>
      </w:r>
      <w:r>
        <w:rPr>
          <w:rFonts w:hint="eastAsia" w:ascii="方正仿宋_GB2312" w:hAnsi="方正仿宋_GB2312" w:eastAsia="方正仿宋_GB2312" w:cs="方正仿宋_GB2312"/>
          <w:color w:val="auto"/>
          <w:sz w:val="32"/>
          <w:szCs w:val="32"/>
        </w:rPr>
        <w:t>.声环境及噪声排放</w:t>
      </w:r>
    </w:p>
    <w:p w14:paraId="60953297">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textAlignment w:val="auto"/>
        <w:rPr>
          <w:rFonts w:hint="eastAsia" w:ascii="方正仿宋_GB2312" w:hAnsi="方正仿宋_GB2312" w:eastAsia="方正仿宋_GB2312" w:cs="方正仿宋_GB2312"/>
          <w:color w:val="auto"/>
          <w:kern w:val="2"/>
          <w:sz w:val="32"/>
          <w:szCs w:val="32"/>
        </w:rPr>
      </w:pPr>
      <w:r>
        <w:rPr>
          <w:rFonts w:hint="eastAsia" w:ascii="方正仿宋_GB2312" w:hAnsi="方正仿宋_GB2312" w:eastAsia="方正仿宋_GB2312" w:cs="方正仿宋_GB2312"/>
          <w:color w:val="auto"/>
          <w:kern w:val="2"/>
          <w:sz w:val="32"/>
          <w:szCs w:val="32"/>
        </w:rPr>
        <w:t>项目营运期厂界噪声执行《工业企业厂界环境噪声排放标准》（</w:t>
      </w:r>
      <w:r>
        <w:rPr>
          <w:rFonts w:hint="eastAsia" w:ascii="Times New Roman" w:hAnsi="Times New Roman" w:eastAsia="方正仿宋_GB2312" w:cs="方正仿宋_GB2312"/>
          <w:color w:val="auto"/>
          <w:kern w:val="2"/>
          <w:sz w:val="32"/>
          <w:szCs w:val="32"/>
        </w:rPr>
        <w:t>GB12348</w:t>
      </w:r>
      <w:r>
        <w:rPr>
          <w:rFonts w:hint="eastAsia" w:ascii="方正仿宋_GB2312" w:hAnsi="方正仿宋_GB2312" w:eastAsia="方正仿宋_GB2312" w:cs="方正仿宋_GB2312"/>
          <w:color w:val="auto"/>
          <w:kern w:val="2"/>
          <w:sz w:val="32"/>
          <w:szCs w:val="32"/>
        </w:rPr>
        <w:t>-</w:t>
      </w:r>
      <w:r>
        <w:rPr>
          <w:rFonts w:hint="eastAsia" w:ascii="Times New Roman" w:hAnsi="Times New Roman" w:eastAsia="方正仿宋_GB2312" w:cs="方正仿宋_GB2312"/>
          <w:color w:val="auto"/>
          <w:kern w:val="2"/>
          <w:sz w:val="32"/>
          <w:szCs w:val="32"/>
        </w:rPr>
        <w:t>2008</w:t>
      </w:r>
      <w:r>
        <w:rPr>
          <w:rFonts w:hint="eastAsia" w:ascii="方正仿宋_GB2312" w:hAnsi="方正仿宋_GB2312" w:eastAsia="方正仿宋_GB2312" w:cs="方正仿宋_GB2312"/>
          <w:color w:val="auto"/>
          <w:kern w:val="2"/>
          <w:sz w:val="32"/>
          <w:szCs w:val="32"/>
        </w:rPr>
        <w:t>）</w:t>
      </w:r>
      <w:r>
        <w:rPr>
          <w:rFonts w:hint="eastAsia" w:ascii="Times New Roman" w:hAnsi="Times New Roman" w:eastAsia="方正仿宋_GB2312" w:cs="方正仿宋_GB2312"/>
          <w:color w:val="auto"/>
          <w:kern w:val="2"/>
          <w:sz w:val="32"/>
          <w:szCs w:val="32"/>
          <w:lang w:val="en-US" w:eastAsia="zh-CN"/>
        </w:rPr>
        <w:t>3</w:t>
      </w:r>
      <w:r>
        <w:rPr>
          <w:rFonts w:hint="eastAsia" w:ascii="方正仿宋_GB2312" w:hAnsi="方正仿宋_GB2312" w:eastAsia="方正仿宋_GB2312" w:cs="方正仿宋_GB2312"/>
          <w:color w:val="auto"/>
          <w:kern w:val="2"/>
          <w:sz w:val="32"/>
          <w:szCs w:val="32"/>
        </w:rPr>
        <w:t>类标准。</w:t>
      </w:r>
    </w:p>
    <w:p w14:paraId="2598FF0E">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Times New Roman" w:hAnsi="Times New Roman" w:eastAsia="方正仿宋_GB2312" w:cs="方正仿宋_GB2312"/>
          <w:color w:val="auto"/>
          <w:sz w:val="32"/>
          <w:szCs w:val="32"/>
          <w:lang w:val="en-US" w:eastAsia="zh-CN"/>
        </w:rPr>
        <w:t>3</w:t>
      </w:r>
      <w:r>
        <w:rPr>
          <w:rFonts w:hint="eastAsia" w:ascii="方正仿宋_GB2312" w:hAnsi="方正仿宋_GB2312" w:eastAsia="方正仿宋_GB2312" w:cs="方正仿宋_GB2312"/>
          <w:color w:val="auto"/>
          <w:sz w:val="32"/>
          <w:szCs w:val="32"/>
        </w:rPr>
        <w:t>.一般工业固废储存参照执行《一般工业固体废物贮存和填埋污染控制标准》（</w:t>
      </w:r>
      <w:r>
        <w:rPr>
          <w:rFonts w:hint="eastAsia" w:ascii="Times New Roman" w:hAnsi="Times New Roman" w:eastAsia="方正仿宋_GB2312" w:cs="方正仿宋_GB2312"/>
          <w:color w:val="auto"/>
          <w:sz w:val="32"/>
          <w:szCs w:val="32"/>
        </w:rPr>
        <w:t>GB</w:t>
      </w:r>
      <w:r>
        <w:rPr>
          <w:rFonts w:hint="eastAsia" w:ascii="方正仿宋_GB2312" w:hAnsi="方正仿宋_GB2312" w:eastAsia="方正仿宋_GB2312" w:cs="方正仿宋_GB2312"/>
          <w:color w:val="auto"/>
          <w:sz w:val="32"/>
          <w:szCs w:val="32"/>
        </w:rPr>
        <w:t xml:space="preserve"> </w:t>
      </w:r>
      <w:r>
        <w:rPr>
          <w:rFonts w:hint="eastAsia" w:ascii="Times New Roman" w:hAnsi="Times New Roman" w:eastAsia="方正仿宋_GB2312" w:cs="方正仿宋_GB2312"/>
          <w:color w:val="auto"/>
          <w:sz w:val="32"/>
          <w:szCs w:val="32"/>
        </w:rPr>
        <w:t>18599</w:t>
      </w:r>
      <w:r>
        <w:rPr>
          <w:rFonts w:hint="eastAsia" w:ascii="方正仿宋_GB2312" w:hAnsi="方正仿宋_GB2312" w:eastAsia="方正仿宋_GB2312" w:cs="方正仿宋_GB2312"/>
          <w:color w:val="auto"/>
          <w:sz w:val="32"/>
          <w:szCs w:val="32"/>
        </w:rPr>
        <w:t>-</w:t>
      </w:r>
      <w:r>
        <w:rPr>
          <w:rFonts w:hint="eastAsia" w:ascii="Times New Roman" w:hAnsi="Times New Roman" w:eastAsia="方正仿宋_GB2312" w:cs="方正仿宋_GB2312"/>
          <w:color w:val="auto"/>
          <w:sz w:val="32"/>
          <w:szCs w:val="32"/>
        </w:rPr>
        <w:t>2020</w:t>
      </w:r>
      <w:r>
        <w:rPr>
          <w:rFonts w:hint="eastAsia" w:ascii="方正仿宋_GB2312" w:hAnsi="方正仿宋_GB2312" w:eastAsia="方正仿宋_GB2312" w:cs="方正仿宋_GB2312"/>
          <w:color w:val="auto"/>
          <w:sz w:val="32"/>
          <w:szCs w:val="32"/>
        </w:rPr>
        <w:t>）和《中华人民共和国固体废物污染环境防治法》中的有关规定；危险废物暂存执行《危险废物贮存污染控制标准》（</w:t>
      </w:r>
      <w:r>
        <w:rPr>
          <w:rFonts w:hint="eastAsia" w:ascii="Times New Roman" w:hAnsi="Times New Roman" w:eastAsia="方正仿宋_GB2312" w:cs="方正仿宋_GB2312"/>
          <w:color w:val="auto"/>
          <w:sz w:val="32"/>
          <w:szCs w:val="32"/>
        </w:rPr>
        <w:t>GB18597</w:t>
      </w:r>
      <w:r>
        <w:rPr>
          <w:rFonts w:hint="eastAsia" w:ascii="方正仿宋_GB2312" w:hAnsi="方正仿宋_GB2312" w:eastAsia="方正仿宋_GB2312" w:cs="方正仿宋_GB2312"/>
          <w:color w:val="auto"/>
          <w:sz w:val="32"/>
          <w:szCs w:val="32"/>
        </w:rPr>
        <w:t>-</w:t>
      </w:r>
      <w:r>
        <w:rPr>
          <w:rFonts w:hint="eastAsia" w:ascii="Times New Roman" w:hAnsi="Times New Roman" w:eastAsia="方正仿宋_GB2312" w:cs="方正仿宋_GB2312"/>
          <w:color w:val="auto"/>
          <w:sz w:val="32"/>
          <w:szCs w:val="32"/>
        </w:rPr>
        <w:t>2023</w:t>
      </w:r>
      <w:r>
        <w:rPr>
          <w:rFonts w:hint="eastAsia" w:ascii="方正仿宋_GB2312" w:hAnsi="方正仿宋_GB2312" w:eastAsia="方正仿宋_GB2312" w:cs="方正仿宋_GB2312"/>
          <w:color w:val="auto"/>
          <w:sz w:val="32"/>
          <w:szCs w:val="32"/>
        </w:rPr>
        <w:t>）和《中华人民共和国固体废物污染环境防治法》中的有关规定。</w:t>
      </w:r>
    </w:p>
    <w:p w14:paraId="7580AFCF">
      <w:pPr>
        <w:keepNext w:val="0"/>
        <w:keepLines w:val="0"/>
        <w:pageBreakBefore w:val="0"/>
        <w:widowControl w:val="0"/>
        <w:tabs>
          <w:tab w:val="left" w:pos="3990"/>
        </w:tabs>
        <w:kinsoku/>
        <w:wordWrap/>
        <w:overflowPunct/>
        <w:topLinePunct/>
        <w:autoSpaceDE/>
        <w:autoSpaceDN/>
        <w:bidi w:val="0"/>
        <w:adjustRightInd/>
        <w:snapToGrid/>
        <w:spacing w:line="560" w:lineRule="exact"/>
        <w:ind w:right="0" w:firstLine="640"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Times New Roman" w:hAnsi="Times New Roman" w:eastAsia="方正仿宋_GB2312" w:cs="方正仿宋_GB2312"/>
          <w:color w:val="auto"/>
          <w:sz w:val="32"/>
          <w:szCs w:val="32"/>
          <w:lang w:val="en-US" w:eastAsia="zh-CN"/>
        </w:rPr>
        <w:t>4</w:t>
      </w:r>
      <w:r>
        <w:rPr>
          <w:rFonts w:hint="eastAsia" w:ascii="方正仿宋_GB2312" w:hAnsi="方正仿宋_GB2312" w:eastAsia="方正仿宋_GB2312" w:cs="方正仿宋_GB2312"/>
          <w:color w:val="auto"/>
          <w:sz w:val="32"/>
          <w:szCs w:val="32"/>
          <w:lang w:val="en-US" w:eastAsia="zh-CN"/>
        </w:rPr>
        <w:t>.如有环境功能区划调整、新标准制定实施等情况，按照要求变更执行标准。</w:t>
      </w:r>
    </w:p>
    <w:p w14:paraId="6ADF8A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五、其他要求</w:t>
      </w:r>
    </w:p>
    <w:p w14:paraId="3F36BF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2312" w:cs="Times New Roman"/>
          <w:b w:val="0"/>
          <w:bCs w:val="0"/>
          <w:color w:val="auto"/>
          <w:sz w:val="32"/>
          <w:szCs w:val="32"/>
        </w:rPr>
        <w:t>(一)</w:t>
      </w:r>
      <w:r>
        <w:rPr>
          <w:rFonts w:hint="default" w:ascii="Times New Roman" w:hAnsi="Times New Roman" w:eastAsia="方正仿宋_GB2312" w:cs="Times New Roman"/>
          <w:color w:val="auto"/>
          <w:sz w:val="32"/>
          <w:szCs w:val="32"/>
        </w:rPr>
        <w:t>本审批意见仅是我局对该项目环评文件的批复意见，项目</w:t>
      </w:r>
      <w:r>
        <w:rPr>
          <w:rFonts w:hint="default" w:ascii="Times New Roman" w:hAnsi="Times New Roman" w:eastAsia="方正仿宋_GB2312" w:cs="Times New Roman"/>
          <w:color w:val="auto"/>
          <w:sz w:val="32"/>
          <w:szCs w:val="32"/>
          <w:lang w:val="en-US" w:eastAsia="zh-CN"/>
        </w:rPr>
        <w:t>可能</w:t>
      </w:r>
      <w:r>
        <w:rPr>
          <w:rFonts w:hint="default" w:ascii="Times New Roman" w:hAnsi="Times New Roman" w:eastAsia="方正仿宋_GB2312" w:cs="Times New Roman"/>
          <w:color w:val="auto"/>
          <w:sz w:val="32"/>
          <w:szCs w:val="32"/>
        </w:rPr>
        <w:t>涉及的建设、土地等</w:t>
      </w:r>
      <w:r>
        <w:rPr>
          <w:rFonts w:hint="default" w:ascii="Times New Roman" w:hAnsi="Times New Roman" w:eastAsia="方正仿宋_GB2312" w:cs="Times New Roman"/>
          <w:color w:val="auto"/>
          <w:sz w:val="32"/>
          <w:szCs w:val="32"/>
          <w:lang w:eastAsia="zh-CN"/>
        </w:rPr>
        <w:t>其他</w:t>
      </w:r>
      <w:r>
        <w:rPr>
          <w:rFonts w:hint="default" w:ascii="Times New Roman" w:hAnsi="Times New Roman" w:eastAsia="方正仿宋_GB2312" w:cs="Times New Roman"/>
          <w:color w:val="auto"/>
          <w:sz w:val="32"/>
          <w:szCs w:val="32"/>
        </w:rPr>
        <w:t>事项遵照有关部门的要求执行。</w:t>
      </w:r>
    </w:p>
    <w:p w14:paraId="0BD97B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2312" w:cs="Times New Roman"/>
          <w:color w:val="auto"/>
          <w:sz w:val="32"/>
          <w:szCs w:val="32"/>
        </w:rPr>
        <w:t>(二)若发现建设单位、环评编制单位弄虚作假或不落实承诺内容的，可撤销许可决定，依法查处，并向社会公开，将失信企业纳入相关诚信体系。</w:t>
      </w:r>
    </w:p>
    <w:p w14:paraId="1BF3E9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default" w:ascii="Times New Roman" w:hAnsi="Times New Roman" w:eastAsia="方正仿宋_GB2312" w:cs="Times New Roman"/>
          <w:color w:val="auto"/>
          <w:sz w:val="32"/>
          <w:szCs w:val="32"/>
        </w:rPr>
        <w:t>(三)你公司应按规定配合各级生态环境部门做好建设项目环境保护事中事后监管工作。</w:t>
      </w:r>
    </w:p>
    <w:p w14:paraId="6D99D3D8">
      <w:pPr>
        <w:keepNext w:val="0"/>
        <w:keepLines w:val="0"/>
        <w:pageBreakBefore w:val="0"/>
        <w:widowControl w:val="0"/>
        <w:tabs>
          <w:tab w:val="left" w:pos="3990"/>
        </w:tabs>
        <w:kinsoku/>
        <w:wordWrap/>
        <w:overflowPunct/>
        <w:topLinePunct/>
        <w:autoSpaceDE/>
        <w:autoSpaceDN/>
        <w:bidi w:val="0"/>
        <w:adjustRightInd/>
        <w:snapToGrid/>
        <w:spacing w:line="560" w:lineRule="exact"/>
        <w:ind w:right="0" w:firstLine="640" w:firstLineChars="200"/>
        <w:jc w:val="left"/>
        <w:textAlignment w:val="auto"/>
        <w:rPr>
          <w:rFonts w:hint="eastAsia"/>
          <w:lang w:val="en-US" w:eastAsia="zh-CN"/>
        </w:rPr>
      </w:pPr>
      <w:r>
        <w:rPr>
          <w:rFonts w:hint="eastAsia" w:ascii="Times New Roman" w:hAnsi="Times New Roman" w:eastAsia="黑体" w:cs="Times New Roman"/>
          <w:color w:val="auto"/>
          <w:sz w:val="32"/>
          <w:szCs w:val="32"/>
          <w:lang w:val="en-US" w:eastAsia="zh-CN"/>
        </w:rPr>
        <w:t>六、</w:t>
      </w:r>
      <w:r>
        <w:rPr>
          <w:rFonts w:hint="eastAsia" w:ascii="方正仿宋_GB2312" w:hAnsi="方正仿宋_GB2312" w:eastAsia="方正仿宋_GB2312" w:cs="方正仿宋_GB2312"/>
          <w:color w:val="auto"/>
          <w:sz w:val="32"/>
          <w:szCs w:val="32"/>
          <w:lang w:val="en-US" w:eastAsia="zh-CN"/>
        </w:rPr>
        <w:t>请潘集生态环境保护综合行政执法大队做好工程施工期和运营期的事中事后生态环境监管工作。</w:t>
      </w:r>
      <w:r>
        <w:rPr>
          <w:rFonts w:hint="eastAsia" w:ascii="仿宋_GB2312" w:hAnsi="仿宋" w:eastAsia="仿宋_GB2312"/>
          <w:color w:val="auto"/>
          <w:sz w:val="32"/>
          <w:szCs w:val="32"/>
          <w:lang w:val="en-US" w:eastAsia="zh-CN"/>
        </w:rPr>
        <w:t xml:space="preserve"> </w:t>
      </w:r>
    </w:p>
    <w:p w14:paraId="0A2B9571">
      <w:pPr>
        <w:keepNext w:val="0"/>
        <w:keepLines w:val="0"/>
        <w:pageBreakBefore w:val="0"/>
        <w:widowControl w:val="0"/>
        <w:tabs>
          <w:tab w:val="left" w:pos="3990"/>
        </w:tabs>
        <w:kinsoku/>
        <w:wordWrap/>
        <w:overflowPunct/>
        <w:topLinePunct/>
        <w:autoSpaceDE/>
        <w:autoSpaceDN/>
        <w:bidi w:val="0"/>
        <w:adjustRightInd/>
        <w:snapToGrid/>
        <w:spacing w:line="560" w:lineRule="exact"/>
        <w:ind w:right="0" w:firstLine="5760" w:firstLineChars="1800"/>
        <w:jc w:val="left"/>
        <w:textAlignment w:val="auto"/>
        <w:rPr>
          <w:rFonts w:hint="eastAsia" w:ascii="Times New Roman" w:hAnsi="Times New Roman" w:eastAsia="方正仿宋_GB2312" w:cs="方正仿宋_GB2312"/>
          <w:color w:val="auto"/>
          <w:sz w:val="32"/>
          <w:szCs w:val="32"/>
        </w:rPr>
      </w:pPr>
    </w:p>
    <w:p w14:paraId="28E4D1E8">
      <w:pPr>
        <w:keepNext w:val="0"/>
        <w:keepLines w:val="0"/>
        <w:pageBreakBefore w:val="0"/>
        <w:widowControl w:val="0"/>
        <w:tabs>
          <w:tab w:val="left" w:pos="3990"/>
        </w:tabs>
        <w:kinsoku/>
        <w:wordWrap/>
        <w:overflowPunct/>
        <w:topLinePunct/>
        <w:autoSpaceDE/>
        <w:autoSpaceDN/>
        <w:bidi w:val="0"/>
        <w:adjustRightInd/>
        <w:snapToGrid/>
        <w:spacing w:line="560" w:lineRule="exact"/>
        <w:ind w:right="0" w:firstLine="5760" w:firstLineChars="1800"/>
        <w:jc w:val="left"/>
        <w:textAlignment w:val="auto"/>
        <w:rPr>
          <w:rFonts w:hint="eastAsia" w:ascii="方正仿宋_GB2312" w:hAnsi="方正仿宋_GB2312" w:eastAsia="方正仿宋_GB2312" w:cs="方正仿宋_GB2312"/>
          <w:color w:val="auto"/>
          <w:sz w:val="32"/>
          <w:szCs w:val="32"/>
        </w:rPr>
      </w:pPr>
      <w:r>
        <w:rPr>
          <w:rFonts w:hint="eastAsia" w:ascii="Times New Roman" w:hAnsi="Times New Roman" w:eastAsia="方正仿宋_GB2312" w:cs="方正仿宋_GB2312"/>
          <w:color w:val="auto"/>
          <w:sz w:val="32"/>
          <w:szCs w:val="32"/>
        </w:rPr>
        <w:t>202</w:t>
      </w:r>
      <w:r>
        <w:rPr>
          <w:rFonts w:hint="eastAsia" w:ascii="Times New Roman" w:hAnsi="Times New Roman" w:eastAsia="方正仿宋_GB2312" w:cs="方正仿宋_GB2312"/>
          <w:color w:val="auto"/>
          <w:sz w:val="32"/>
          <w:szCs w:val="32"/>
          <w:lang w:val="en-US" w:eastAsia="zh-CN"/>
        </w:rPr>
        <w:t>5</w:t>
      </w:r>
      <w:r>
        <w:rPr>
          <w:rFonts w:hint="eastAsia" w:ascii="方正仿宋_GB2312" w:hAnsi="方正仿宋_GB2312" w:eastAsia="方正仿宋_GB2312" w:cs="方正仿宋_GB2312"/>
          <w:color w:val="auto"/>
          <w:sz w:val="32"/>
          <w:szCs w:val="32"/>
        </w:rPr>
        <w:t>年</w:t>
      </w:r>
      <w:r>
        <w:rPr>
          <w:rFonts w:hint="eastAsia" w:ascii="Times New Roman" w:hAnsi="Times New Roman" w:eastAsia="方正仿宋_GB2312" w:cs="方正仿宋_GB2312"/>
          <w:color w:val="auto"/>
          <w:sz w:val="32"/>
          <w:szCs w:val="32"/>
          <w:lang w:val="en-US" w:eastAsia="zh-CN"/>
        </w:rPr>
        <w:t>11</w:t>
      </w:r>
      <w:r>
        <w:rPr>
          <w:rFonts w:hint="eastAsia" w:ascii="方正仿宋_GB2312" w:hAnsi="方正仿宋_GB2312" w:eastAsia="方正仿宋_GB2312" w:cs="方正仿宋_GB2312"/>
          <w:color w:val="auto"/>
          <w:sz w:val="32"/>
          <w:szCs w:val="32"/>
        </w:rPr>
        <w:t>月</w:t>
      </w:r>
      <w:r>
        <w:rPr>
          <w:rFonts w:hint="eastAsia" w:ascii="Times New Roman" w:hAnsi="Times New Roman" w:eastAsia="方正仿宋_GB2312" w:cs="方正仿宋_GB2312"/>
          <w:color w:val="auto"/>
          <w:sz w:val="32"/>
          <w:szCs w:val="32"/>
          <w:lang w:val="en-US" w:eastAsia="zh-CN"/>
        </w:rPr>
        <w:t>26</w:t>
      </w:r>
      <w:r>
        <w:rPr>
          <w:rFonts w:hint="eastAsia" w:ascii="方正仿宋_GB2312" w:hAnsi="方正仿宋_GB2312" w:eastAsia="方正仿宋_GB2312" w:cs="方正仿宋_GB2312"/>
          <w:color w:val="auto"/>
          <w:sz w:val="32"/>
          <w:szCs w:val="32"/>
        </w:rPr>
        <w:t>日</w:t>
      </w:r>
    </w:p>
    <w:p w14:paraId="571CE1D7">
      <w:pPr>
        <w:keepNext w:val="0"/>
        <w:keepLines w:val="0"/>
        <w:pageBreakBefore w:val="0"/>
        <w:widowControl w:val="0"/>
        <w:tabs>
          <w:tab w:val="left" w:pos="3990"/>
        </w:tabs>
        <w:kinsoku/>
        <w:wordWrap/>
        <w:overflowPunct/>
        <w:topLinePunct/>
        <w:autoSpaceDE/>
        <w:autoSpaceDN/>
        <w:bidi w:val="0"/>
        <w:adjustRightInd/>
        <w:snapToGrid/>
        <w:spacing w:line="560" w:lineRule="exact"/>
        <w:ind w:right="0" w:firstLine="5760" w:firstLineChars="1800"/>
        <w:jc w:val="left"/>
        <w:textAlignment w:val="auto"/>
        <w:rPr>
          <w:rFonts w:hint="eastAsia" w:ascii="方正仿宋_GB2312" w:hAnsi="方正仿宋_GB2312" w:eastAsia="方正仿宋_GB2312" w:cs="方正仿宋_GB2312"/>
          <w:color w:val="auto"/>
          <w:sz w:val="32"/>
          <w:szCs w:val="32"/>
        </w:rPr>
      </w:pPr>
    </w:p>
    <w:p w14:paraId="555C98F0">
      <w:pPr>
        <w:keepNext w:val="0"/>
        <w:keepLines w:val="0"/>
        <w:pageBreakBefore w:val="0"/>
        <w:widowControl w:val="0"/>
        <w:tabs>
          <w:tab w:val="left" w:pos="3990"/>
        </w:tabs>
        <w:kinsoku/>
        <w:wordWrap/>
        <w:overflowPunct/>
        <w:topLinePunct/>
        <w:autoSpaceDE/>
        <w:autoSpaceDN/>
        <w:bidi w:val="0"/>
        <w:adjustRightInd/>
        <w:snapToGrid/>
        <w:spacing w:line="560" w:lineRule="exact"/>
        <w:ind w:right="0" w:firstLine="5760" w:firstLineChars="1800"/>
        <w:jc w:val="left"/>
        <w:textAlignment w:val="auto"/>
        <w:rPr>
          <w:rFonts w:hint="eastAsia" w:ascii="方正仿宋_GB2312" w:hAnsi="方正仿宋_GB2312" w:eastAsia="方正仿宋_GB2312" w:cs="方正仿宋_GB2312"/>
          <w:color w:val="auto"/>
          <w:sz w:val="32"/>
          <w:szCs w:val="32"/>
        </w:rPr>
      </w:pPr>
    </w:p>
    <w:p w14:paraId="07865A34">
      <w:pPr>
        <w:keepNext w:val="0"/>
        <w:keepLines w:val="0"/>
        <w:pageBreakBefore w:val="0"/>
        <w:widowControl w:val="0"/>
        <w:tabs>
          <w:tab w:val="left" w:pos="3990"/>
        </w:tabs>
        <w:kinsoku/>
        <w:wordWrap/>
        <w:overflowPunct/>
        <w:topLinePunct/>
        <w:autoSpaceDE/>
        <w:autoSpaceDN/>
        <w:bidi w:val="0"/>
        <w:adjustRightInd/>
        <w:snapToGrid/>
        <w:spacing w:line="560" w:lineRule="exact"/>
        <w:ind w:right="0" w:firstLine="5760" w:firstLineChars="1800"/>
        <w:jc w:val="left"/>
        <w:textAlignment w:val="auto"/>
        <w:rPr>
          <w:rFonts w:ascii="仿宋_GB2312" w:hAnsi="仿宋" w:eastAsia="仿宋_GB2312"/>
          <w:color w:val="auto"/>
          <w:sz w:val="32"/>
          <w:szCs w:val="32"/>
        </w:rPr>
      </w:pPr>
    </w:p>
    <w:p w14:paraId="245A0E1B">
      <w:pPr>
        <w:keepNext w:val="0"/>
        <w:keepLines w:val="0"/>
        <w:pageBreakBefore w:val="0"/>
        <w:widowControl w:val="0"/>
        <w:tabs>
          <w:tab w:val="left" w:pos="3990"/>
        </w:tabs>
        <w:kinsoku/>
        <w:wordWrap/>
        <w:overflowPunct/>
        <w:topLinePunct/>
        <w:autoSpaceDE/>
        <w:autoSpaceDN/>
        <w:bidi w:val="0"/>
        <w:adjustRightInd/>
        <w:snapToGrid/>
        <w:spacing w:line="560" w:lineRule="exact"/>
        <w:ind w:right="0" w:firstLine="5760" w:firstLineChars="1800"/>
        <w:jc w:val="left"/>
        <w:textAlignment w:val="auto"/>
        <w:rPr>
          <w:rFonts w:ascii="仿宋_GB2312" w:hAnsi="仿宋" w:eastAsia="仿宋_GB2312"/>
          <w:color w:val="auto"/>
          <w:sz w:val="32"/>
          <w:szCs w:val="32"/>
        </w:rPr>
      </w:pPr>
    </w:p>
    <w:tbl>
      <w:tblPr>
        <w:tblStyle w:val="17"/>
        <w:tblpPr w:leftFromText="180" w:rightFromText="180" w:vertAnchor="text" w:horzAnchor="page" w:tblpX="1570" w:tblpY="53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648A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Borders>
              <w:left w:val="nil"/>
              <w:right w:val="nil"/>
            </w:tcBorders>
          </w:tcPr>
          <w:p w14:paraId="058209FF">
            <w:pPr>
              <w:keepNext w:val="0"/>
              <w:keepLines w:val="0"/>
              <w:pageBreakBefore w:val="0"/>
              <w:widowControl w:val="0"/>
              <w:tabs>
                <w:tab w:val="left" w:pos="3990"/>
              </w:tabs>
              <w:kinsoku/>
              <w:wordWrap/>
              <w:overflowPunct/>
              <w:topLinePunct/>
              <w:autoSpaceDE/>
              <w:autoSpaceDN/>
              <w:bidi w:val="0"/>
              <w:adjustRightInd/>
              <w:snapToGrid/>
              <w:spacing w:line="560" w:lineRule="exact"/>
              <w:ind w:right="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抄送：潘集生态环境保护综合行政执法大队、</w:t>
            </w:r>
            <w:r>
              <w:rPr>
                <w:rFonts w:hint="eastAsia" w:ascii="方正仿宋_GB2312" w:hAnsi="方正仿宋_GB2312" w:eastAsia="方正仿宋_GB2312" w:cs="方正仿宋_GB2312"/>
                <w:color w:val="auto"/>
                <w:kern w:val="0"/>
                <w:sz w:val="32"/>
                <w:szCs w:val="32"/>
                <w:lang w:val="en-US" w:eastAsia="zh-CN"/>
              </w:rPr>
              <w:t>安徽国燚环境科技有限公司</w:t>
            </w:r>
            <w:r>
              <w:rPr>
                <w:rFonts w:hint="eastAsia" w:ascii="方正仿宋_GB2312" w:hAnsi="方正仿宋_GB2312" w:eastAsia="方正仿宋_GB2312" w:cs="方正仿宋_GB2312"/>
                <w:color w:val="auto"/>
                <w:sz w:val="32"/>
                <w:szCs w:val="32"/>
              </w:rPr>
              <w:t>。</w:t>
            </w:r>
          </w:p>
        </w:tc>
      </w:tr>
      <w:tr w14:paraId="7E40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Borders>
              <w:left w:val="nil"/>
              <w:right w:val="nil"/>
            </w:tcBorders>
          </w:tcPr>
          <w:p w14:paraId="678B24C9">
            <w:pPr>
              <w:keepNext w:val="0"/>
              <w:keepLines w:val="0"/>
              <w:pageBreakBefore w:val="0"/>
              <w:widowControl w:val="0"/>
              <w:tabs>
                <w:tab w:val="left" w:pos="3990"/>
              </w:tabs>
              <w:kinsoku/>
              <w:wordWrap/>
              <w:overflowPunct/>
              <w:topLinePunct/>
              <w:autoSpaceDE/>
              <w:autoSpaceDN/>
              <w:bidi w:val="0"/>
              <w:adjustRightInd/>
              <w:snapToGrid/>
              <w:spacing w:line="560" w:lineRule="exact"/>
              <w:ind w:right="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 xml:space="preserve">淮南市潘集区生态环境分局           </w:t>
            </w:r>
            <w:r>
              <w:rPr>
                <w:rFonts w:hint="eastAsia" w:ascii="Times New Roman" w:hAnsi="Times New Roman" w:eastAsia="方正仿宋_GB2312" w:cs="方正仿宋_GB2312"/>
                <w:color w:val="auto"/>
                <w:sz w:val="32"/>
                <w:szCs w:val="32"/>
              </w:rPr>
              <w:t>202</w:t>
            </w:r>
            <w:r>
              <w:rPr>
                <w:rFonts w:hint="eastAsia" w:ascii="Times New Roman" w:hAnsi="Times New Roman" w:eastAsia="方正仿宋_GB2312" w:cs="方正仿宋_GB2312"/>
                <w:color w:val="auto"/>
                <w:sz w:val="32"/>
                <w:szCs w:val="32"/>
                <w:lang w:val="en-US" w:eastAsia="zh-CN"/>
              </w:rPr>
              <w:t>5</w:t>
            </w:r>
            <w:r>
              <w:rPr>
                <w:rFonts w:hint="eastAsia" w:ascii="方正仿宋_GB2312" w:hAnsi="方正仿宋_GB2312" w:eastAsia="方正仿宋_GB2312" w:cs="方正仿宋_GB2312"/>
                <w:color w:val="auto"/>
                <w:sz w:val="32"/>
                <w:szCs w:val="32"/>
                <w:lang w:val="en-US" w:eastAsia="zh-CN"/>
              </w:rPr>
              <w:t>年</w:t>
            </w:r>
            <w:r>
              <w:rPr>
                <w:rFonts w:hint="eastAsia" w:ascii="Times New Roman" w:hAnsi="Times New Roman" w:eastAsia="方正仿宋_GB2312" w:cs="方正仿宋_GB2312"/>
                <w:color w:val="auto"/>
                <w:sz w:val="32"/>
                <w:szCs w:val="32"/>
                <w:lang w:val="en-US" w:eastAsia="zh-CN"/>
              </w:rPr>
              <w:t>11</w:t>
            </w:r>
            <w:r>
              <w:rPr>
                <w:rFonts w:hint="eastAsia" w:ascii="方正仿宋_GB2312" w:hAnsi="方正仿宋_GB2312" w:eastAsia="方正仿宋_GB2312" w:cs="方正仿宋_GB2312"/>
                <w:color w:val="auto"/>
                <w:sz w:val="32"/>
                <w:szCs w:val="32"/>
                <w:lang w:val="en-US" w:eastAsia="zh-CN"/>
              </w:rPr>
              <w:t>月</w:t>
            </w:r>
            <w:r>
              <w:rPr>
                <w:rFonts w:hint="eastAsia" w:ascii="Times New Roman" w:hAnsi="Times New Roman" w:eastAsia="方正仿宋_GB2312" w:cs="方正仿宋_GB2312"/>
                <w:color w:val="auto"/>
                <w:sz w:val="32"/>
                <w:szCs w:val="32"/>
                <w:lang w:val="en-US" w:eastAsia="zh-CN"/>
              </w:rPr>
              <w:t>26</w:t>
            </w:r>
            <w:r>
              <w:rPr>
                <w:rFonts w:hint="eastAsia" w:ascii="方正仿宋_GB2312" w:hAnsi="方正仿宋_GB2312" w:eastAsia="方正仿宋_GB2312" w:cs="方正仿宋_GB2312"/>
                <w:color w:val="auto"/>
                <w:sz w:val="32"/>
                <w:szCs w:val="32"/>
              </w:rPr>
              <w:t>日印发</w:t>
            </w:r>
          </w:p>
        </w:tc>
      </w:tr>
    </w:tbl>
    <w:p w14:paraId="6ACE2179">
      <w:pPr>
        <w:keepNext w:val="0"/>
        <w:keepLines w:val="0"/>
        <w:pageBreakBefore w:val="0"/>
        <w:widowControl w:val="0"/>
        <w:tabs>
          <w:tab w:val="left" w:pos="3990"/>
        </w:tabs>
        <w:kinsoku/>
        <w:wordWrap/>
        <w:overflowPunct/>
        <w:topLinePunct/>
        <w:autoSpaceDE/>
        <w:autoSpaceDN/>
        <w:bidi w:val="0"/>
        <w:adjustRightInd/>
        <w:snapToGrid/>
        <w:spacing w:line="560" w:lineRule="exact"/>
        <w:ind w:right="0" w:firstLine="5760" w:firstLineChars="1800"/>
        <w:jc w:val="left"/>
        <w:textAlignment w:val="auto"/>
        <w:rPr>
          <w:rFonts w:ascii="仿宋_GB2312" w:hAnsi="仿宋" w:eastAsia="仿宋_GB2312"/>
          <w:color w:val="auto"/>
          <w:sz w:val="32"/>
          <w:szCs w:val="32"/>
        </w:rPr>
      </w:pPr>
    </w:p>
    <w:p w14:paraId="23BB6842">
      <w:pPr>
        <w:keepNext w:val="0"/>
        <w:keepLines w:val="0"/>
        <w:pageBreakBefore w:val="0"/>
        <w:widowControl w:val="0"/>
        <w:tabs>
          <w:tab w:val="left" w:pos="3990"/>
        </w:tabs>
        <w:kinsoku/>
        <w:wordWrap/>
        <w:overflowPunct/>
        <w:topLinePunct/>
        <w:autoSpaceDE/>
        <w:autoSpaceDN/>
        <w:bidi w:val="0"/>
        <w:adjustRightInd/>
        <w:snapToGrid/>
        <w:spacing w:line="560" w:lineRule="exact"/>
        <w:ind w:right="0"/>
        <w:jc w:val="left"/>
        <w:textAlignment w:val="auto"/>
      </w:pPr>
      <w:r>
        <w:rPr>
          <w:rFonts w:ascii="仿宋_GB2312" w:hAnsi="仿宋" w:eastAsia="仿宋_GB2312"/>
          <w:color w:val="auto"/>
          <w:sz w:val="32"/>
          <w:szCs w:val="32"/>
        </w:rPr>
        <w:t xml:space="preserve"> </w:t>
      </w:r>
      <w:r>
        <w:rPr>
          <w:rFonts w:hint="eastAsia" w:ascii="仿宋_GB2312" w:hAnsi="仿宋" w:eastAsia="仿宋_GB2312"/>
          <w:color w:val="auto"/>
          <w:sz w:val="32"/>
          <w:szCs w:val="32"/>
          <w:lang w:val="en-US" w:eastAsia="zh-CN"/>
        </w:rPr>
        <w:t xml:space="preserve">   </w:t>
      </w: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47E81B-E252-4808-A9C3-1A9DA50C84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
    <w:altName w:val="宋体"/>
    <w:panose1 w:val="00000000000000000000"/>
    <w:charset w:val="81"/>
    <w:family w:val="auto"/>
    <w:pitch w:val="default"/>
    <w:sig w:usb0="00000000" w:usb1="00000000" w:usb2="00000010" w:usb3="00000000" w:csb0="00080000"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Microsoft Uighur">
    <w:altName w:val="Trebuchet MS"/>
    <w:panose1 w:val="02000000000000000000"/>
    <w:charset w:val="00"/>
    <w:family w:val="auto"/>
    <w:pitch w:val="default"/>
    <w:sig w:usb0="00000000" w:usb1="00000000" w:usb2="00000008" w:usb3="00000000" w:csb0="00000041" w:csb1="00000000"/>
  </w:font>
  <w:font w:name="Trebuchet MS">
    <w:panose1 w:val="020B0603020202020204"/>
    <w:charset w:val="00"/>
    <w:family w:val="auto"/>
    <w:pitch w:val="default"/>
    <w:sig w:usb0="00000687"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embedRegular r:id="rId2" w:fontKey="{6520B58E-E51D-4902-AF26-11A848F472CD}"/>
  </w:font>
  <w:font w:name="方正仿宋_GB2312">
    <w:panose1 w:val="02000000000000000000"/>
    <w:charset w:val="86"/>
    <w:family w:val="auto"/>
    <w:pitch w:val="default"/>
    <w:sig w:usb0="A00002BF" w:usb1="184F6CFA" w:usb2="00000012" w:usb3="00000000" w:csb0="00040001" w:csb1="00000000"/>
    <w:embedRegular r:id="rId3" w:fontKey="{07F15DD1-1437-4934-85DC-6E1E1A0FFD4E}"/>
  </w:font>
  <w:font w:name="方正小标宋简体">
    <w:panose1 w:val="02000000000000000000"/>
    <w:charset w:val="86"/>
    <w:family w:val="auto"/>
    <w:pitch w:val="default"/>
    <w:sig w:usb0="00000001" w:usb1="08000000" w:usb2="00000000" w:usb3="00000000" w:csb0="00040000" w:csb1="00000000"/>
    <w:embedRegular r:id="rId4" w:fontKey="{38ADAB47-9E98-4873-AC60-ED5732CC776F}"/>
  </w:font>
  <w:font w:name="方正公文小标宋">
    <w:panose1 w:val="02000500000000000000"/>
    <w:charset w:val="86"/>
    <w:family w:val="auto"/>
    <w:pitch w:val="default"/>
    <w:sig w:usb0="A00002BF" w:usb1="38CF7CFA" w:usb2="00000016" w:usb3="00000000" w:csb0="00040001" w:csb1="00000000"/>
    <w:embedRegular r:id="rId5" w:fontKey="{19C238EC-E998-4E26-89EF-1428E9C9EC7F}"/>
  </w:font>
  <w:font w:name="楷体">
    <w:panose1 w:val="02010609060101010101"/>
    <w:charset w:val="86"/>
    <w:family w:val="modern"/>
    <w:pitch w:val="default"/>
    <w:sig w:usb0="800002BF" w:usb1="38CF7CFA" w:usb2="00000016" w:usb3="00000000" w:csb0="00040001" w:csb1="00000000"/>
    <w:embedRegular r:id="rId6" w:fontKey="{B62F2245-7499-4EE3-910E-E6E38A9A6FCA}"/>
  </w:font>
  <w:font w:name="仿宋">
    <w:panose1 w:val="02010609060101010101"/>
    <w:charset w:val="86"/>
    <w:family w:val="auto"/>
    <w:pitch w:val="default"/>
    <w:sig w:usb0="800002BF" w:usb1="38CF7CFA" w:usb2="00000016" w:usb3="00000000" w:csb0="00040001" w:csb1="00000000"/>
    <w:embedRegular r:id="rId7" w:fontKey="{3E005974-235F-4E8F-9FFB-FDD7D48138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1EC98">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-123825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AD6AC">
                          <w:pPr>
                            <w:pStyle w:val="12"/>
                            <w:jc w:val="center"/>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75pt;height:144pt;width:144pt;mso-position-horizontal:center;mso-position-horizontal-relative:margin;mso-wrap-style:none;z-index:251659264;mso-width-relative:page;mso-height-relative:page;" filled="f" stroked="f" coordsize="21600,21600" o:gfxdata="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nG37j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55CAD6AC">
                    <w:pPr>
                      <w:pStyle w:val="12"/>
                      <w:jc w:val="center"/>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46B80">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62CA9"/>
    <w:multiLevelType w:val="multilevel"/>
    <w:tmpl w:val="41862CA9"/>
    <w:lvl w:ilvl="0" w:tentative="0">
      <w:start w:val="1"/>
      <w:numFmt w:val="decimal"/>
      <w:suff w:val="space"/>
      <w:lvlText w:val="%1"/>
      <w:lvlJc w:val="left"/>
      <w:rPr>
        <w:rFonts w:hint="eastAsia" w:cs="Times New Roman"/>
        <w:sz w:val="30"/>
        <w:szCs w:val="30"/>
      </w:rPr>
    </w:lvl>
    <w:lvl w:ilvl="1" w:tentative="0">
      <w:start w:val="1"/>
      <w:numFmt w:val="decimal"/>
      <w:pStyle w:val="45"/>
      <w:suff w:val="space"/>
      <w:lvlText w:val="%1.%2"/>
      <w:lvlJc w:val="left"/>
      <w:pPr>
        <w:ind w:left="1560"/>
      </w:pPr>
      <w:rPr>
        <w:rFonts w:hint="default" w:ascii="Arial" w:hAnsi="Arial" w:cs="Times New Roman"/>
      </w:rPr>
    </w:lvl>
    <w:lvl w:ilvl="2" w:tentative="0">
      <w:start w:val="1"/>
      <w:numFmt w:val="decimal"/>
      <w:suff w:val="space"/>
      <w:lvlText w:val="%1.%2.%3"/>
      <w:lvlJc w:val="left"/>
      <w:pPr>
        <w:ind w:left="994" w:hanging="426"/>
      </w:pPr>
      <w:rPr>
        <w:rFonts w:hint="default" w:ascii="Arial" w:hAnsi="Arial" w:cs="Times New Roman"/>
      </w:rPr>
    </w:lvl>
    <w:lvl w:ilvl="3" w:tentative="0">
      <w:start w:val="1"/>
      <w:numFmt w:val="decimal"/>
      <w:suff w:val="nothing"/>
      <w:lvlText w:val="%1.%2.%3.%4"/>
      <w:lvlJc w:val="left"/>
      <w:pPr>
        <w:ind w:left="851" w:hanging="851"/>
      </w:pPr>
      <w:rPr>
        <w:rFonts w:hint="eastAsia" w:ascii="Arial" w:hAnsi="Arial"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YTY1ZWM1MGFlNWQ0MGRhM2E2ODhkYWNkMjExYzIifQ=="/>
  </w:docVars>
  <w:rsids>
    <w:rsidRoot w:val="001F5F08"/>
    <w:rsid w:val="00025626"/>
    <w:rsid w:val="0004289B"/>
    <w:rsid w:val="000446B8"/>
    <w:rsid w:val="001F0554"/>
    <w:rsid w:val="001F5F08"/>
    <w:rsid w:val="00302AC2"/>
    <w:rsid w:val="0040570B"/>
    <w:rsid w:val="00417C36"/>
    <w:rsid w:val="00494390"/>
    <w:rsid w:val="00497C0C"/>
    <w:rsid w:val="00516385"/>
    <w:rsid w:val="00552767"/>
    <w:rsid w:val="00593CFD"/>
    <w:rsid w:val="00635A69"/>
    <w:rsid w:val="006B086E"/>
    <w:rsid w:val="006C68E2"/>
    <w:rsid w:val="007A4E1A"/>
    <w:rsid w:val="007F65B8"/>
    <w:rsid w:val="00801FF4"/>
    <w:rsid w:val="008E7BD7"/>
    <w:rsid w:val="00903F5E"/>
    <w:rsid w:val="009553C5"/>
    <w:rsid w:val="00984F4E"/>
    <w:rsid w:val="00B40801"/>
    <w:rsid w:val="00B41592"/>
    <w:rsid w:val="00BF2253"/>
    <w:rsid w:val="00BF239A"/>
    <w:rsid w:val="00CE40C2"/>
    <w:rsid w:val="00CE5519"/>
    <w:rsid w:val="00D2131C"/>
    <w:rsid w:val="00D50F09"/>
    <w:rsid w:val="00D572AA"/>
    <w:rsid w:val="00DD67F4"/>
    <w:rsid w:val="00DE039B"/>
    <w:rsid w:val="00DF6DE1"/>
    <w:rsid w:val="00ED3938"/>
    <w:rsid w:val="010E6E1A"/>
    <w:rsid w:val="023D46EC"/>
    <w:rsid w:val="02460EB6"/>
    <w:rsid w:val="02AA7663"/>
    <w:rsid w:val="02D45050"/>
    <w:rsid w:val="043E485D"/>
    <w:rsid w:val="046E56D3"/>
    <w:rsid w:val="049A4077"/>
    <w:rsid w:val="05640564"/>
    <w:rsid w:val="066426DE"/>
    <w:rsid w:val="07442CA3"/>
    <w:rsid w:val="07C17B6D"/>
    <w:rsid w:val="08534C69"/>
    <w:rsid w:val="085B126A"/>
    <w:rsid w:val="08932D2D"/>
    <w:rsid w:val="096A04BC"/>
    <w:rsid w:val="0A285C81"/>
    <w:rsid w:val="0A4B6701"/>
    <w:rsid w:val="0AC534D0"/>
    <w:rsid w:val="0B215C77"/>
    <w:rsid w:val="0BB73761"/>
    <w:rsid w:val="0BD32D4F"/>
    <w:rsid w:val="0C2115B1"/>
    <w:rsid w:val="0C952E53"/>
    <w:rsid w:val="0CA05FA3"/>
    <w:rsid w:val="0DBF7D6C"/>
    <w:rsid w:val="0DD73781"/>
    <w:rsid w:val="0E64787D"/>
    <w:rsid w:val="0EE011F0"/>
    <w:rsid w:val="0F6464F2"/>
    <w:rsid w:val="0FE53F40"/>
    <w:rsid w:val="106A37BE"/>
    <w:rsid w:val="10A40EB5"/>
    <w:rsid w:val="117B0D8C"/>
    <w:rsid w:val="119B7E01"/>
    <w:rsid w:val="12465B4A"/>
    <w:rsid w:val="12485CC1"/>
    <w:rsid w:val="129548B8"/>
    <w:rsid w:val="12C43900"/>
    <w:rsid w:val="13005DF2"/>
    <w:rsid w:val="136639D0"/>
    <w:rsid w:val="13845DC6"/>
    <w:rsid w:val="13FD7798"/>
    <w:rsid w:val="141D0C6C"/>
    <w:rsid w:val="14C70D73"/>
    <w:rsid w:val="14E336E2"/>
    <w:rsid w:val="151A2F7E"/>
    <w:rsid w:val="151A35D6"/>
    <w:rsid w:val="15597637"/>
    <w:rsid w:val="1574547C"/>
    <w:rsid w:val="15E27C1E"/>
    <w:rsid w:val="15F92BE9"/>
    <w:rsid w:val="17367C2F"/>
    <w:rsid w:val="188D2EE4"/>
    <w:rsid w:val="18A522A1"/>
    <w:rsid w:val="19212219"/>
    <w:rsid w:val="1932637F"/>
    <w:rsid w:val="198C0AF1"/>
    <w:rsid w:val="19A82CFA"/>
    <w:rsid w:val="1A986467"/>
    <w:rsid w:val="1B1A1616"/>
    <w:rsid w:val="1B4334F6"/>
    <w:rsid w:val="1B957F6D"/>
    <w:rsid w:val="1B9D4129"/>
    <w:rsid w:val="1C9E344D"/>
    <w:rsid w:val="1C9F5D66"/>
    <w:rsid w:val="1DC82F38"/>
    <w:rsid w:val="1DE1641B"/>
    <w:rsid w:val="1E01086B"/>
    <w:rsid w:val="1E293845"/>
    <w:rsid w:val="1F75284B"/>
    <w:rsid w:val="1F947F6E"/>
    <w:rsid w:val="1FF70D56"/>
    <w:rsid w:val="20333F92"/>
    <w:rsid w:val="20EF5398"/>
    <w:rsid w:val="2144119B"/>
    <w:rsid w:val="217C5AED"/>
    <w:rsid w:val="21821CC3"/>
    <w:rsid w:val="21A659B2"/>
    <w:rsid w:val="23825FAA"/>
    <w:rsid w:val="23DC038B"/>
    <w:rsid w:val="240F69AC"/>
    <w:rsid w:val="24590BBF"/>
    <w:rsid w:val="246D3164"/>
    <w:rsid w:val="24954FC1"/>
    <w:rsid w:val="24BB5C18"/>
    <w:rsid w:val="24CD530F"/>
    <w:rsid w:val="254C2D14"/>
    <w:rsid w:val="25F6689C"/>
    <w:rsid w:val="268D42D9"/>
    <w:rsid w:val="26B371DC"/>
    <w:rsid w:val="27383550"/>
    <w:rsid w:val="27933E4C"/>
    <w:rsid w:val="279F13ED"/>
    <w:rsid w:val="27E674F0"/>
    <w:rsid w:val="28097E26"/>
    <w:rsid w:val="28465D3F"/>
    <w:rsid w:val="2867160F"/>
    <w:rsid w:val="28BA7749"/>
    <w:rsid w:val="28FE33EE"/>
    <w:rsid w:val="292D00B0"/>
    <w:rsid w:val="2A495A74"/>
    <w:rsid w:val="2A53244F"/>
    <w:rsid w:val="2ABD5E90"/>
    <w:rsid w:val="2B415A08"/>
    <w:rsid w:val="2BAF302B"/>
    <w:rsid w:val="2BFF463C"/>
    <w:rsid w:val="2C0B5B23"/>
    <w:rsid w:val="2D040A3E"/>
    <w:rsid w:val="2D492608"/>
    <w:rsid w:val="2DCE2518"/>
    <w:rsid w:val="2E9F292E"/>
    <w:rsid w:val="2F527179"/>
    <w:rsid w:val="2F7B047E"/>
    <w:rsid w:val="2F8B1E73"/>
    <w:rsid w:val="3040463A"/>
    <w:rsid w:val="309657DE"/>
    <w:rsid w:val="30D14FE9"/>
    <w:rsid w:val="30D152B0"/>
    <w:rsid w:val="318B6972"/>
    <w:rsid w:val="31AF476C"/>
    <w:rsid w:val="31FF6C4B"/>
    <w:rsid w:val="32292413"/>
    <w:rsid w:val="32762FE2"/>
    <w:rsid w:val="329407C6"/>
    <w:rsid w:val="334B673C"/>
    <w:rsid w:val="335A4A65"/>
    <w:rsid w:val="33A21FF9"/>
    <w:rsid w:val="33AD4B58"/>
    <w:rsid w:val="346A286F"/>
    <w:rsid w:val="353A0493"/>
    <w:rsid w:val="35892641"/>
    <w:rsid w:val="36435A6D"/>
    <w:rsid w:val="36B10C29"/>
    <w:rsid w:val="37502687"/>
    <w:rsid w:val="37CC58F9"/>
    <w:rsid w:val="37D4556B"/>
    <w:rsid w:val="38517D18"/>
    <w:rsid w:val="38BA1033"/>
    <w:rsid w:val="395076FE"/>
    <w:rsid w:val="39C76F9B"/>
    <w:rsid w:val="39D65A8A"/>
    <w:rsid w:val="3A786FE3"/>
    <w:rsid w:val="3B7364AD"/>
    <w:rsid w:val="3BB74AF9"/>
    <w:rsid w:val="3D624A2B"/>
    <w:rsid w:val="3DB16390"/>
    <w:rsid w:val="3DF350A0"/>
    <w:rsid w:val="3E372AC1"/>
    <w:rsid w:val="3E6B43BE"/>
    <w:rsid w:val="3EA14B41"/>
    <w:rsid w:val="3ED57651"/>
    <w:rsid w:val="3F263D3E"/>
    <w:rsid w:val="403A5899"/>
    <w:rsid w:val="40425C75"/>
    <w:rsid w:val="40BE473B"/>
    <w:rsid w:val="41804C4E"/>
    <w:rsid w:val="41964AFC"/>
    <w:rsid w:val="419E3214"/>
    <w:rsid w:val="41A70D3C"/>
    <w:rsid w:val="41F8770C"/>
    <w:rsid w:val="42772D26"/>
    <w:rsid w:val="42B20202"/>
    <w:rsid w:val="443133A9"/>
    <w:rsid w:val="443F7AD3"/>
    <w:rsid w:val="444255B6"/>
    <w:rsid w:val="46EF3B12"/>
    <w:rsid w:val="46FF32EA"/>
    <w:rsid w:val="47ED774E"/>
    <w:rsid w:val="481C4C8B"/>
    <w:rsid w:val="488F68F0"/>
    <w:rsid w:val="48D77034"/>
    <w:rsid w:val="495C67D2"/>
    <w:rsid w:val="49B06B1E"/>
    <w:rsid w:val="4A04505A"/>
    <w:rsid w:val="4A9D69E7"/>
    <w:rsid w:val="4ACE3700"/>
    <w:rsid w:val="4B117A90"/>
    <w:rsid w:val="4DC93016"/>
    <w:rsid w:val="4EDB3B2D"/>
    <w:rsid w:val="5035480A"/>
    <w:rsid w:val="50920718"/>
    <w:rsid w:val="50A07BA6"/>
    <w:rsid w:val="50B83BD1"/>
    <w:rsid w:val="50C35389"/>
    <w:rsid w:val="515A3A04"/>
    <w:rsid w:val="52694A4C"/>
    <w:rsid w:val="526E6387"/>
    <w:rsid w:val="52CA350C"/>
    <w:rsid w:val="5312395E"/>
    <w:rsid w:val="53487DC7"/>
    <w:rsid w:val="535D3826"/>
    <w:rsid w:val="53DB785D"/>
    <w:rsid w:val="53F146EA"/>
    <w:rsid w:val="54FC2B69"/>
    <w:rsid w:val="5633436B"/>
    <w:rsid w:val="56866B29"/>
    <w:rsid w:val="56BB1667"/>
    <w:rsid w:val="56DD2D20"/>
    <w:rsid w:val="572124B9"/>
    <w:rsid w:val="57681915"/>
    <w:rsid w:val="58360B36"/>
    <w:rsid w:val="589D0BB5"/>
    <w:rsid w:val="592604A1"/>
    <w:rsid w:val="5A6F03E0"/>
    <w:rsid w:val="5A7E3159"/>
    <w:rsid w:val="5B2D31C1"/>
    <w:rsid w:val="5B445736"/>
    <w:rsid w:val="5C40250C"/>
    <w:rsid w:val="5C581DAA"/>
    <w:rsid w:val="5CBE5B81"/>
    <w:rsid w:val="5D184E51"/>
    <w:rsid w:val="5D981ED0"/>
    <w:rsid w:val="5F335794"/>
    <w:rsid w:val="5F9428EC"/>
    <w:rsid w:val="5FC43BE6"/>
    <w:rsid w:val="601603D0"/>
    <w:rsid w:val="60411944"/>
    <w:rsid w:val="60940AF0"/>
    <w:rsid w:val="61B53002"/>
    <w:rsid w:val="630A47EB"/>
    <w:rsid w:val="635F2E57"/>
    <w:rsid w:val="63B81F97"/>
    <w:rsid w:val="641C32D6"/>
    <w:rsid w:val="64204507"/>
    <w:rsid w:val="65CE2C50"/>
    <w:rsid w:val="661164F5"/>
    <w:rsid w:val="664A36AD"/>
    <w:rsid w:val="66C52699"/>
    <w:rsid w:val="676F3EFE"/>
    <w:rsid w:val="677A27ED"/>
    <w:rsid w:val="687C4343"/>
    <w:rsid w:val="68CB7079"/>
    <w:rsid w:val="690214C6"/>
    <w:rsid w:val="69A7269B"/>
    <w:rsid w:val="6AD024B2"/>
    <w:rsid w:val="6B1D317A"/>
    <w:rsid w:val="6C7518DF"/>
    <w:rsid w:val="6DA1634A"/>
    <w:rsid w:val="6E0A3A7A"/>
    <w:rsid w:val="6E31797E"/>
    <w:rsid w:val="6EE81A6F"/>
    <w:rsid w:val="6F176B74"/>
    <w:rsid w:val="70585696"/>
    <w:rsid w:val="705F5D93"/>
    <w:rsid w:val="70A93382"/>
    <w:rsid w:val="71933DB2"/>
    <w:rsid w:val="720A1B07"/>
    <w:rsid w:val="72C40DC1"/>
    <w:rsid w:val="730E294B"/>
    <w:rsid w:val="731358A4"/>
    <w:rsid w:val="739F43E1"/>
    <w:rsid w:val="73AA0E77"/>
    <w:rsid w:val="745B39A7"/>
    <w:rsid w:val="74F9380D"/>
    <w:rsid w:val="75F70D28"/>
    <w:rsid w:val="760B5B9A"/>
    <w:rsid w:val="764457E3"/>
    <w:rsid w:val="77044A93"/>
    <w:rsid w:val="774775B5"/>
    <w:rsid w:val="77892AF1"/>
    <w:rsid w:val="77CD37DE"/>
    <w:rsid w:val="77ED5961"/>
    <w:rsid w:val="78484242"/>
    <w:rsid w:val="784E6060"/>
    <w:rsid w:val="78EA2375"/>
    <w:rsid w:val="799B3C4D"/>
    <w:rsid w:val="79C403DE"/>
    <w:rsid w:val="79D833A4"/>
    <w:rsid w:val="7ACD0A2E"/>
    <w:rsid w:val="7B05641A"/>
    <w:rsid w:val="7B155A38"/>
    <w:rsid w:val="7CBB181C"/>
    <w:rsid w:val="7DB55ED6"/>
    <w:rsid w:val="7DF51183"/>
    <w:rsid w:val="7EE420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 w:cs="Times New Roman"/>
      <w:kern w:val="2"/>
      <w:sz w:val="21"/>
      <w:szCs w:val="24"/>
      <w:lang w:val="en-US" w:eastAsia="zh-CN" w:bidi="ar-SA"/>
    </w:rPr>
  </w:style>
  <w:style w:type="paragraph" w:styleId="2">
    <w:name w:val="heading 1"/>
    <w:basedOn w:val="1"/>
    <w:next w:val="1"/>
    <w:link w:val="31"/>
    <w:autoRedefine/>
    <w:qFormat/>
    <w:uiPriority w:val="99"/>
    <w:pPr>
      <w:spacing w:beforeAutospacing="1" w:afterAutospacing="1"/>
      <w:jc w:val="left"/>
      <w:outlineLvl w:val="0"/>
    </w:pPr>
    <w:rPr>
      <w:rFonts w:ascii="宋?" w:hAnsi="宋?"/>
      <w:b/>
      <w:bCs/>
      <w:kern w:val="44"/>
      <w:sz w:val="48"/>
      <w:szCs w:val="48"/>
    </w:rPr>
  </w:style>
  <w:style w:type="paragraph" w:styleId="3">
    <w:name w:val="heading 2"/>
    <w:basedOn w:val="1"/>
    <w:next w:val="1"/>
    <w:link w:val="32"/>
    <w:autoRedefine/>
    <w:qFormat/>
    <w:uiPriority w:val="99"/>
    <w:pPr>
      <w:keepNext/>
      <w:keepLines/>
      <w:spacing w:before="260" w:after="260" w:line="416" w:lineRule="auto"/>
      <w:outlineLvl w:val="1"/>
    </w:pPr>
    <w:rPr>
      <w:rFonts w:ascii="Arial" w:hAnsi="Arial" w:eastAsia="黑体"/>
      <w:b/>
      <w:bCs/>
      <w:sz w:val="32"/>
      <w:szCs w:val="32"/>
    </w:rPr>
  </w:style>
  <w:style w:type="character" w:default="1" w:styleId="19">
    <w:name w:val="Default Paragraph Font"/>
    <w:autoRedefine/>
    <w:semiHidden/>
    <w:qFormat/>
    <w:uiPriority w:val="99"/>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qFormat/>
    <w:locked/>
    <w:uiPriority w:val="0"/>
    <w:pPr>
      <w:jc w:val="left"/>
    </w:pPr>
    <w:rPr>
      <w:szCs w:val="20"/>
    </w:rPr>
  </w:style>
  <w:style w:type="paragraph" w:styleId="5">
    <w:name w:val="Salutation"/>
    <w:basedOn w:val="1"/>
    <w:next w:val="1"/>
    <w:link w:val="33"/>
    <w:autoRedefine/>
    <w:qFormat/>
    <w:uiPriority w:val="99"/>
    <w:rPr>
      <w:sz w:val="24"/>
    </w:rPr>
  </w:style>
  <w:style w:type="paragraph" w:styleId="6">
    <w:name w:val="Body Text"/>
    <w:basedOn w:val="1"/>
    <w:next w:val="7"/>
    <w:link w:val="34"/>
    <w:autoRedefine/>
    <w:qFormat/>
    <w:uiPriority w:val="99"/>
    <w:pPr>
      <w:widowControl/>
      <w:snapToGrid w:val="0"/>
      <w:spacing w:before="60" w:after="160" w:line="259" w:lineRule="auto"/>
      <w:ind w:right="113"/>
    </w:pPr>
    <w:rPr>
      <w:kern w:val="0"/>
      <w:sz w:val="18"/>
      <w:szCs w:val="20"/>
    </w:rPr>
  </w:style>
  <w:style w:type="paragraph" w:customStyle="1" w:styleId="7">
    <w:name w:val="xl27"/>
    <w:basedOn w:val="1"/>
    <w:next w:val="8"/>
    <w:autoRedefine/>
    <w:qFormat/>
    <w:uiPriority w:val="99"/>
    <w:pPr>
      <w:widowControl/>
      <w:spacing w:before="100" w:beforeAutospacing="1" w:after="100" w:afterAutospacing="1"/>
      <w:jc w:val="left"/>
    </w:pPr>
    <w:rPr>
      <w:color w:val="FF0000"/>
      <w:kern w:val="0"/>
      <w:sz w:val="24"/>
    </w:rPr>
  </w:style>
  <w:style w:type="paragraph" w:customStyle="1" w:styleId="8">
    <w:name w:val="A正文"/>
    <w:basedOn w:val="1"/>
    <w:autoRedefine/>
    <w:qFormat/>
    <w:uiPriority w:val="0"/>
    <w:pPr>
      <w:widowControl/>
      <w:overflowPunct w:val="0"/>
      <w:autoSpaceDE w:val="0"/>
      <w:autoSpaceDN w:val="0"/>
      <w:jc w:val="left"/>
      <w:textAlignment w:val="baseline"/>
    </w:pPr>
  </w:style>
  <w:style w:type="paragraph" w:styleId="9">
    <w:name w:val="Body Text Indent"/>
    <w:basedOn w:val="1"/>
    <w:next w:val="1"/>
    <w:link w:val="35"/>
    <w:autoRedefine/>
    <w:qFormat/>
    <w:uiPriority w:val="99"/>
    <w:pPr>
      <w:spacing w:line="560" w:lineRule="exact"/>
      <w:ind w:firstLine="567"/>
    </w:pPr>
    <w:rPr>
      <w:rFonts w:ascii="宋?" w:hAnsi="宋?"/>
      <w:sz w:val="28"/>
    </w:rPr>
  </w:style>
  <w:style w:type="paragraph" w:styleId="10">
    <w:name w:val="Plain Text"/>
    <w:basedOn w:val="1"/>
    <w:next w:val="5"/>
    <w:link w:val="36"/>
    <w:autoRedefine/>
    <w:qFormat/>
    <w:uiPriority w:val="99"/>
    <w:rPr>
      <w:rFonts w:ascii="宋?" w:hAnsi="Courier New"/>
      <w:sz w:val="24"/>
      <w:szCs w:val="20"/>
    </w:rPr>
  </w:style>
  <w:style w:type="paragraph" w:styleId="11">
    <w:name w:val="Body Text Indent 2"/>
    <w:basedOn w:val="1"/>
    <w:link w:val="37"/>
    <w:autoRedefine/>
    <w:qFormat/>
    <w:uiPriority w:val="99"/>
    <w:pPr>
      <w:spacing w:line="400" w:lineRule="exact"/>
      <w:ind w:firstLine="573"/>
    </w:pPr>
    <w:rPr>
      <w:rFonts w:ascii="宋?" w:hAnsi="宋?"/>
      <w:sz w:val="28"/>
    </w:rPr>
  </w:style>
  <w:style w:type="paragraph" w:styleId="12">
    <w:name w:val="footer"/>
    <w:basedOn w:val="1"/>
    <w:link w:val="39"/>
    <w:autoRedefine/>
    <w:qFormat/>
    <w:uiPriority w:val="99"/>
    <w:pPr>
      <w:tabs>
        <w:tab w:val="center" w:pos="4153"/>
        <w:tab w:val="right" w:pos="8306"/>
      </w:tabs>
      <w:snapToGrid w:val="0"/>
      <w:jc w:val="left"/>
    </w:pPr>
    <w:rPr>
      <w:sz w:val="18"/>
    </w:rPr>
  </w:style>
  <w:style w:type="paragraph" w:styleId="13">
    <w:name w:val="header"/>
    <w:basedOn w:val="1"/>
    <w:link w:val="40"/>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next w:val="1"/>
    <w:link w:val="41"/>
    <w:autoRedefine/>
    <w:qFormat/>
    <w:uiPriority w:val="99"/>
  </w:style>
  <w:style w:type="paragraph" w:styleId="15">
    <w:name w:val="Normal (Web)"/>
    <w:basedOn w:val="1"/>
    <w:autoRedefine/>
    <w:qFormat/>
    <w:uiPriority w:val="99"/>
    <w:pPr>
      <w:spacing w:beforeAutospacing="1" w:afterAutospacing="1"/>
      <w:jc w:val="left"/>
    </w:pPr>
    <w:rPr>
      <w:kern w:val="0"/>
      <w:sz w:val="24"/>
    </w:rPr>
  </w:style>
  <w:style w:type="paragraph" w:styleId="16">
    <w:name w:val="Body Text First Indent 2"/>
    <w:basedOn w:val="1"/>
    <w:next w:val="1"/>
    <w:link w:val="38"/>
    <w:autoRedefine/>
    <w:qFormat/>
    <w:uiPriority w:val="99"/>
    <w:pPr>
      <w:spacing w:after="120" w:line="240" w:lineRule="auto"/>
      <w:ind w:left="420" w:leftChars="200" w:firstLine="420"/>
    </w:pPr>
    <w:rPr>
      <w:sz w:val="21"/>
    </w:rPr>
  </w:style>
  <w:style w:type="table" w:styleId="18">
    <w:name w:val="Table Grid"/>
    <w:basedOn w:val="17"/>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autoRedefine/>
    <w:qFormat/>
    <w:uiPriority w:val="99"/>
    <w:rPr>
      <w:rFonts w:cs="Times New Roman"/>
      <w:b/>
      <w:bCs/>
    </w:rPr>
  </w:style>
  <w:style w:type="character" w:styleId="21">
    <w:name w:val="FollowedHyperlink"/>
    <w:basedOn w:val="19"/>
    <w:autoRedefine/>
    <w:qFormat/>
    <w:uiPriority w:val="99"/>
    <w:rPr>
      <w:rFonts w:cs="Times New Roman"/>
      <w:color w:val="333333"/>
      <w:u w:val="none"/>
    </w:rPr>
  </w:style>
  <w:style w:type="character" w:styleId="22">
    <w:name w:val="Emphasis"/>
    <w:basedOn w:val="19"/>
    <w:autoRedefine/>
    <w:qFormat/>
    <w:uiPriority w:val="99"/>
    <w:rPr>
      <w:rFonts w:cs="Times New Roman"/>
      <w:i/>
    </w:rPr>
  </w:style>
  <w:style w:type="character" w:styleId="23">
    <w:name w:val="HTML Definition"/>
    <w:basedOn w:val="19"/>
    <w:autoRedefine/>
    <w:qFormat/>
    <w:uiPriority w:val="99"/>
    <w:rPr>
      <w:rFonts w:cs="Times New Roman"/>
      <w:i/>
      <w:iCs/>
    </w:rPr>
  </w:style>
  <w:style w:type="character" w:styleId="24">
    <w:name w:val="HTML Acronym"/>
    <w:basedOn w:val="19"/>
    <w:autoRedefine/>
    <w:qFormat/>
    <w:uiPriority w:val="99"/>
    <w:rPr>
      <w:rFonts w:cs="Times New Roman"/>
    </w:rPr>
  </w:style>
  <w:style w:type="character" w:styleId="25">
    <w:name w:val="Hyperlink"/>
    <w:basedOn w:val="19"/>
    <w:autoRedefine/>
    <w:qFormat/>
    <w:uiPriority w:val="99"/>
    <w:rPr>
      <w:rFonts w:cs="Times New Roman"/>
      <w:color w:val="333333"/>
      <w:u w:val="none"/>
    </w:rPr>
  </w:style>
  <w:style w:type="character" w:styleId="26">
    <w:name w:val="HTML Code"/>
    <w:basedOn w:val="19"/>
    <w:autoRedefine/>
    <w:qFormat/>
    <w:uiPriority w:val="99"/>
    <w:rPr>
      <w:rFonts w:ascii="monospace" w:hAnsi="monospace" w:cs="monospace"/>
      <w:sz w:val="21"/>
      <w:szCs w:val="21"/>
    </w:rPr>
  </w:style>
  <w:style w:type="character" w:styleId="27">
    <w:name w:val="annotation reference"/>
    <w:basedOn w:val="19"/>
    <w:autoRedefine/>
    <w:semiHidden/>
    <w:qFormat/>
    <w:uiPriority w:val="99"/>
    <w:rPr>
      <w:rFonts w:cs="Times New Roman"/>
      <w:sz w:val="21"/>
    </w:rPr>
  </w:style>
  <w:style w:type="character" w:styleId="28">
    <w:name w:val="HTML Keyboard"/>
    <w:basedOn w:val="19"/>
    <w:autoRedefine/>
    <w:qFormat/>
    <w:uiPriority w:val="99"/>
    <w:rPr>
      <w:rFonts w:ascii="monospace" w:hAnsi="monospace" w:cs="monospace"/>
      <w:sz w:val="21"/>
      <w:szCs w:val="21"/>
    </w:rPr>
  </w:style>
  <w:style w:type="character" w:styleId="29">
    <w:name w:val="HTML Sample"/>
    <w:basedOn w:val="19"/>
    <w:autoRedefine/>
    <w:qFormat/>
    <w:uiPriority w:val="99"/>
    <w:rPr>
      <w:rFonts w:ascii="monospace" w:hAnsi="monospace" w:cs="monospace"/>
      <w:sz w:val="21"/>
      <w:szCs w:val="21"/>
    </w:rPr>
  </w:style>
  <w:style w:type="paragraph" w:customStyle="1" w:styleId="30">
    <w:name w:val="正文 首行缩进:  2 字符"/>
    <w:basedOn w:val="1"/>
    <w:autoRedefine/>
    <w:qFormat/>
    <w:uiPriority w:val="99"/>
    <w:pPr>
      <w:ind w:firstLine="579" w:firstLineChars="200"/>
    </w:pPr>
    <w:rPr>
      <w:sz w:val="28"/>
      <w:szCs w:val="20"/>
    </w:rPr>
  </w:style>
  <w:style w:type="character" w:customStyle="1" w:styleId="31">
    <w:name w:val="Heading 1 Char"/>
    <w:basedOn w:val="19"/>
    <w:link w:val="2"/>
    <w:autoRedefine/>
    <w:qFormat/>
    <w:locked/>
    <w:uiPriority w:val="99"/>
    <w:rPr>
      <w:rFonts w:ascii="Calibri" w:hAnsi="Calibri" w:cs="Times New Roman"/>
      <w:b/>
      <w:bCs/>
      <w:kern w:val="44"/>
      <w:sz w:val="44"/>
      <w:szCs w:val="44"/>
    </w:rPr>
  </w:style>
  <w:style w:type="character" w:customStyle="1" w:styleId="32">
    <w:name w:val="Heading 2 Char"/>
    <w:basedOn w:val="19"/>
    <w:link w:val="3"/>
    <w:autoRedefine/>
    <w:semiHidden/>
    <w:qFormat/>
    <w:locked/>
    <w:uiPriority w:val="99"/>
    <w:rPr>
      <w:rFonts w:ascii="Cambria" w:hAnsi="Cambria" w:eastAsia="宋?" w:cs="Times New Roman"/>
      <w:b/>
      <w:bCs/>
      <w:sz w:val="32"/>
      <w:szCs w:val="32"/>
    </w:rPr>
  </w:style>
  <w:style w:type="character" w:customStyle="1" w:styleId="33">
    <w:name w:val="Salutation Char"/>
    <w:basedOn w:val="19"/>
    <w:link w:val="5"/>
    <w:autoRedefine/>
    <w:semiHidden/>
    <w:qFormat/>
    <w:locked/>
    <w:uiPriority w:val="99"/>
    <w:rPr>
      <w:rFonts w:ascii="Calibri" w:hAnsi="Calibri" w:cs="Times New Roman"/>
      <w:sz w:val="24"/>
      <w:szCs w:val="24"/>
    </w:rPr>
  </w:style>
  <w:style w:type="character" w:customStyle="1" w:styleId="34">
    <w:name w:val="Body Text Char"/>
    <w:basedOn w:val="19"/>
    <w:link w:val="6"/>
    <w:autoRedefine/>
    <w:semiHidden/>
    <w:qFormat/>
    <w:locked/>
    <w:uiPriority w:val="99"/>
    <w:rPr>
      <w:rFonts w:ascii="Calibri" w:hAnsi="Calibri" w:cs="Times New Roman"/>
      <w:sz w:val="24"/>
      <w:szCs w:val="24"/>
    </w:rPr>
  </w:style>
  <w:style w:type="character" w:customStyle="1" w:styleId="35">
    <w:name w:val="Body Text Indent Char"/>
    <w:basedOn w:val="19"/>
    <w:link w:val="9"/>
    <w:autoRedefine/>
    <w:semiHidden/>
    <w:qFormat/>
    <w:locked/>
    <w:uiPriority w:val="99"/>
    <w:rPr>
      <w:rFonts w:ascii="Calibri" w:hAnsi="Calibri" w:cs="Times New Roman"/>
      <w:sz w:val="24"/>
      <w:szCs w:val="24"/>
    </w:rPr>
  </w:style>
  <w:style w:type="character" w:customStyle="1" w:styleId="36">
    <w:name w:val="Plain Text Char"/>
    <w:basedOn w:val="19"/>
    <w:link w:val="10"/>
    <w:autoRedefine/>
    <w:semiHidden/>
    <w:qFormat/>
    <w:locked/>
    <w:uiPriority w:val="99"/>
    <w:rPr>
      <w:rFonts w:ascii="宋?" w:hAnsi="Courier New" w:cs="Courier New"/>
      <w:sz w:val="21"/>
      <w:szCs w:val="21"/>
    </w:rPr>
  </w:style>
  <w:style w:type="character" w:customStyle="1" w:styleId="37">
    <w:name w:val="Body Text Indent 2 Char"/>
    <w:basedOn w:val="19"/>
    <w:link w:val="11"/>
    <w:autoRedefine/>
    <w:semiHidden/>
    <w:qFormat/>
    <w:locked/>
    <w:uiPriority w:val="99"/>
    <w:rPr>
      <w:rFonts w:ascii="Calibri" w:hAnsi="Calibri" w:cs="Times New Roman"/>
      <w:sz w:val="24"/>
      <w:szCs w:val="24"/>
    </w:rPr>
  </w:style>
  <w:style w:type="character" w:customStyle="1" w:styleId="38">
    <w:name w:val="Body Text First Indent 2 Char"/>
    <w:basedOn w:val="35"/>
    <w:link w:val="16"/>
    <w:autoRedefine/>
    <w:semiHidden/>
    <w:qFormat/>
    <w:locked/>
    <w:uiPriority w:val="99"/>
  </w:style>
  <w:style w:type="character" w:customStyle="1" w:styleId="39">
    <w:name w:val="Footer Char"/>
    <w:basedOn w:val="19"/>
    <w:link w:val="12"/>
    <w:autoRedefine/>
    <w:semiHidden/>
    <w:qFormat/>
    <w:locked/>
    <w:uiPriority w:val="99"/>
    <w:rPr>
      <w:rFonts w:ascii="Calibri" w:hAnsi="Calibri" w:cs="Times New Roman"/>
      <w:sz w:val="18"/>
      <w:szCs w:val="18"/>
    </w:rPr>
  </w:style>
  <w:style w:type="character" w:customStyle="1" w:styleId="40">
    <w:name w:val="Header Char"/>
    <w:basedOn w:val="19"/>
    <w:link w:val="13"/>
    <w:autoRedefine/>
    <w:semiHidden/>
    <w:qFormat/>
    <w:locked/>
    <w:uiPriority w:val="99"/>
    <w:rPr>
      <w:rFonts w:ascii="Calibri" w:hAnsi="Calibri" w:cs="Times New Roman"/>
      <w:sz w:val="18"/>
      <w:szCs w:val="18"/>
    </w:rPr>
  </w:style>
  <w:style w:type="character" w:customStyle="1" w:styleId="41">
    <w:name w:val="Body Text 2 Char"/>
    <w:basedOn w:val="19"/>
    <w:link w:val="14"/>
    <w:autoRedefine/>
    <w:semiHidden/>
    <w:qFormat/>
    <w:locked/>
    <w:uiPriority w:val="99"/>
    <w:rPr>
      <w:rFonts w:ascii="Calibri" w:hAnsi="Calibri" w:cs="Times New Roman"/>
      <w:sz w:val="24"/>
      <w:szCs w:val="24"/>
    </w:rPr>
  </w:style>
  <w:style w:type="paragraph" w:customStyle="1" w:styleId="42">
    <w:name w:val="Default"/>
    <w:basedOn w:val="43"/>
    <w:next w:val="44"/>
    <w:autoRedefine/>
    <w:qFormat/>
    <w:uiPriority w:val="99"/>
    <w:pPr>
      <w:autoSpaceDE w:val="0"/>
      <w:autoSpaceDN w:val="0"/>
      <w:adjustRightInd w:val="0"/>
    </w:pPr>
    <w:rPr>
      <w:kern w:val="0"/>
      <w:sz w:val="24"/>
    </w:rPr>
  </w:style>
  <w:style w:type="paragraph" w:customStyle="1" w:styleId="43">
    <w:name w:val="批注文字1"/>
    <w:autoRedefine/>
    <w:qFormat/>
    <w:uiPriority w:val="99"/>
    <w:pPr>
      <w:widowControl w:val="0"/>
    </w:pPr>
    <w:rPr>
      <w:rFonts w:ascii="Times New Roman" w:hAnsi="Times New Roman" w:eastAsia="宋?" w:cs="Times New Roman"/>
      <w:color w:val="000000"/>
      <w:kern w:val="2"/>
      <w:sz w:val="21"/>
      <w:szCs w:val="24"/>
      <w:lang w:val="en-US" w:eastAsia="zh-CN" w:bidi="ar-SA"/>
    </w:rPr>
  </w:style>
  <w:style w:type="paragraph" w:customStyle="1" w:styleId="44">
    <w:name w:val="1正文段落"/>
    <w:basedOn w:val="1"/>
    <w:autoRedefine/>
    <w:qFormat/>
    <w:uiPriority w:val="99"/>
    <w:pPr>
      <w:widowControl/>
      <w:snapToGrid w:val="0"/>
      <w:ind w:firstLine="480"/>
      <w:jc w:val="left"/>
    </w:pPr>
    <w:rPr>
      <w:kern w:val="0"/>
      <w:szCs w:val="20"/>
    </w:rPr>
  </w:style>
  <w:style w:type="paragraph" w:customStyle="1" w:styleId="45">
    <w:name w:val="标题2"/>
    <w:basedOn w:val="3"/>
    <w:autoRedefine/>
    <w:qFormat/>
    <w:uiPriority w:val="99"/>
    <w:pPr>
      <w:numPr>
        <w:ilvl w:val="1"/>
        <w:numId w:val="1"/>
      </w:numPr>
      <w:spacing w:line="440" w:lineRule="exact"/>
    </w:pPr>
    <w:rPr>
      <w:kern w:val="0"/>
    </w:rPr>
  </w:style>
  <w:style w:type="paragraph" w:customStyle="1" w:styleId="46">
    <w:name w:val="样式 正文文本缩进 + 行距: 1.5 倍行距"/>
    <w:basedOn w:val="9"/>
    <w:autoRedefine/>
    <w:qFormat/>
    <w:uiPriority w:val="99"/>
    <w:pPr>
      <w:ind w:left="90" w:leftChars="32" w:firstLine="560"/>
    </w:pPr>
  </w:style>
  <w:style w:type="paragraph" w:customStyle="1" w:styleId="47">
    <w:name w:val="样式 小四 行距: 1.5 倍行距"/>
    <w:basedOn w:val="1"/>
    <w:autoRedefine/>
    <w:qFormat/>
    <w:uiPriority w:val="99"/>
    <w:pPr>
      <w:ind w:firstLine="480" w:firstLineChars="200"/>
    </w:pPr>
    <w:rPr>
      <w:rFonts w:cs="宋?"/>
    </w:rPr>
  </w:style>
  <w:style w:type="paragraph" w:customStyle="1" w:styleId="48">
    <w:name w:val="图、表内容"/>
    <w:basedOn w:val="1"/>
    <w:autoRedefine/>
    <w:qFormat/>
    <w:uiPriority w:val="99"/>
    <w:pPr>
      <w:jc w:val="center"/>
    </w:pPr>
  </w:style>
  <w:style w:type="paragraph" w:customStyle="1" w:styleId="49">
    <w:name w:val="4正文文本"/>
    <w:basedOn w:val="1"/>
    <w:autoRedefine/>
    <w:qFormat/>
    <w:uiPriority w:val="99"/>
    <w:pPr>
      <w:spacing w:line="360" w:lineRule="auto"/>
      <w:ind w:firstLine="840" w:firstLineChars="200"/>
      <w:jc w:val="left"/>
    </w:pPr>
    <w:rPr>
      <w:sz w:val="24"/>
    </w:rPr>
  </w:style>
  <w:style w:type="paragraph" w:customStyle="1" w:styleId="50">
    <w:name w:val="2工程内容及规模"/>
    <w:basedOn w:val="1"/>
    <w:autoRedefine/>
    <w:qFormat/>
    <w:uiPriority w:val="99"/>
    <w:pPr>
      <w:spacing w:line="360" w:lineRule="auto"/>
      <w:jc w:val="left"/>
      <w:outlineLvl w:val="1"/>
    </w:pPr>
    <w:rPr>
      <w:b/>
      <w:sz w:val="28"/>
      <w:szCs w:val="28"/>
    </w:rPr>
  </w:style>
  <w:style w:type="character" w:customStyle="1" w:styleId="51">
    <w:name w:val="msg-box"/>
    <w:basedOn w:val="19"/>
    <w:autoRedefine/>
    <w:qFormat/>
    <w:uiPriority w:val="99"/>
    <w:rPr>
      <w:rFonts w:cs="Times New Roman"/>
    </w:rPr>
  </w:style>
  <w:style w:type="character" w:customStyle="1" w:styleId="52">
    <w:name w:val="red2"/>
    <w:basedOn w:val="19"/>
    <w:autoRedefine/>
    <w:qFormat/>
    <w:uiPriority w:val="99"/>
    <w:rPr>
      <w:rFonts w:cs="Times New Roman"/>
      <w:color w:val="FF0000"/>
    </w:rPr>
  </w:style>
  <w:style w:type="character" w:customStyle="1" w:styleId="53">
    <w:name w:val="c2"/>
    <w:basedOn w:val="19"/>
    <w:autoRedefine/>
    <w:qFormat/>
    <w:uiPriority w:val="99"/>
    <w:rPr>
      <w:rFonts w:cs="Times New Roman"/>
    </w:rPr>
  </w:style>
  <w:style w:type="character" w:customStyle="1" w:styleId="54">
    <w:name w:val="c3"/>
    <w:basedOn w:val="19"/>
    <w:autoRedefine/>
    <w:qFormat/>
    <w:uiPriority w:val="99"/>
    <w:rPr>
      <w:rFonts w:cs="Times New Roman"/>
    </w:rPr>
  </w:style>
  <w:style w:type="character" w:customStyle="1" w:styleId="55">
    <w:name w:val="right2"/>
    <w:basedOn w:val="19"/>
    <w:autoRedefine/>
    <w:qFormat/>
    <w:uiPriority w:val="99"/>
    <w:rPr>
      <w:rFonts w:cs="Times New Roman"/>
      <w:color w:val="A1A1A1"/>
    </w:rPr>
  </w:style>
  <w:style w:type="character" w:customStyle="1" w:styleId="56">
    <w:name w:val="hit"/>
    <w:basedOn w:val="19"/>
    <w:autoRedefine/>
    <w:qFormat/>
    <w:uiPriority w:val="99"/>
    <w:rPr>
      <w:rFonts w:cs="Times New Roman"/>
    </w:rPr>
  </w:style>
  <w:style w:type="character" w:customStyle="1" w:styleId="57">
    <w:name w:val="c1"/>
    <w:basedOn w:val="19"/>
    <w:autoRedefine/>
    <w:qFormat/>
    <w:uiPriority w:val="99"/>
    <w:rPr>
      <w:rFonts w:cs="Times New Roman"/>
    </w:rPr>
  </w:style>
  <w:style w:type="character" w:customStyle="1" w:styleId="58">
    <w:name w:val="right"/>
    <w:basedOn w:val="19"/>
    <w:autoRedefine/>
    <w:qFormat/>
    <w:uiPriority w:val="99"/>
    <w:rPr>
      <w:rFonts w:cs="Times New Roman"/>
      <w:color w:val="A1A1A1"/>
    </w:rPr>
  </w:style>
  <w:style w:type="character" w:customStyle="1" w:styleId="59">
    <w:name w:val="red"/>
    <w:basedOn w:val="19"/>
    <w:autoRedefine/>
    <w:qFormat/>
    <w:uiPriority w:val="99"/>
    <w:rPr>
      <w:rFonts w:cs="Times New Roman"/>
      <w:color w:val="FF0000"/>
    </w:rPr>
  </w:style>
  <w:style w:type="character" w:customStyle="1" w:styleId="60">
    <w:name w:val="msg-box16"/>
    <w:basedOn w:val="19"/>
    <w:autoRedefine/>
    <w:qFormat/>
    <w:uiPriority w:val="99"/>
    <w:rPr>
      <w:rFonts w:cs="Times New Roman"/>
    </w:rPr>
  </w:style>
  <w:style w:type="paragraph" w:customStyle="1" w:styleId="61">
    <w:name w:val="表格"/>
    <w:basedOn w:val="10"/>
    <w:autoRedefine/>
    <w:qFormat/>
    <w:uiPriority w:val="99"/>
    <w:pPr>
      <w:suppressAutoHyphens/>
      <w:jc w:val="center"/>
    </w:pPr>
    <w:rPr>
      <w:rFonts w:ascii="Times New Roman" w:hAnsi="Times New Roman"/>
      <w:sz w:val="21"/>
      <w:szCs w:val="21"/>
    </w:rPr>
  </w:style>
  <w:style w:type="paragraph" w:customStyle="1" w:styleId="62">
    <w:name w:val="0正文"/>
    <w:autoRedefine/>
    <w:qFormat/>
    <w:uiPriority w:val="99"/>
    <w:pPr>
      <w:widowControl w:val="0"/>
      <w:spacing w:line="360" w:lineRule="auto"/>
      <w:ind w:firstLine="720" w:firstLineChars="200"/>
    </w:pPr>
    <w:rPr>
      <w:rFonts w:ascii="Times New Roman" w:hAnsi="Times New Roman" w:eastAsia="宋?" w:cs="Microsoft Uighur"/>
      <w:kern w:val="0"/>
      <w:sz w:val="24"/>
      <w:szCs w:val="22"/>
      <w:lang w:val="en-US" w:eastAsia="zh-CN" w:bidi="ar-SA"/>
    </w:rPr>
  </w:style>
  <w:style w:type="paragraph" w:customStyle="1" w:styleId="63">
    <w:name w:val="Body text|1"/>
    <w:basedOn w:val="1"/>
    <w:autoRedefine/>
    <w:qFormat/>
    <w:uiPriority w:val="0"/>
    <w:pPr>
      <w:spacing w:line="276" w:lineRule="auto"/>
      <w:ind w:firstLine="400"/>
    </w:pPr>
    <w:rPr>
      <w:rFonts w:ascii="宋体" w:hAnsi="宋体" w:eastAsia="宋体" w:cs="宋体"/>
      <w:sz w:val="30"/>
      <w:szCs w:val="30"/>
      <w:lang w:val="zh-TW" w:eastAsia="zh-TW" w:bidi="zh-TW"/>
    </w:rPr>
  </w:style>
  <w:style w:type="paragraph" w:customStyle="1" w:styleId="64">
    <w:name w:val="表格内容"/>
    <w:autoRedefine/>
    <w:qFormat/>
    <w:uiPriority w:val="99"/>
    <w:pPr>
      <w:widowControl w:val="0"/>
      <w:spacing w:before="20" w:beforeLines="20" w:after="20" w:afterLines="20"/>
      <w:jc w:val="center"/>
    </w:pPr>
    <w:rPr>
      <w:rFonts w:ascii="Times New Roman" w:hAnsi="Times New Roman" w:eastAsia="仿宋_GB2312"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1420</Words>
  <Characters>1463</Characters>
  <Lines>0</Lines>
  <Paragraphs>0</Paragraphs>
  <TotalTime>1</TotalTime>
  <ScaleCrop>false</ScaleCrop>
  <LinksUpToDate>false</LinksUpToDate>
  <CharactersWithSpaces>1463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2022-04-24T06:39:00Z</dcterms:created>
  <dc:creator>Administrator</dc:creator>
  <cp:lastModifiedBy>不二不二</cp:lastModifiedBy>
  <cp:lastPrinted>2025-11-27T01:27:00Z</cp:lastPrinted>
  <dcterms:modified xsi:type="dcterms:W3CDTF">2025-12-01T00:31:10Z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commondata">
    <vt:lpwstr>eyJoZGlkIjoiY2NiMWViOGJjZDNmMjBiMmJkNmI0OTVhMmFlMmE5ZjcifQ==</vt:lpwstr>
  </property>
  <property fmtid="{D5CDD505-2E9C-101B-9397-08002B2CF9AE}" pid="4" name="ICV">
    <vt:lpwstr>7224CCD7E0C74DE38A1681F5EB64E865_13</vt:lpwstr>
  </property>
  <property fmtid="{D5CDD505-2E9C-101B-9397-08002B2CF9AE}" pid="5" name="KSOTemplateDocerSaveRecord">
    <vt:lpwstr>eyJoZGlkIjoiODMyYTY1ZWM1MGFlNWQ0MGRhM2E2ODhkYWNkMjExYzIiLCJ1c2VySWQiOiIyMjYxOTU4ODcifQ==</vt:lpwstr>
  </property>
</Properties>
</file>