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B99FA">
      <w:pPr>
        <w:rPr>
          <w:rFonts w:ascii="Times New Roman" w:hAnsi="Times New Roman" w:eastAsia="仿宋_GB2312"/>
          <w:color w:val="auto"/>
          <w:sz w:val="36"/>
          <w:szCs w:val="36"/>
        </w:rPr>
      </w:pPr>
      <w:bookmarkStart w:id="0" w:name="_Hlk57883707"/>
    </w:p>
    <w:p w14:paraId="0C609740">
      <w:pPr>
        <w:pStyle w:val="31"/>
        <w:rPr>
          <w:color w:val="auto"/>
        </w:rPr>
      </w:pPr>
    </w:p>
    <w:p w14:paraId="6BBF57C1">
      <w:pPr>
        <w:pStyle w:val="31"/>
        <w:rPr>
          <w:color w:val="auto"/>
        </w:rPr>
      </w:pPr>
    </w:p>
    <w:p w14:paraId="0DED2057">
      <w:pPr>
        <w:pStyle w:val="31"/>
        <w:rPr>
          <w:color w:val="auto"/>
        </w:rPr>
      </w:pPr>
    </w:p>
    <w:p w14:paraId="774A865D">
      <w:pPr>
        <w:pStyle w:val="31"/>
        <w:rPr>
          <w:color w:val="auto"/>
        </w:rPr>
      </w:pPr>
    </w:p>
    <w:p w14:paraId="07563AE6">
      <w:pPr>
        <w:rPr>
          <w:rFonts w:ascii="Times New Roman" w:hAnsi="Times New Roman" w:eastAsia="仿宋_GB2312"/>
          <w:color w:val="auto"/>
          <w:sz w:val="36"/>
          <w:szCs w:val="36"/>
        </w:rPr>
      </w:pPr>
    </w:p>
    <w:bookmarkEnd w:id="0"/>
    <w:p w14:paraId="3916FD00">
      <w:pPr>
        <w:bidi w:val="0"/>
        <w:jc w:val="center"/>
        <w:rPr>
          <w:sz w:val="72"/>
          <w:szCs w:val="72"/>
        </w:rPr>
      </w:pPr>
      <w:r>
        <w:rPr>
          <w:sz w:val="72"/>
          <w:szCs w:val="72"/>
        </w:rPr>
        <w:t>建设项目环境影响报告表</w:t>
      </w:r>
    </w:p>
    <w:p w14:paraId="62C0B9FF">
      <w:pPr>
        <w:adjustRightInd w:val="0"/>
        <w:snapToGrid w:val="0"/>
        <w:spacing w:before="192" w:beforeLines="80"/>
        <w:jc w:val="center"/>
        <w:rPr>
          <w:rFonts w:ascii="Times New Roman" w:hAnsi="Times New Roman"/>
          <w:bCs/>
          <w:sz w:val="48"/>
          <w:szCs w:val="48"/>
        </w:rPr>
      </w:pPr>
      <w:r>
        <w:rPr>
          <w:rFonts w:ascii="Times New Roman" w:hAnsi="宋体"/>
          <w:bCs/>
          <w:sz w:val="48"/>
          <w:szCs w:val="48"/>
        </w:rPr>
        <w:t>（生态影响类）</w:t>
      </w:r>
    </w:p>
    <w:p w14:paraId="717EE7A2">
      <w:pPr>
        <w:jc w:val="center"/>
        <w:rPr>
          <w:color w:val="auto"/>
        </w:rPr>
      </w:pPr>
      <w:bookmarkStart w:id="1" w:name="_Hlk57883728"/>
    </w:p>
    <w:p w14:paraId="1119799C">
      <w:pPr>
        <w:jc w:val="center"/>
        <w:rPr>
          <w:rFonts w:ascii="Times New Roman" w:hAnsi="Times New Roman" w:eastAsia="仿宋"/>
          <w:color w:val="auto"/>
          <w:sz w:val="52"/>
          <w:szCs w:val="52"/>
        </w:rPr>
      </w:pPr>
    </w:p>
    <w:p w14:paraId="38D11D93">
      <w:pPr>
        <w:ind w:firstLine="1040"/>
        <w:rPr>
          <w:rFonts w:ascii="Times New Roman" w:hAnsi="Times New Roman" w:eastAsia="仿宋"/>
          <w:color w:val="auto"/>
          <w:sz w:val="44"/>
          <w:szCs w:val="44"/>
        </w:rPr>
      </w:pPr>
    </w:p>
    <w:p w14:paraId="533055C8">
      <w:pPr>
        <w:ind w:firstLine="1040"/>
        <w:rPr>
          <w:rFonts w:ascii="Times New Roman" w:hAnsi="Times New Roman" w:eastAsia="仿宋"/>
          <w:color w:val="auto"/>
          <w:sz w:val="44"/>
          <w:szCs w:val="44"/>
        </w:rPr>
      </w:pPr>
    </w:p>
    <w:p w14:paraId="51BDE983">
      <w:pPr>
        <w:ind w:firstLine="1040"/>
        <w:rPr>
          <w:rFonts w:ascii="Times New Roman" w:hAnsi="Times New Roman" w:eastAsia="仿宋"/>
          <w:color w:val="auto"/>
          <w:sz w:val="44"/>
          <w:szCs w:val="44"/>
        </w:rPr>
      </w:pPr>
    </w:p>
    <w:p w14:paraId="68B53DCF">
      <w:pPr>
        <w:ind w:firstLine="1040"/>
        <w:rPr>
          <w:rFonts w:ascii="Times New Roman" w:hAnsi="Times New Roman" w:eastAsia="仿宋"/>
          <w:color w:val="auto"/>
          <w:sz w:val="44"/>
          <w:szCs w:val="44"/>
        </w:rPr>
      </w:pPr>
    </w:p>
    <w:p w14:paraId="375BC016">
      <w:pPr>
        <w:ind w:firstLine="1040"/>
        <w:rPr>
          <w:rFonts w:ascii="Times New Roman" w:hAnsi="Times New Roman" w:eastAsia="仿宋"/>
          <w:color w:val="auto"/>
          <w:sz w:val="44"/>
          <w:szCs w:val="44"/>
        </w:rPr>
      </w:pPr>
    </w:p>
    <w:p w14:paraId="5AB8C51C">
      <w:pPr>
        <w:ind w:firstLine="1040"/>
        <w:rPr>
          <w:rFonts w:ascii="Times New Roman" w:hAnsi="Times New Roman" w:eastAsia="仿宋"/>
          <w:color w:val="auto"/>
          <w:sz w:val="44"/>
          <w:szCs w:val="44"/>
        </w:rPr>
      </w:pPr>
    </w:p>
    <w:bookmarkEnd w:id="1"/>
    <w:p w14:paraId="1E2DC41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项目名称：</w:t>
      </w:r>
      <w:bookmarkStart w:id="2" w:name="_Hlk35255316"/>
      <w:r>
        <w:rPr>
          <w:rFonts w:hint="eastAsia" w:ascii="Times New Roman" w:hAnsi="Times New Roman"/>
          <w:color w:val="auto"/>
          <w:sz w:val="30"/>
          <w:szCs w:val="30"/>
          <w:u w:val="single"/>
          <w:lang w:val="en-US" w:eastAsia="zh-CN"/>
        </w:rPr>
        <w:t xml:space="preserve">   </w:t>
      </w:r>
      <w:r>
        <w:rPr>
          <w:rFonts w:hint="eastAsia" w:ascii="Times New Roman" w:hAnsi="Times New Roman"/>
          <w:color w:val="auto"/>
          <w:sz w:val="30"/>
          <w:szCs w:val="30"/>
          <w:highlight w:val="none"/>
          <w:u w:val="single"/>
          <w:lang w:eastAsia="zh-CN"/>
        </w:rPr>
        <w:t>朱集西矿地面补勘钻孔及奥灰长观孔项目</w:t>
      </w:r>
      <w:r>
        <w:rPr>
          <w:rFonts w:hint="eastAsia" w:ascii="Times New Roman" w:hAnsi="Times New Roman"/>
          <w:color w:val="auto"/>
          <w:sz w:val="30"/>
          <w:szCs w:val="30"/>
          <w:u w:val="single"/>
          <w:lang w:val="en-US" w:eastAsia="zh-CN"/>
        </w:rPr>
        <w:t xml:space="preserve">     </w:t>
      </w:r>
    </w:p>
    <w:bookmarkEnd w:id="2"/>
    <w:p w14:paraId="7C5A97C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建设单位（盖章）：</w:t>
      </w:r>
      <w:r>
        <w:rPr>
          <w:rFonts w:hint="eastAsia"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 xml:space="preserve"> </w:t>
      </w:r>
      <w:r>
        <w:rPr>
          <w:rFonts w:ascii="Times New Roman" w:hAnsi="Times New Roman"/>
          <w:color w:val="auto"/>
          <w:sz w:val="30"/>
          <w:szCs w:val="30"/>
          <w:u w:val="single"/>
        </w:rPr>
        <w:t>中安联合煤化有限责任公司</w:t>
      </w:r>
      <w:r>
        <w:rPr>
          <w:rFonts w:hint="eastAsia" w:ascii="Times New Roman" w:hAnsi="Times New Roman"/>
          <w:color w:val="auto"/>
          <w:sz w:val="30"/>
          <w:szCs w:val="30"/>
          <w:u w:val="single"/>
        </w:rPr>
        <w:t xml:space="preserve">         </w:t>
      </w:r>
    </w:p>
    <w:p w14:paraId="082B2C24">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编制日期：</w:t>
      </w:r>
      <w:r>
        <w:rPr>
          <w:rFonts w:ascii="Times New Roman" w:hAnsi="Times New Roman"/>
          <w:color w:val="auto"/>
          <w:sz w:val="30"/>
          <w:szCs w:val="30"/>
          <w:u w:val="single"/>
        </w:rPr>
        <w:t xml:space="preserve"> </w:t>
      </w:r>
      <w:r>
        <w:rPr>
          <w:rFonts w:hint="eastAsia" w:ascii="Times New Roman" w:hAnsi="Times New Roman"/>
          <w:color w:val="auto"/>
          <w:sz w:val="30"/>
          <w:szCs w:val="30"/>
          <w:u w:val="single"/>
        </w:rPr>
        <w:t xml:space="preserve">                </w:t>
      </w:r>
      <w:r>
        <w:rPr>
          <w:rFonts w:ascii="Times New Roman" w:hAnsi="Times New Roman"/>
          <w:color w:val="auto"/>
          <w:sz w:val="30"/>
          <w:szCs w:val="30"/>
          <w:u w:val="single"/>
        </w:rPr>
        <w:t>202</w:t>
      </w:r>
      <w:r>
        <w:rPr>
          <w:rFonts w:hint="eastAsia" w:ascii="Times New Roman" w:hAnsi="Times New Roman"/>
          <w:color w:val="auto"/>
          <w:sz w:val="30"/>
          <w:szCs w:val="30"/>
          <w:u w:val="single"/>
          <w:lang w:val="en-US" w:eastAsia="zh-CN"/>
        </w:rPr>
        <w:t>5</w:t>
      </w:r>
      <w:r>
        <w:rPr>
          <w:rFonts w:ascii="Times New Roman" w:hAnsi="Times New Roman"/>
          <w:color w:val="auto"/>
          <w:sz w:val="30"/>
          <w:szCs w:val="30"/>
          <w:u w:val="single"/>
        </w:rPr>
        <w:t>年</w:t>
      </w:r>
      <w:r>
        <w:rPr>
          <w:rFonts w:hint="eastAsia" w:ascii="Times New Roman" w:hAnsi="Times New Roman"/>
          <w:color w:val="auto"/>
          <w:sz w:val="30"/>
          <w:szCs w:val="30"/>
          <w:u w:val="single"/>
          <w:lang w:val="en-US" w:eastAsia="zh-CN"/>
        </w:rPr>
        <w:t>12</w:t>
      </w:r>
      <w:r>
        <w:rPr>
          <w:rFonts w:ascii="Times New Roman" w:hAnsi="Times New Roman"/>
          <w:color w:val="auto"/>
          <w:sz w:val="30"/>
          <w:szCs w:val="30"/>
          <w:u w:val="single"/>
        </w:rPr>
        <w:t>月</w:t>
      </w:r>
      <w:r>
        <w:rPr>
          <w:rFonts w:hint="eastAsia" w:ascii="Times New Roman" w:hAnsi="Times New Roman"/>
          <w:color w:val="auto"/>
          <w:sz w:val="30"/>
          <w:szCs w:val="30"/>
          <w:u w:val="single"/>
        </w:rPr>
        <w:t xml:space="preserve">               </w:t>
      </w:r>
    </w:p>
    <w:p w14:paraId="6FE6815B">
      <w:pPr>
        <w:adjustRightInd w:val="0"/>
        <w:snapToGrid w:val="0"/>
        <w:spacing w:line="288" w:lineRule="auto"/>
        <w:ind w:firstLine="1040"/>
        <w:rPr>
          <w:rFonts w:ascii="Times New Roman" w:hAnsi="Times New Roman" w:eastAsia="仿宋_GB2312"/>
          <w:color w:val="auto"/>
          <w:sz w:val="36"/>
          <w:szCs w:val="36"/>
          <w:u w:val="single"/>
        </w:rPr>
      </w:pPr>
    </w:p>
    <w:p w14:paraId="4C9A2628">
      <w:pPr>
        <w:adjustRightInd w:val="0"/>
        <w:snapToGrid w:val="0"/>
        <w:spacing w:line="288" w:lineRule="auto"/>
        <w:ind w:firstLine="1040"/>
        <w:rPr>
          <w:rFonts w:ascii="Times New Roman" w:hAnsi="Times New Roman" w:eastAsia="仿宋_GB2312"/>
          <w:color w:val="auto"/>
          <w:sz w:val="36"/>
          <w:szCs w:val="36"/>
        </w:rPr>
      </w:pPr>
    </w:p>
    <w:p w14:paraId="180F709E">
      <w:pPr>
        <w:adjustRightInd w:val="0"/>
        <w:snapToGrid w:val="0"/>
        <w:spacing w:line="288" w:lineRule="auto"/>
        <w:ind w:firstLine="1040"/>
        <w:rPr>
          <w:rFonts w:ascii="Times New Roman" w:hAnsi="Times New Roman" w:eastAsia="仿宋_GB2312"/>
          <w:color w:val="auto"/>
          <w:sz w:val="36"/>
          <w:szCs w:val="36"/>
        </w:rPr>
      </w:pPr>
    </w:p>
    <w:p w14:paraId="6D9AAA1C">
      <w:pPr>
        <w:pStyle w:val="31"/>
        <w:rPr>
          <w:rFonts w:ascii="Times New Roman" w:hAnsi="Times New Roman"/>
          <w:color w:val="auto"/>
        </w:rPr>
      </w:pPr>
    </w:p>
    <w:p w14:paraId="58812EE1">
      <w:pPr>
        <w:adjustRightInd w:val="0"/>
        <w:snapToGrid w:val="0"/>
        <w:spacing w:line="288" w:lineRule="auto"/>
        <w:jc w:val="center"/>
        <w:rPr>
          <w:rFonts w:ascii="Times New Roman" w:hAnsi="Times New Roman"/>
          <w:color w:val="auto"/>
          <w:sz w:val="36"/>
          <w:szCs w:val="36"/>
        </w:rPr>
      </w:pPr>
    </w:p>
    <w:p w14:paraId="0B7C136D">
      <w:pPr>
        <w:adjustRightInd w:val="0"/>
        <w:snapToGrid w:val="0"/>
        <w:spacing w:line="288" w:lineRule="auto"/>
        <w:jc w:val="center"/>
        <w:rPr>
          <w:rFonts w:ascii="Times New Roman" w:hAnsi="Times New Roman"/>
          <w:color w:val="auto"/>
          <w:sz w:val="36"/>
          <w:szCs w:val="36"/>
        </w:rPr>
      </w:pPr>
    </w:p>
    <w:p w14:paraId="21619847">
      <w:pPr>
        <w:adjustRightInd w:val="0"/>
        <w:snapToGrid w:val="0"/>
        <w:spacing w:line="288" w:lineRule="auto"/>
        <w:jc w:val="center"/>
        <w:rPr>
          <w:rFonts w:ascii="Times New Roman" w:hAnsi="Times New Roman"/>
          <w:color w:val="auto"/>
          <w:sz w:val="36"/>
          <w:szCs w:val="36"/>
        </w:rPr>
      </w:pPr>
    </w:p>
    <w:p w14:paraId="7CEB68E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Times New Roman" w:hAnsi="Times New Roman"/>
          <w:color w:val="auto"/>
          <w:sz w:val="36"/>
          <w:szCs w:val="36"/>
        </w:rPr>
      </w:pPr>
      <w:r>
        <w:rPr>
          <w:rFonts w:ascii="Times New Roman" w:hAnsi="宋体"/>
          <w:color w:val="auto"/>
          <w:sz w:val="36"/>
          <w:szCs w:val="36"/>
        </w:rPr>
        <w:t>中华人民共和国生态环境部制</w:t>
      </w:r>
    </w:p>
    <w:p w14:paraId="000BBC28">
      <w:pPr>
        <w:adjustRightInd w:val="0"/>
        <w:snapToGrid w:val="0"/>
        <w:spacing w:line="288" w:lineRule="auto"/>
        <w:ind w:firstLine="1040"/>
        <w:rPr>
          <w:rFonts w:ascii="Times New Roman" w:hAnsi="Times New Roman"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sdt>
      <w:sdtPr>
        <w:rPr>
          <w:rFonts w:ascii="宋体" w:hAnsi="宋体" w:eastAsia="宋体" w:cs="Times New Roman"/>
          <w:kern w:val="2"/>
          <w:sz w:val="44"/>
          <w:szCs w:val="44"/>
          <w:highlight w:val="cyan"/>
          <w:lang w:val="en-US" w:eastAsia="zh-CN" w:bidi="ar-SA"/>
        </w:rPr>
        <w:id w:val="147482568"/>
        <w15:color w:val="DBDBDB"/>
        <w:docPartObj>
          <w:docPartGallery w:val="Table of Contents"/>
          <w:docPartUnique/>
        </w:docPartObj>
      </w:sdtPr>
      <w:sdtEndPr>
        <w:rPr>
          <w:rFonts w:hint="eastAsia" w:ascii="Times New Roman" w:hAnsi="Times New Roman" w:eastAsia="仿宋_GB2312" w:cs="Times New Roman"/>
          <w:color w:val="auto"/>
          <w:kern w:val="2"/>
          <w:sz w:val="21"/>
          <w:szCs w:val="36"/>
          <w:highlight w:val="none"/>
          <w:lang w:val="en-US" w:eastAsia="zh-CN" w:bidi="ar-SA"/>
        </w:rPr>
      </w:sdtEndPr>
      <w:sdtContent>
        <w:p w14:paraId="2805FA0D">
          <w:pPr>
            <w:keepNext w:val="0"/>
            <w:keepLines w:val="0"/>
            <w:pageBreakBefore w:val="0"/>
            <w:widowControl w:val="0"/>
            <w:kinsoku/>
            <w:wordWrap/>
            <w:overflowPunct/>
            <w:topLinePunct w:val="0"/>
            <w:autoSpaceDE/>
            <w:autoSpaceDN/>
            <w:bidi w:val="0"/>
            <w:spacing w:before="0" w:beforeLines="0" w:after="0" w:afterLines="0" w:line="360" w:lineRule="auto"/>
            <w:ind w:left="0" w:leftChars="0" w:right="0" w:rightChars="0" w:firstLine="0" w:firstLineChars="0"/>
            <w:jc w:val="center"/>
            <w:textAlignment w:val="auto"/>
            <w:rPr>
              <w:sz w:val="44"/>
              <w:szCs w:val="44"/>
              <w:highlight w:val="none"/>
            </w:rPr>
          </w:pPr>
          <w:r>
            <w:rPr>
              <w:rFonts w:ascii="宋体" w:hAnsi="宋体" w:eastAsia="宋体"/>
              <w:sz w:val="44"/>
              <w:szCs w:val="44"/>
              <w:highlight w:val="none"/>
            </w:rPr>
            <w:t>目录</w:t>
          </w:r>
        </w:p>
        <w:p w14:paraId="2492BE7F">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color w:val="auto"/>
              <w:sz w:val="24"/>
              <w:szCs w:val="24"/>
              <w:highlight w:val="none"/>
              <w:lang w:val="en-US" w:eastAsia="zh-CN"/>
            </w:rPr>
            <w:instrText xml:space="preserve">TOC \o "1-1" \h \u </w:instrText>
          </w:r>
          <w:r>
            <w:rPr>
              <w:rFonts w:hint="eastAsia" w:ascii="Times New Roman" w:hAnsi="Times New Roman" w:eastAsia="仿宋_GB2312"/>
              <w:color w:val="auto"/>
              <w:sz w:val="24"/>
              <w:szCs w:val="24"/>
              <w:highlight w:val="none"/>
              <w:lang w:val="en-US" w:eastAsia="zh-CN"/>
            </w:rPr>
            <w:fldChar w:fldCharType="separate"/>
          </w: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_Toc3558 </w:instrText>
          </w:r>
          <w:r>
            <w:rPr>
              <w:rFonts w:hint="eastAsia" w:ascii="Times New Roman" w:hAnsi="Times New Roman" w:eastAsia="仿宋_GB2312"/>
              <w:sz w:val="24"/>
              <w:szCs w:val="24"/>
              <w:highlight w:val="none"/>
              <w:lang w:val="en-US" w:eastAsia="zh-CN"/>
            </w:rPr>
            <w:fldChar w:fldCharType="separate"/>
          </w:r>
          <w:r>
            <w:rPr>
              <w:rFonts w:ascii="Times New Roman" w:hAnsi="Times New Roman" w:eastAsia="黑体"/>
              <w:snapToGrid w:val="0"/>
              <w:sz w:val="24"/>
              <w:szCs w:val="24"/>
              <w:highlight w:val="none"/>
            </w:rPr>
            <w:t>一、建设项目基本情况</w:t>
          </w:r>
          <w:r>
            <w:rPr>
              <w:sz w:val="24"/>
              <w:szCs w:val="24"/>
              <w:highlight w:val="none"/>
            </w:rPr>
            <w:tab/>
          </w:r>
          <w:r>
            <w:rPr>
              <w:sz w:val="24"/>
              <w:szCs w:val="24"/>
              <w:highlight w:val="none"/>
            </w:rPr>
            <w:fldChar w:fldCharType="begin"/>
          </w:r>
          <w:r>
            <w:rPr>
              <w:sz w:val="24"/>
              <w:szCs w:val="24"/>
              <w:highlight w:val="none"/>
            </w:rPr>
            <w:instrText xml:space="preserve"> PAGEREF _Toc3558 \h </w:instrText>
          </w:r>
          <w:r>
            <w:rPr>
              <w:sz w:val="24"/>
              <w:szCs w:val="24"/>
              <w:highlight w:val="none"/>
            </w:rPr>
            <w:fldChar w:fldCharType="separate"/>
          </w:r>
          <w:r>
            <w:rPr>
              <w:sz w:val="24"/>
              <w:szCs w:val="24"/>
              <w:highlight w:val="none"/>
            </w:rPr>
            <w:t>1</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26B21647">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_Toc15234 </w:instrText>
          </w:r>
          <w:r>
            <w:rPr>
              <w:rFonts w:hint="eastAsia" w:ascii="Times New Roman" w:hAnsi="Times New Roman" w:eastAsia="仿宋_GB2312"/>
              <w:sz w:val="24"/>
              <w:szCs w:val="24"/>
              <w:highlight w:val="none"/>
              <w:lang w:val="en-US" w:eastAsia="zh-CN"/>
            </w:rPr>
            <w:fldChar w:fldCharType="separate"/>
          </w:r>
          <w:r>
            <w:rPr>
              <w:rFonts w:hint="eastAsia" w:ascii="Times New Roman" w:hAnsi="Times New Roman" w:eastAsia="黑体"/>
              <w:snapToGrid w:val="0"/>
              <w:sz w:val="24"/>
              <w:szCs w:val="24"/>
              <w:highlight w:val="none"/>
            </w:rPr>
            <w:t>二、</w:t>
          </w:r>
          <w:r>
            <w:rPr>
              <w:rFonts w:ascii="Times New Roman" w:hAnsi="Times New Roman" w:eastAsia="黑体"/>
              <w:snapToGrid w:val="0"/>
              <w:sz w:val="24"/>
              <w:szCs w:val="24"/>
              <w:highlight w:val="none"/>
            </w:rPr>
            <w:t>建设内容</w:t>
          </w:r>
          <w:r>
            <w:rPr>
              <w:sz w:val="24"/>
              <w:szCs w:val="24"/>
              <w:highlight w:val="none"/>
            </w:rPr>
            <w:tab/>
          </w:r>
          <w:r>
            <w:rPr>
              <w:sz w:val="24"/>
              <w:szCs w:val="24"/>
              <w:highlight w:val="none"/>
            </w:rPr>
            <w:fldChar w:fldCharType="begin"/>
          </w:r>
          <w:r>
            <w:rPr>
              <w:sz w:val="24"/>
              <w:szCs w:val="24"/>
              <w:highlight w:val="none"/>
            </w:rPr>
            <w:instrText xml:space="preserve"> PAGEREF _Toc15234 \h </w:instrText>
          </w:r>
          <w:r>
            <w:rPr>
              <w:sz w:val="24"/>
              <w:szCs w:val="24"/>
              <w:highlight w:val="none"/>
            </w:rPr>
            <w:fldChar w:fldCharType="separate"/>
          </w:r>
          <w:r>
            <w:rPr>
              <w:sz w:val="24"/>
              <w:szCs w:val="24"/>
              <w:highlight w:val="none"/>
            </w:rPr>
            <w:t>18</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6333681E">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_Toc30614 </w:instrText>
          </w:r>
          <w:r>
            <w:rPr>
              <w:rFonts w:hint="eastAsia" w:ascii="Times New Roman" w:hAnsi="Times New Roman" w:eastAsia="仿宋_GB2312"/>
              <w:sz w:val="24"/>
              <w:szCs w:val="24"/>
              <w:highlight w:val="none"/>
              <w:lang w:val="en-US" w:eastAsia="zh-CN"/>
            </w:rPr>
            <w:fldChar w:fldCharType="separate"/>
          </w:r>
          <w:r>
            <w:rPr>
              <w:rFonts w:ascii="Times New Roman" w:hAnsi="Times New Roman" w:eastAsia="黑体"/>
              <w:snapToGrid w:val="0"/>
              <w:sz w:val="24"/>
              <w:szCs w:val="24"/>
              <w:highlight w:val="none"/>
            </w:rPr>
            <w:t>三、生态环境现状、保护目标及评价标准</w:t>
          </w:r>
          <w:r>
            <w:rPr>
              <w:sz w:val="24"/>
              <w:szCs w:val="24"/>
              <w:highlight w:val="none"/>
            </w:rPr>
            <w:tab/>
          </w:r>
          <w:r>
            <w:rPr>
              <w:sz w:val="24"/>
              <w:szCs w:val="24"/>
              <w:highlight w:val="none"/>
            </w:rPr>
            <w:fldChar w:fldCharType="begin"/>
          </w:r>
          <w:r>
            <w:rPr>
              <w:sz w:val="24"/>
              <w:szCs w:val="24"/>
              <w:highlight w:val="none"/>
            </w:rPr>
            <w:instrText xml:space="preserve"> PAGEREF _Toc30614 \h </w:instrText>
          </w:r>
          <w:r>
            <w:rPr>
              <w:sz w:val="24"/>
              <w:szCs w:val="24"/>
              <w:highlight w:val="none"/>
            </w:rPr>
            <w:fldChar w:fldCharType="separate"/>
          </w:r>
          <w:r>
            <w:rPr>
              <w:sz w:val="24"/>
              <w:szCs w:val="24"/>
              <w:highlight w:val="none"/>
            </w:rPr>
            <w:t>37</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010DAF27">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_Toc13328 </w:instrText>
          </w:r>
          <w:r>
            <w:rPr>
              <w:rFonts w:hint="eastAsia" w:ascii="Times New Roman" w:hAnsi="Times New Roman" w:eastAsia="仿宋_GB2312"/>
              <w:sz w:val="24"/>
              <w:szCs w:val="24"/>
              <w:highlight w:val="none"/>
              <w:lang w:val="en-US" w:eastAsia="zh-CN"/>
            </w:rPr>
            <w:fldChar w:fldCharType="separate"/>
          </w:r>
          <w:r>
            <w:rPr>
              <w:rFonts w:ascii="Times New Roman" w:hAnsi="Times New Roman" w:eastAsia="黑体"/>
              <w:snapToGrid w:val="0"/>
              <w:sz w:val="24"/>
              <w:szCs w:val="24"/>
              <w:highlight w:val="none"/>
            </w:rPr>
            <w:t>四、生态环境影响分析</w:t>
          </w:r>
          <w:r>
            <w:rPr>
              <w:sz w:val="24"/>
              <w:szCs w:val="24"/>
              <w:highlight w:val="none"/>
            </w:rPr>
            <w:tab/>
          </w:r>
          <w:r>
            <w:rPr>
              <w:sz w:val="24"/>
              <w:szCs w:val="24"/>
              <w:highlight w:val="none"/>
            </w:rPr>
            <w:fldChar w:fldCharType="begin"/>
          </w:r>
          <w:r>
            <w:rPr>
              <w:sz w:val="24"/>
              <w:szCs w:val="24"/>
              <w:highlight w:val="none"/>
            </w:rPr>
            <w:instrText xml:space="preserve"> PAGEREF _Toc13328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303D781E">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_Toc11827 </w:instrText>
          </w:r>
          <w:r>
            <w:rPr>
              <w:rFonts w:hint="eastAsia" w:ascii="Times New Roman" w:hAnsi="Times New Roman" w:eastAsia="仿宋_GB2312"/>
              <w:sz w:val="24"/>
              <w:szCs w:val="24"/>
              <w:highlight w:val="none"/>
              <w:lang w:val="en-US" w:eastAsia="zh-CN"/>
            </w:rPr>
            <w:fldChar w:fldCharType="separate"/>
          </w:r>
          <w:r>
            <w:rPr>
              <w:rFonts w:ascii="Times New Roman" w:hAnsi="Times New Roman" w:eastAsia="黑体"/>
              <w:snapToGrid w:val="0"/>
              <w:sz w:val="24"/>
              <w:szCs w:val="24"/>
              <w:highlight w:val="none"/>
            </w:rPr>
            <w:t>五、主要生态环境保护措施</w:t>
          </w:r>
          <w:r>
            <w:rPr>
              <w:sz w:val="24"/>
              <w:szCs w:val="24"/>
              <w:highlight w:val="none"/>
            </w:rPr>
            <w:tab/>
          </w:r>
          <w:r>
            <w:rPr>
              <w:sz w:val="24"/>
              <w:szCs w:val="24"/>
              <w:highlight w:val="none"/>
            </w:rPr>
            <w:fldChar w:fldCharType="begin"/>
          </w:r>
          <w:r>
            <w:rPr>
              <w:sz w:val="24"/>
              <w:szCs w:val="24"/>
              <w:highlight w:val="none"/>
            </w:rPr>
            <w:instrText xml:space="preserve"> PAGEREF _Toc11827 \h </w:instrText>
          </w:r>
          <w:r>
            <w:rPr>
              <w:sz w:val="24"/>
              <w:szCs w:val="24"/>
              <w:highlight w:val="none"/>
            </w:rPr>
            <w:fldChar w:fldCharType="separate"/>
          </w:r>
          <w:r>
            <w:rPr>
              <w:sz w:val="24"/>
              <w:szCs w:val="24"/>
              <w:highlight w:val="none"/>
            </w:rPr>
            <w:t>63</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29C9FFA4">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_Toc27653 </w:instrText>
          </w:r>
          <w:r>
            <w:rPr>
              <w:rFonts w:hint="eastAsia" w:ascii="Times New Roman" w:hAnsi="Times New Roman" w:eastAsia="仿宋_GB2312"/>
              <w:sz w:val="24"/>
              <w:szCs w:val="24"/>
              <w:highlight w:val="none"/>
              <w:lang w:val="en-US" w:eastAsia="zh-CN"/>
            </w:rPr>
            <w:fldChar w:fldCharType="separate"/>
          </w:r>
          <w:r>
            <w:rPr>
              <w:rFonts w:ascii="Times New Roman" w:hAnsi="Times New Roman" w:eastAsia="黑体"/>
              <w:snapToGrid w:val="0"/>
              <w:sz w:val="24"/>
              <w:szCs w:val="24"/>
              <w:highlight w:val="none"/>
            </w:rPr>
            <w:t>六、生态环境保护措施监督检查清单</w:t>
          </w:r>
          <w:r>
            <w:rPr>
              <w:sz w:val="24"/>
              <w:szCs w:val="24"/>
              <w:highlight w:val="none"/>
            </w:rPr>
            <w:tab/>
          </w:r>
          <w:r>
            <w:rPr>
              <w:sz w:val="24"/>
              <w:szCs w:val="24"/>
              <w:highlight w:val="none"/>
            </w:rPr>
            <w:fldChar w:fldCharType="begin"/>
          </w:r>
          <w:r>
            <w:rPr>
              <w:sz w:val="24"/>
              <w:szCs w:val="24"/>
              <w:highlight w:val="none"/>
            </w:rPr>
            <w:instrText xml:space="preserve"> PAGEREF _Toc27653 \h </w:instrText>
          </w:r>
          <w:r>
            <w:rPr>
              <w:sz w:val="24"/>
              <w:szCs w:val="24"/>
              <w:highlight w:val="none"/>
            </w:rPr>
            <w:fldChar w:fldCharType="separate"/>
          </w:r>
          <w:r>
            <w:rPr>
              <w:sz w:val="24"/>
              <w:szCs w:val="24"/>
              <w:highlight w:val="none"/>
            </w:rPr>
            <w:t>81</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59A7C038">
          <w:pPr>
            <w:pStyle w:val="18"/>
            <w:keepNext w:val="0"/>
            <w:keepLines w:val="0"/>
            <w:pageBreakBefore w:val="0"/>
            <w:widowControl w:val="0"/>
            <w:tabs>
              <w:tab w:val="right" w:leader="dot" w:pos="8844"/>
            </w:tabs>
            <w:kinsoku/>
            <w:wordWrap/>
            <w:overflowPunct/>
            <w:topLinePunct w:val="0"/>
            <w:autoSpaceDE/>
            <w:autoSpaceDN/>
            <w:bidi w:val="0"/>
            <w:spacing w:line="360" w:lineRule="auto"/>
            <w:textAlignment w:val="auto"/>
            <w:rPr>
              <w:sz w:val="24"/>
              <w:szCs w:val="24"/>
              <w:highlight w:val="none"/>
            </w:rPr>
          </w:pPr>
          <w:r>
            <w:rPr>
              <w:rFonts w:hint="eastAsia" w:ascii="Times New Roman" w:hAnsi="Times New Roman" w:eastAsia="仿宋_GB2312"/>
              <w:color w:val="auto"/>
              <w:sz w:val="24"/>
              <w:szCs w:val="24"/>
              <w:highlight w:val="none"/>
              <w:lang w:val="en-US" w:eastAsia="zh-CN"/>
            </w:rPr>
            <w:fldChar w:fldCharType="begin"/>
          </w:r>
          <w:r>
            <w:rPr>
              <w:rFonts w:hint="eastAsia" w:ascii="Times New Roman" w:hAnsi="Times New Roman" w:eastAsia="仿宋_GB2312"/>
              <w:sz w:val="24"/>
              <w:szCs w:val="24"/>
              <w:highlight w:val="none"/>
              <w:lang w:val="en-US" w:eastAsia="zh-CN"/>
            </w:rPr>
            <w:instrText xml:space="preserve"> HYPERLINK \l _Toc15634 </w:instrText>
          </w:r>
          <w:r>
            <w:rPr>
              <w:rFonts w:hint="eastAsia" w:ascii="Times New Roman" w:hAnsi="Times New Roman" w:eastAsia="仿宋_GB2312"/>
              <w:sz w:val="24"/>
              <w:szCs w:val="24"/>
              <w:highlight w:val="none"/>
              <w:lang w:val="en-US" w:eastAsia="zh-CN"/>
            </w:rPr>
            <w:fldChar w:fldCharType="separate"/>
          </w:r>
          <w:r>
            <w:rPr>
              <w:rFonts w:ascii="Times New Roman" w:hAnsi="Times New Roman" w:eastAsia="黑体"/>
              <w:snapToGrid w:val="0"/>
              <w:sz w:val="24"/>
              <w:szCs w:val="24"/>
              <w:highlight w:val="none"/>
            </w:rPr>
            <w:t>七、结论</w:t>
          </w:r>
          <w:r>
            <w:rPr>
              <w:sz w:val="24"/>
              <w:szCs w:val="24"/>
              <w:highlight w:val="none"/>
            </w:rPr>
            <w:tab/>
          </w:r>
          <w:r>
            <w:rPr>
              <w:sz w:val="24"/>
              <w:szCs w:val="24"/>
              <w:highlight w:val="none"/>
            </w:rPr>
            <w:fldChar w:fldCharType="begin"/>
          </w:r>
          <w:r>
            <w:rPr>
              <w:sz w:val="24"/>
              <w:szCs w:val="24"/>
              <w:highlight w:val="none"/>
            </w:rPr>
            <w:instrText xml:space="preserve"> PAGEREF _Toc15634 \h </w:instrText>
          </w:r>
          <w:r>
            <w:rPr>
              <w:sz w:val="24"/>
              <w:szCs w:val="24"/>
              <w:highlight w:val="none"/>
            </w:rPr>
            <w:fldChar w:fldCharType="separate"/>
          </w:r>
          <w:r>
            <w:rPr>
              <w:sz w:val="24"/>
              <w:szCs w:val="24"/>
              <w:highlight w:val="none"/>
            </w:rPr>
            <w:t>84</w:t>
          </w:r>
          <w:r>
            <w:rPr>
              <w:sz w:val="24"/>
              <w:szCs w:val="24"/>
              <w:highlight w:val="none"/>
            </w:rPr>
            <w:fldChar w:fldCharType="end"/>
          </w:r>
          <w:r>
            <w:rPr>
              <w:rFonts w:hint="eastAsia" w:ascii="Times New Roman" w:hAnsi="Times New Roman" w:eastAsia="仿宋_GB2312"/>
              <w:color w:val="auto"/>
              <w:sz w:val="24"/>
              <w:szCs w:val="24"/>
              <w:highlight w:val="none"/>
              <w:lang w:val="en-US" w:eastAsia="zh-CN"/>
            </w:rPr>
            <w:fldChar w:fldCharType="end"/>
          </w:r>
        </w:p>
        <w:p w14:paraId="22586A22">
          <w:pPr>
            <w:adjustRightInd w:val="0"/>
            <w:snapToGrid w:val="0"/>
            <w:spacing w:line="288" w:lineRule="auto"/>
            <w:rPr>
              <w:rFonts w:hint="eastAsia" w:ascii="Times New Roman" w:hAnsi="Times New Roman" w:eastAsia="仿宋_GB2312"/>
              <w:color w:val="auto"/>
              <w:sz w:val="36"/>
              <w:szCs w:val="36"/>
              <w:highlight w:val="none"/>
              <w:lang w:val="en-US" w:eastAsia="zh-CN"/>
            </w:rPr>
          </w:pPr>
          <w:r>
            <w:rPr>
              <w:rFonts w:hint="eastAsia" w:ascii="Times New Roman" w:hAnsi="Times New Roman" w:eastAsia="仿宋_GB2312"/>
              <w:color w:val="auto"/>
              <w:sz w:val="24"/>
              <w:szCs w:val="24"/>
              <w:highlight w:val="none"/>
              <w:lang w:val="en-US" w:eastAsia="zh-CN"/>
            </w:rPr>
            <w:fldChar w:fldCharType="end"/>
          </w:r>
        </w:p>
      </w:sdtContent>
    </w:sdt>
    <w:p w14:paraId="7C5081D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附件1 委托书</w:t>
      </w:r>
      <w:bookmarkStart w:id="19" w:name="_GoBack"/>
      <w:bookmarkEnd w:id="19"/>
    </w:p>
    <w:p w14:paraId="6D8FF9B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附件2 备案表</w:t>
      </w:r>
    </w:p>
    <w:p w14:paraId="2F5F47D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附件3 临时用地土地复垦方案的初审意见</w:t>
      </w:r>
    </w:p>
    <w:p w14:paraId="4126DA6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p>
    <w:p w14:paraId="546EA10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 地理位置图</w:t>
      </w:r>
    </w:p>
    <w:p w14:paraId="22707BF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附图2 项目位置周边概况图</w:t>
      </w:r>
    </w:p>
    <w:p w14:paraId="0E10E4C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附图3 施工平面布置图</w:t>
      </w:r>
    </w:p>
    <w:p w14:paraId="7B5E0EB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w:t>
      </w:r>
      <w:r>
        <w:rPr>
          <w:rFonts w:hint="eastAsia" w:ascii="Times New Roman" w:hAnsi="Times New Roman"/>
          <w:b w:val="0"/>
          <w:bCs w:val="0"/>
          <w:color w:val="auto"/>
          <w:sz w:val="24"/>
          <w:szCs w:val="24"/>
          <w:highlight w:val="none"/>
          <w:lang w:val="en-US" w:eastAsia="zh-CN"/>
        </w:rPr>
        <w:t>4</w:t>
      </w:r>
      <w:r>
        <w:rPr>
          <w:rFonts w:hint="eastAsia" w:ascii="Times New Roman" w:hAnsi="Times New Roman" w:eastAsia="宋体"/>
          <w:b w:val="0"/>
          <w:bCs w:val="0"/>
          <w:color w:val="auto"/>
          <w:sz w:val="24"/>
          <w:szCs w:val="24"/>
          <w:highlight w:val="none"/>
          <w:lang w:val="en-US" w:eastAsia="zh-CN"/>
        </w:rPr>
        <w:t xml:space="preserve"> 三区三线套图</w:t>
      </w:r>
    </w:p>
    <w:p w14:paraId="318BFF2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附图5 本项目在生态保护红线中的位置图</w:t>
      </w:r>
    </w:p>
    <w:p w14:paraId="0353AB0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附图6 淮南市水环境分区图中的位置图</w:t>
      </w:r>
    </w:p>
    <w:p w14:paraId="676DB1A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附图7 淮南市大气环境分区图中的位置图</w:t>
      </w:r>
    </w:p>
    <w:p w14:paraId="3E9329A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附图8 淮南市土壤污染风险分区图中的位置图</w:t>
      </w:r>
    </w:p>
    <w:p w14:paraId="525316C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附图9 本项目与安徽省主体功能区划位置关系图</w:t>
      </w:r>
    </w:p>
    <w:p w14:paraId="0C7EFCD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附图10 本项目与安徽省生态功能区划位置关系图</w:t>
      </w:r>
    </w:p>
    <w:p w14:paraId="435202C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附图11 本项目在水系图中的位置</w:t>
      </w:r>
    </w:p>
    <w:p w14:paraId="7965A59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附图12 生态环境保护措施分布图</w:t>
      </w:r>
    </w:p>
    <w:p w14:paraId="7B6D405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附图13 生态环境保护目标图</w:t>
      </w:r>
    </w:p>
    <w:p w14:paraId="19256E8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附图14 土地利用现状图</w:t>
      </w:r>
    </w:p>
    <w:p w14:paraId="530C468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_GB2312"/>
          <w:b/>
          <w:bCs/>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附图15 现状植被类型图</w:t>
      </w:r>
    </w:p>
    <w:p w14:paraId="5AFA4C5F">
      <w:pPr>
        <w:adjustRightInd w:val="0"/>
        <w:snapToGrid w:val="0"/>
        <w:spacing w:line="288" w:lineRule="auto"/>
        <w:rPr>
          <w:rFonts w:hint="default" w:ascii="Times New Roman" w:hAnsi="Times New Roman" w:eastAsia="仿宋_GB2312"/>
          <w:b/>
          <w:bCs/>
          <w:color w:val="auto"/>
          <w:sz w:val="24"/>
          <w:szCs w:val="24"/>
          <w:highlight w:val="none"/>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6F01A3B9">
      <w:pPr>
        <w:pStyle w:val="21"/>
        <w:jc w:val="center"/>
        <w:outlineLvl w:val="0"/>
        <w:rPr>
          <w:rFonts w:ascii="Times New Roman" w:hAnsi="Times New Roman" w:eastAsia="黑体"/>
          <w:snapToGrid w:val="0"/>
          <w:color w:val="auto"/>
          <w:sz w:val="30"/>
          <w:szCs w:val="30"/>
          <w:highlight w:val="none"/>
        </w:rPr>
      </w:pPr>
      <w:bookmarkStart w:id="3" w:name="_Toc3558"/>
      <w:r>
        <w:rPr>
          <w:rFonts w:ascii="Times New Roman" w:hAnsi="Times New Roman" w:eastAsia="黑体"/>
          <w:snapToGrid w:val="0"/>
          <w:color w:val="auto"/>
          <w:sz w:val="30"/>
          <w:szCs w:val="30"/>
          <w:highlight w:val="none"/>
        </w:rPr>
        <w:t>一、建设项目基本情况</w:t>
      </w:r>
      <w:bookmarkEnd w:id="3"/>
    </w:p>
    <w:tbl>
      <w:tblPr>
        <w:tblStyle w:val="23"/>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40"/>
        <w:gridCol w:w="525"/>
        <w:gridCol w:w="2324"/>
        <w:gridCol w:w="2316"/>
        <w:gridCol w:w="12"/>
        <w:gridCol w:w="3122"/>
      </w:tblGrid>
      <w:tr w14:paraId="1EABE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5" w:type="dxa"/>
            <w:gridSpan w:val="2"/>
            <w:noWrap/>
            <w:tcMar>
              <w:top w:w="16" w:type="dxa"/>
              <w:left w:w="16" w:type="dxa"/>
              <w:right w:w="16" w:type="dxa"/>
            </w:tcMar>
            <w:vAlign w:val="center"/>
          </w:tcPr>
          <w:p w14:paraId="6D449314">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建设项目名称</w:t>
            </w:r>
          </w:p>
        </w:tc>
        <w:tc>
          <w:tcPr>
            <w:tcW w:w="7774" w:type="dxa"/>
            <w:gridSpan w:val="4"/>
            <w:noWrap/>
            <w:vAlign w:val="center"/>
          </w:tcPr>
          <w:p w14:paraId="1F64DD68">
            <w:pPr>
              <w:adjustRightInd w:val="0"/>
              <w:snapToGrid w:val="0"/>
              <w:jc w:val="center"/>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lang w:eastAsia="zh-CN"/>
              </w:rPr>
              <w:t>朱集西矿地面补勘钻孔及奥灰长观孔项目</w:t>
            </w:r>
          </w:p>
        </w:tc>
      </w:tr>
      <w:tr w14:paraId="02B9B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265" w:type="dxa"/>
            <w:gridSpan w:val="2"/>
            <w:noWrap/>
            <w:tcMar>
              <w:top w:w="16" w:type="dxa"/>
              <w:left w:w="16" w:type="dxa"/>
              <w:right w:w="16" w:type="dxa"/>
            </w:tcMar>
            <w:vAlign w:val="center"/>
          </w:tcPr>
          <w:p w14:paraId="549419A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项目代码</w:t>
            </w:r>
          </w:p>
        </w:tc>
        <w:tc>
          <w:tcPr>
            <w:tcW w:w="7774" w:type="dxa"/>
            <w:gridSpan w:val="4"/>
            <w:noWrap/>
            <w:vAlign w:val="center"/>
          </w:tcPr>
          <w:p w14:paraId="7E9D3042">
            <w:pPr>
              <w:adjustRightInd w:val="0"/>
              <w:snapToGrid w:val="0"/>
              <w:jc w:val="center"/>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lang w:eastAsia="zh-CN"/>
              </w:rPr>
              <w:t>2509-340406-04-01-536481</w:t>
            </w:r>
          </w:p>
        </w:tc>
      </w:tr>
      <w:tr w14:paraId="7ADB6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5" w:type="dxa"/>
            <w:gridSpan w:val="2"/>
            <w:noWrap/>
            <w:tcMar>
              <w:top w:w="16" w:type="dxa"/>
              <w:left w:w="16" w:type="dxa"/>
              <w:right w:w="16" w:type="dxa"/>
            </w:tcMar>
            <w:vAlign w:val="center"/>
          </w:tcPr>
          <w:p w14:paraId="121B2EBB">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建设单位联系人</w:t>
            </w:r>
          </w:p>
        </w:tc>
        <w:tc>
          <w:tcPr>
            <w:tcW w:w="2324" w:type="dxa"/>
            <w:noWrap/>
            <w:vAlign w:val="center"/>
          </w:tcPr>
          <w:p w14:paraId="5CC3D3D9">
            <w:pPr>
              <w:adjustRightInd w:val="0"/>
              <w:snapToGrid w:val="0"/>
              <w:jc w:val="center"/>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lang w:val="en-US" w:eastAsia="zh-CN"/>
              </w:rPr>
              <w:t>李军</w:t>
            </w:r>
          </w:p>
        </w:tc>
        <w:tc>
          <w:tcPr>
            <w:tcW w:w="2328" w:type="dxa"/>
            <w:gridSpan w:val="2"/>
            <w:noWrap/>
            <w:vAlign w:val="center"/>
          </w:tcPr>
          <w:p w14:paraId="7020676A">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联系方式</w:t>
            </w:r>
          </w:p>
        </w:tc>
        <w:tc>
          <w:tcPr>
            <w:tcW w:w="3122" w:type="dxa"/>
            <w:noWrap/>
            <w:vAlign w:val="center"/>
          </w:tcPr>
          <w:p w14:paraId="3E28F3A0">
            <w:pPr>
              <w:adjustRightInd w:val="0"/>
              <w:snapToGrid w:val="0"/>
              <w:jc w:val="center"/>
              <w:rPr>
                <w:rFonts w:ascii="Times New Roman" w:hAnsi="Times New Roman"/>
                <w:color w:val="auto"/>
                <w:sz w:val="24"/>
                <w:highlight w:val="none"/>
              </w:rPr>
            </w:pPr>
            <w:r>
              <w:rPr>
                <w:rFonts w:hint="eastAsia" w:ascii="Times New Roman" w:hAnsi="Times New Roman"/>
                <w:color w:val="auto"/>
                <w:sz w:val="24"/>
                <w:highlight w:val="none"/>
              </w:rPr>
              <w:t>15105540227</w:t>
            </w:r>
          </w:p>
        </w:tc>
      </w:tr>
      <w:tr w14:paraId="07C64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5" w:type="dxa"/>
            <w:gridSpan w:val="2"/>
            <w:noWrap/>
            <w:tcMar>
              <w:top w:w="16" w:type="dxa"/>
              <w:left w:w="16" w:type="dxa"/>
              <w:right w:w="16" w:type="dxa"/>
            </w:tcMar>
            <w:vAlign w:val="center"/>
          </w:tcPr>
          <w:p w14:paraId="4140F795">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建设地点</w:t>
            </w:r>
          </w:p>
        </w:tc>
        <w:tc>
          <w:tcPr>
            <w:tcW w:w="7774" w:type="dxa"/>
            <w:gridSpan w:val="4"/>
            <w:noWrap/>
            <w:vAlign w:val="center"/>
          </w:tcPr>
          <w:p w14:paraId="45768230">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安徽省淮南市潘集区贺疃镇</w:t>
            </w:r>
          </w:p>
        </w:tc>
      </w:tr>
      <w:tr w14:paraId="46CFF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5" w:type="dxa"/>
            <w:gridSpan w:val="2"/>
            <w:shd w:val="clear" w:color="auto" w:fill="auto"/>
            <w:noWrap/>
            <w:tcMar>
              <w:top w:w="16" w:type="dxa"/>
              <w:left w:w="16" w:type="dxa"/>
              <w:right w:w="16" w:type="dxa"/>
            </w:tcMar>
            <w:vAlign w:val="center"/>
          </w:tcPr>
          <w:p w14:paraId="1E8485D2">
            <w:pPr>
              <w:adjustRightInd w:val="0"/>
              <w:snapToGrid w:val="0"/>
              <w:jc w:val="center"/>
              <w:rPr>
                <w:rFonts w:ascii="Times New Roman" w:hAnsi="Times New Roman" w:eastAsia="宋体" w:cs="Times New Roman"/>
                <w:kern w:val="2"/>
                <w:sz w:val="24"/>
                <w:szCs w:val="24"/>
                <w:highlight w:val="none"/>
                <w:lang w:val="en-US" w:eastAsia="zh-CN" w:bidi="ar-SA"/>
              </w:rPr>
            </w:pPr>
            <w:r>
              <w:rPr>
                <w:rFonts w:ascii="Times New Roman" w:hAnsi="Times New Roman"/>
                <w:sz w:val="24"/>
                <w:highlight w:val="none"/>
              </w:rPr>
              <w:t>地理坐标</w:t>
            </w:r>
          </w:p>
        </w:tc>
        <w:tc>
          <w:tcPr>
            <w:tcW w:w="7774" w:type="dxa"/>
            <w:gridSpan w:val="4"/>
            <w:shd w:val="clear" w:color="auto" w:fill="auto"/>
            <w:noWrap/>
            <w:vAlign w:val="center"/>
          </w:tcPr>
          <w:p w14:paraId="2B5A0C2E">
            <w:pPr>
              <w:rPr>
                <w:rFonts w:ascii="Times New Roman" w:hAnsi="Times New Roman"/>
                <w:sz w:val="24"/>
                <w:highlight w:val="none"/>
              </w:rPr>
            </w:pPr>
            <w:r>
              <w:rPr>
                <w:rFonts w:hint="eastAsia" w:ascii="Times New Roman" w:hAnsi="Times New Roman"/>
                <w:sz w:val="24"/>
                <w:highlight w:val="none"/>
                <w:lang w:val="en-US" w:eastAsia="zh-CN"/>
              </w:rPr>
              <w:t>1</w:t>
            </w:r>
            <w:r>
              <w:rPr>
                <w:rFonts w:ascii="Times New Roman" w:hAnsi="Times New Roman"/>
                <w:sz w:val="24"/>
                <w:highlight w:val="none"/>
              </w:rPr>
              <w:t>号</w:t>
            </w:r>
            <w:r>
              <w:rPr>
                <w:rFonts w:hint="eastAsia" w:ascii="Times New Roman" w:hAnsi="Times New Roman"/>
                <w:sz w:val="24"/>
                <w:highlight w:val="none"/>
              </w:rPr>
              <w:t>井场</w:t>
            </w:r>
            <w:r>
              <w:rPr>
                <w:rFonts w:ascii="Times New Roman" w:hAnsi="Times New Roman"/>
                <w:sz w:val="24"/>
                <w:highlight w:val="none"/>
              </w:rPr>
              <w:t>中心坐标：116</w:t>
            </w:r>
            <w:r>
              <w:rPr>
                <w:rFonts w:hint="eastAsia" w:ascii="Times New Roman" w:hAnsi="Times New Roman"/>
                <w:sz w:val="24"/>
                <w:highlight w:val="none"/>
              </w:rPr>
              <w:t>度</w:t>
            </w:r>
            <w:r>
              <w:rPr>
                <w:rFonts w:ascii="Times New Roman" w:hAnsi="Times New Roman"/>
                <w:sz w:val="24"/>
                <w:highlight w:val="none"/>
              </w:rPr>
              <w:t>4</w:t>
            </w:r>
            <w:r>
              <w:rPr>
                <w:rFonts w:hint="eastAsia" w:ascii="Times New Roman" w:hAnsi="Times New Roman"/>
                <w:sz w:val="24"/>
                <w:highlight w:val="none"/>
              </w:rPr>
              <w:t>1分</w:t>
            </w:r>
            <w:r>
              <w:rPr>
                <w:rFonts w:hint="eastAsia" w:ascii="Times New Roman" w:hAnsi="Times New Roman"/>
                <w:sz w:val="24"/>
                <w:highlight w:val="none"/>
                <w:lang w:val="en-US" w:eastAsia="zh-CN"/>
              </w:rPr>
              <w:t>52</w:t>
            </w:r>
            <w:r>
              <w:rPr>
                <w:rFonts w:hint="eastAsia" w:ascii="Times New Roman" w:hAnsi="Times New Roman"/>
                <w:sz w:val="24"/>
                <w:highlight w:val="none"/>
              </w:rPr>
              <w:t>.</w:t>
            </w:r>
            <w:r>
              <w:rPr>
                <w:rFonts w:hint="eastAsia" w:ascii="Times New Roman" w:hAnsi="Times New Roman"/>
                <w:sz w:val="24"/>
                <w:highlight w:val="none"/>
                <w:lang w:val="en-US" w:eastAsia="zh-CN"/>
              </w:rPr>
              <w:t>062</w:t>
            </w:r>
            <w:r>
              <w:rPr>
                <w:rFonts w:hint="eastAsia" w:ascii="Times New Roman" w:hAnsi="Times New Roman"/>
                <w:sz w:val="24"/>
                <w:highlight w:val="none"/>
              </w:rPr>
              <w:t>秒，32度54分</w:t>
            </w:r>
            <w:r>
              <w:rPr>
                <w:rFonts w:hint="eastAsia" w:ascii="Times New Roman" w:hAnsi="Times New Roman"/>
                <w:sz w:val="24"/>
                <w:highlight w:val="none"/>
                <w:lang w:val="en-US" w:eastAsia="zh-CN"/>
              </w:rPr>
              <w:t>33.302</w:t>
            </w:r>
            <w:r>
              <w:rPr>
                <w:rFonts w:hint="eastAsia" w:ascii="Times New Roman" w:hAnsi="Times New Roman"/>
                <w:sz w:val="24"/>
                <w:highlight w:val="none"/>
              </w:rPr>
              <w:t>秒</w:t>
            </w:r>
          </w:p>
          <w:p w14:paraId="424879B2">
            <w:pPr>
              <w:rPr>
                <w:rFonts w:hint="eastAsia" w:ascii="Times New Roman" w:hAnsi="Times New Roman"/>
                <w:sz w:val="24"/>
                <w:highlight w:val="none"/>
              </w:rPr>
            </w:pPr>
            <w:r>
              <w:rPr>
                <w:rFonts w:hint="eastAsia" w:ascii="Times New Roman" w:hAnsi="Times New Roman"/>
                <w:sz w:val="24"/>
                <w:highlight w:val="none"/>
                <w:lang w:val="en-US" w:eastAsia="zh-CN"/>
              </w:rPr>
              <w:t>2</w:t>
            </w:r>
            <w:r>
              <w:rPr>
                <w:rFonts w:ascii="Times New Roman" w:hAnsi="Times New Roman"/>
                <w:sz w:val="24"/>
                <w:highlight w:val="none"/>
              </w:rPr>
              <w:t>号</w:t>
            </w:r>
            <w:r>
              <w:rPr>
                <w:rFonts w:hint="eastAsia" w:ascii="Times New Roman" w:hAnsi="Times New Roman"/>
                <w:sz w:val="24"/>
                <w:highlight w:val="none"/>
              </w:rPr>
              <w:t>井场</w:t>
            </w:r>
            <w:r>
              <w:rPr>
                <w:rFonts w:ascii="Times New Roman" w:hAnsi="Times New Roman"/>
                <w:sz w:val="24"/>
                <w:highlight w:val="none"/>
              </w:rPr>
              <w:t>中心坐标：</w:t>
            </w:r>
            <w:r>
              <w:rPr>
                <w:rFonts w:hint="eastAsia" w:ascii="Times New Roman" w:hAnsi="Times New Roman"/>
                <w:sz w:val="24"/>
                <w:highlight w:val="none"/>
              </w:rPr>
              <w:t>116度4</w:t>
            </w:r>
            <w:r>
              <w:rPr>
                <w:rFonts w:hint="eastAsia" w:ascii="Times New Roman" w:hAnsi="Times New Roman"/>
                <w:sz w:val="24"/>
                <w:highlight w:val="none"/>
                <w:lang w:val="en-US" w:eastAsia="zh-CN"/>
              </w:rPr>
              <w:t>2</w:t>
            </w:r>
            <w:r>
              <w:rPr>
                <w:rFonts w:hint="eastAsia" w:ascii="Times New Roman" w:hAnsi="Times New Roman"/>
                <w:sz w:val="24"/>
                <w:highlight w:val="none"/>
              </w:rPr>
              <w:t>分</w:t>
            </w:r>
            <w:r>
              <w:rPr>
                <w:rFonts w:hint="eastAsia" w:ascii="Times New Roman" w:hAnsi="Times New Roman"/>
                <w:sz w:val="24"/>
                <w:highlight w:val="none"/>
                <w:lang w:val="en-US" w:eastAsia="zh-CN"/>
              </w:rPr>
              <w:t>7.819</w:t>
            </w:r>
            <w:r>
              <w:rPr>
                <w:rFonts w:hint="eastAsia" w:ascii="Times New Roman" w:hAnsi="Times New Roman"/>
                <w:sz w:val="24"/>
                <w:highlight w:val="none"/>
              </w:rPr>
              <w:t>秒，32度54分</w:t>
            </w:r>
            <w:r>
              <w:rPr>
                <w:rFonts w:hint="eastAsia" w:ascii="Times New Roman" w:hAnsi="Times New Roman"/>
                <w:sz w:val="24"/>
                <w:highlight w:val="none"/>
                <w:lang w:val="en-US" w:eastAsia="zh-CN"/>
              </w:rPr>
              <w:t>29.613</w:t>
            </w:r>
            <w:r>
              <w:rPr>
                <w:rFonts w:hint="eastAsia" w:ascii="Times New Roman" w:hAnsi="Times New Roman"/>
                <w:sz w:val="24"/>
                <w:highlight w:val="none"/>
              </w:rPr>
              <w:t>秒</w:t>
            </w:r>
          </w:p>
          <w:p w14:paraId="4E2B5BC3">
            <w:pPr>
              <w:rPr>
                <w:rFonts w:hint="eastAsia" w:ascii="Times New Roman" w:hAnsi="Times New Roman"/>
                <w:sz w:val="24"/>
                <w:highlight w:val="none"/>
                <w:lang w:val="en-US" w:eastAsia="zh-CN"/>
              </w:rPr>
            </w:pPr>
            <w:r>
              <w:rPr>
                <w:rFonts w:hint="eastAsia" w:ascii="Times New Roman" w:hAnsi="Times New Roman"/>
                <w:sz w:val="24"/>
                <w:highlight w:val="none"/>
                <w:lang w:val="en-US" w:eastAsia="zh-CN"/>
              </w:rPr>
              <w:t>3</w:t>
            </w:r>
            <w:r>
              <w:rPr>
                <w:rFonts w:ascii="Times New Roman" w:hAnsi="Times New Roman"/>
                <w:sz w:val="24"/>
                <w:highlight w:val="none"/>
              </w:rPr>
              <w:t>号</w:t>
            </w:r>
            <w:r>
              <w:rPr>
                <w:rFonts w:hint="eastAsia" w:ascii="Times New Roman" w:hAnsi="Times New Roman"/>
                <w:sz w:val="24"/>
                <w:highlight w:val="none"/>
              </w:rPr>
              <w:t>井场</w:t>
            </w:r>
            <w:r>
              <w:rPr>
                <w:rFonts w:ascii="Times New Roman" w:hAnsi="Times New Roman"/>
                <w:sz w:val="24"/>
                <w:highlight w:val="none"/>
              </w:rPr>
              <w:t>中心坐标：</w:t>
            </w:r>
            <w:r>
              <w:rPr>
                <w:rFonts w:hint="eastAsia" w:ascii="Times New Roman" w:hAnsi="Times New Roman"/>
                <w:sz w:val="24"/>
                <w:highlight w:val="none"/>
              </w:rPr>
              <w:t>116度45分26.789秒，32度54分0.762秒</w:t>
            </w:r>
          </w:p>
        </w:tc>
      </w:tr>
      <w:tr w14:paraId="2165C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265" w:type="dxa"/>
            <w:gridSpan w:val="2"/>
            <w:noWrap/>
            <w:tcMar>
              <w:top w:w="16" w:type="dxa"/>
              <w:left w:w="16" w:type="dxa"/>
              <w:right w:w="16" w:type="dxa"/>
            </w:tcMar>
            <w:vAlign w:val="center"/>
          </w:tcPr>
          <w:p w14:paraId="5E6D3346">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建设项目</w:t>
            </w:r>
          </w:p>
          <w:p w14:paraId="727D8F88">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行业类别</w:t>
            </w:r>
          </w:p>
        </w:tc>
        <w:tc>
          <w:tcPr>
            <w:tcW w:w="2324" w:type="dxa"/>
            <w:noWrap/>
            <w:vAlign w:val="center"/>
          </w:tcPr>
          <w:p w14:paraId="50643F34">
            <w:pPr>
              <w:adjustRightInd w:val="0"/>
              <w:snapToGrid w:val="0"/>
              <w:jc w:val="center"/>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四十六、专业技术服务业99中的陆地矿产资源地质勘查（含油气资源勘探）；二氧化碳地质封存中其他</w:t>
            </w:r>
            <w:r>
              <w:rPr>
                <w:rFonts w:hint="eastAsia" w:ascii="Times New Roman" w:hAnsi="Times New Roman"/>
                <w:color w:val="auto"/>
                <w:sz w:val="24"/>
                <w:highlight w:val="none"/>
                <w:lang w:eastAsia="zh-CN"/>
              </w:rPr>
              <w:t>”</w:t>
            </w:r>
          </w:p>
        </w:tc>
        <w:tc>
          <w:tcPr>
            <w:tcW w:w="2316" w:type="dxa"/>
            <w:noWrap/>
            <w:vAlign w:val="center"/>
          </w:tcPr>
          <w:p w14:paraId="3AA76E85">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用地面积（m</w:t>
            </w:r>
            <w:r>
              <w:rPr>
                <w:rFonts w:ascii="Times New Roman" w:hAnsi="Times New Roman"/>
                <w:color w:val="auto"/>
                <w:sz w:val="24"/>
                <w:highlight w:val="none"/>
                <w:vertAlign w:val="superscript"/>
              </w:rPr>
              <w:t>2</w:t>
            </w:r>
            <w:r>
              <w:rPr>
                <w:rFonts w:ascii="Times New Roman" w:hAnsi="Times New Roman"/>
                <w:color w:val="auto"/>
                <w:sz w:val="24"/>
                <w:highlight w:val="none"/>
              </w:rPr>
              <w:t>）</w:t>
            </w:r>
          </w:p>
        </w:tc>
        <w:tc>
          <w:tcPr>
            <w:tcW w:w="3134" w:type="dxa"/>
            <w:gridSpan w:val="2"/>
            <w:noWrap/>
            <w:vAlign w:val="center"/>
          </w:tcPr>
          <w:p w14:paraId="4EB0B661">
            <w:pPr>
              <w:adjustRightInd w:val="0"/>
              <w:snapToGrid w:val="0"/>
              <w:jc w:val="center"/>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井场临时用地：2229</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hint="eastAsia" w:ascii="Times New Roman" w:hAnsi="Times New Roman"/>
                <w:color w:val="auto"/>
                <w:sz w:val="24"/>
                <w:highlight w:val="none"/>
                <w:lang w:val="en-US" w:eastAsia="zh-CN"/>
              </w:rPr>
              <w:t>；</w:t>
            </w:r>
          </w:p>
          <w:p w14:paraId="56109416">
            <w:pPr>
              <w:adjustRightInd w:val="0"/>
              <w:snapToGrid w:val="0"/>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临时道路用地：720</w:t>
            </w:r>
            <w:r>
              <w:rPr>
                <w:rFonts w:ascii="Times New Roman" w:hAnsi="Times New Roman"/>
                <w:color w:val="auto"/>
                <w:sz w:val="24"/>
                <w:highlight w:val="none"/>
              </w:rPr>
              <w:t>m</w:t>
            </w:r>
            <w:r>
              <w:rPr>
                <w:rFonts w:ascii="Times New Roman" w:hAnsi="Times New Roman"/>
                <w:color w:val="auto"/>
                <w:sz w:val="24"/>
                <w:highlight w:val="none"/>
                <w:vertAlign w:val="superscript"/>
              </w:rPr>
              <w:t>2</w:t>
            </w:r>
          </w:p>
        </w:tc>
      </w:tr>
      <w:tr w14:paraId="7A3E8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265" w:type="dxa"/>
            <w:gridSpan w:val="2"/>
            <w:noWrap/>
            <w:tcMar>
              <w:top w:w="16" w:type="dxa"/>
              <w:left w:w="16" w:type="dxa"/>
              <w:right w:w="16" w:type="dxa"/>
            </w:tcMar>
            <w:vAlign w:val="center"/>
          </w:tcPr>
          <w:p w14:paraId="0D9AA92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建设性质</w:t>
            </w:r>
          </w:p>
        </w:tc>
        <w:tc>
          <w:tcPr>
            <w:tcW w:w="2324" w:type="dxa"/>
            <w:noWrap/>
            <w:vAlign w:val="center"/>
          </w:tcPr>
          <w:p w14:paraId="6258E881">
            <w:pPr>
              <w:adjustRightInd w:val="0"/>
              <w:snapToGrid w:val="0"/>
              <w:jc w:val="left"/>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新建（迁建）</w:t>
            </w:r>
          </w:p>
          <w:p w14:paraId="4DBEB31A">
            <w:pPr>
              <w:adjustRightInd w:val="0"/>
              <w:snapToGrid w:val="0"/>
              <w:jc w:val="left"/>
              <w:rPr>
                <w:rFonts w:ascii="Times New Roman" w:hAnsi="Times New Roman"/>
                <w:color w:val="auto"/>
                <w:sz w:val="24"/>
                <w:highlight w:val="none"/>
              </w:rPr>
            </w:pPr>
            <w:r>
              <w:rPr>
                <w:rFonts w:ascii="Times New Roman" w:hAnsi="Times New Roman"/>
                <w:color w:val="auto"/>
                <w:sz w:val="24"/>
                <w:highlight w:val="none"/>
              </w:rPr>
              <w:t>□改建</w:t>
            </w:r>
          </w:p>
          <w:p w14:paraId="1E29AC24">
            <w:pPr>
              <w:adjustRightInd w:val="0"/>
              <w:snapToGrid w:val="0"/>
              <w:jc w:val="left"/>
              <w:rPr>
                <w:rFonts w:ascii="Times New Roman" w:hAnsi="Times New Roman"/>
                <w:color w:val="auto"/>
                <w:sz w:val="24"/>
                <w:highlight w:val="none"/>
              </w:rPr>
            </w:pPr>
            <w:r>
              <w:rPr>
                <w:rFonts w:ascii="Times New Roman" w:hAnsi="Times New Roman"/>
                <w:color w:val="auto"/>
                <w:sz w:val="24"/>
                <w:highlight w:val="none"/>
              </w:rPr>
              <w:t>□扩建</w:t>
            </w:r>
          </w:p>
          <w:p w14:paraId="6E2E65D3">
            <w:pPr>
              <w:adjustRightInd w:val="0"/>
              <w:snapToGrid w:val="0"/>
              <w:jc w:val="left"/>
              <w:rPr>
                <w:rFonts w:ascii="Times New Roman" w:hAnsi="Times New Roman"/>
                <w:color w:val="auto"/>
                <w:sz w:val="24"/>
                <w:highlight w:val="none"/>
              </w:rPr>
            </w:pPr>
            <w:r>
              <w:rPr>
                <w:rFonts w:ascii="Times New Roman" w:hAnsi="Times New Roman"/>
                <w:color w:val="auto"/>
                <w:sz w:val="24"/>
                <w:highlight w:val="none"/>
              </w:rPr>
              <w:t>□技术改造</w:t>
            </w:r>
          </w:p>
        </w:tc>
        <w:tc>
          <w:tcPr>
            <w:tcW w:w="2316" w:type="dxa"/>
            <w:noWrap/>
            <w:vAlign w:val="center"/>
          </w:tcPr>
          <w:p w14:paraId="0FC4D250">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建设项目</w:t>
            </w:r>
          </w:p>
          <w:p w14:paraId="41B77885">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申报情形</w:t>
            </w:r>
          </w:p>
        </w:tc>
        <w:tc>
          <w:tcPr>
            <w:tcW w:w="3134" w:type="dxa"/>
            <w:gridSpan w:val="2"/>
            <w:noWrap/>
            <w:vAlign w:val="center"/>
          </w:tcPr>
          <w:p w14:paraId="09A97FFB">
            <w:pPr>
              <w:adjustRightInd w:val="0"/>
              <w:snapToGrid w:val="0"/>
              <w:jc w:val="left"/>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首次申报项目</w:t>
            </w:r>
          </w:p>
          <w:p w14:paraId="256C7F7C">
            <w:pPr>
              <w:adjustRightInd w:val="0"/>
              <w:snapToGrid w:val="0"/>
              <w:jc w:val="left"/>
              <w:rPr>
                <w:rFonts w:ascii="Times New Roman" w:hAnsi="Times New Roman"/>
                <w:color w:val="auto"/>
                <w:sz w:val="24"/>
                <w:highlight w:val="none"/>
              </w:rPr>
            </w:pPr>
            <w:r>
              <w:rPr>
                <w:rFonts w:ascii="Times New Roman" w:hAnsi="Times New Roman"/>
                <w:color w:val="auto"/>
                <w:sz w:val="24"/>
                <w:highlight w:val="none"/>
              </w:rPr>
              <w:t>□不予批准后再次申报项目</w:t>
            </w:r>
          </w:p>
          <w:p w14:paraId="456C4115">
            <w:pPr>
              <w:adjustRightInd w:val="0"/>
              <w:snapToGrid w:val="0"/>
              <w:jc w:val="left"/>
              <w:rPr>
                <w:rFonts w:ascii="Times New Roman" w:hAnsi="Times New Roman"/>
                <w:color w:val="auto"/>
                <w:sz w:val="24"/>
                <w:highlight w:val="none"/>
              </w:rPr>
            </w:pPr>
            <w:r>
              <w:rPr>
                <w:rFonts w:ascii="Times New Roman" w:hAnsi="Times New Roman"/>
                <w:color w:val="auto"/>
                <w:sz w:val="24"/>
                <w:highlight w:val="none"/>
              </w:rPr>
              <w:t>□超五年重新审核项目</w:t>
            </w:r>
          </w:p>
          <w:p w14:paraId="267B9607">
            <w:pPr>
              <w:adjustRightInd w:val="0"/>
              <w:snapToGrid w:val="0"/>
              <w:jc w:val="left"/>
              <w:rPr>
                <w:rFonts w:ascii="Times New Roman" w:hAnsi="Times New Roman"/>
                <w:color w:val="auto"/>
                <w:sz w:val="24"/>
                <w:highlight w:val="none"/>
              </w:rPr>
            </w:pPr>
            <w:r>
              <w:rPr>
                <w:rFonts w:ascii="Times New Roman" w:hAnsi="Times New Roman"/>
                <w:color w:val="auto"/>
                <w:sz w:val="24"/>
                <w:highlight w:val="none"/>
              </w:rPr>
              <w:t>□重大变动重新报批项目</w:t>
            </w:r>
          </w:p>
        </w:tc>
      </w:tr>
      <w:tr w14:paraId="4B167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265" w:type="dxa"/>
            <w:gridSpan w:val="2"/>
            <w:noWrap/>
            <w:tcMar>
              <w:top w:w="16" w:type="dxa"/>
              <w:left w:w="16" w:type="dxa"/>
              <w:right w:w="16" w:type="dxa"/>
            </w:tcMar>
            <w:vAlign w:val="center"/>
          </w:tcPr>
          <w:p w14:paraId="372A843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项目审批（核准/备案）部门（选填）</w:t>
            </w:r>
          </w:p>
        </w:tc>
        <w:tc>
          <w:tcPr>
            <w:tcW w:w="2324" w:type="dxa"/>
            <w:noWrap/>
            <w:vAlign w:val="center"/>
          </w:tcPr>
          <w:p w14:paraId="7B5B491B">
            <w:pPr>
              <w:adjustRightInd w:val="0"/>
              <w:snapToGrid w:val="0"/>
              <w:jc w:val="center"/>
              <w:rPr>
                <w:rFonts w:ascii="Times New Roman" w:hAnsi="Times New Roman"/>
                <w:color w:val="auto"/>
                <w:sz w:val="24"/>
                <w:highlight w:val="none"/>
              </w:rPr>
            </w:pPr>
            <w:r>
              <w:rPr>
                <w:rFonts w:hint="eastAsia" w:ascii="Times New Roman" w:hAnsi="Times New Roman"/>
                <w:color w:val="auto"/>
                <w:sz w:val="24"/>
                <w:highlight w:val="none"/>
                <w:lang w:val="en-US" w:eastAsia="zh-CN"/>
              </w:rPr>
              <w:t>淮南市</w:t>
            </w:r>
            <w:r>
              <w:rPr>
                <w:rFonts w:ascii="Times New Roman" w:hAnsi="Times New Roman"/>
                <w:color w:val="auto"/>
                <w:sz w:val="24"/>
                <w:highlight w:val="none"/>
              </w:rPr>
              <w:t>潘集区发展和改革委员会</w:t>
            </w:r>
          </w:p>
        </w:tc>
        <w:tc>
          <w:tcPr>
            <w:tcW w:w="2316" w:type="dxa"/>
            <w:noWrap/>
            <w:vAlign w:val="center"/>
          </w:tcPr>
          <w:p w14:paraId="255439A1">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项目审批（核准/</w:t>
            </w:r>
          </w:p>
          <w:p w14:paraId="71BB6E2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备案）文号（选填）</w:t>
            </w:r>
          </w:p>
        </w:tc>
        <w:tc>
          <w:tcPr>
            <w:tcW w:w="3134" w:type="dxa"/>
            <w:gridSpan w:val="2"/>
            <w:noWrap/>
            <w:vAlign w:val="center"/>
          </w:tcPr>
          <w:p w14:paraId="49EF6170">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w:t>
            </w:r>
          </w:p>
        </w:tc>
      </w:tr>
      <w:tr w14:paraId="58D42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5" w:type="dxa"/>
            <w:gridSpan w:val="2"/>
            <w:noWrap/>
            <w:tcMar>
              <w:top w:w="16" w:type="dxa"/>
              <w:left w:w="16" w:type="dxa"/>
              <w:right w:w="16" w:type="dxa"/>
            </w:tcMar>
            <w:vAlign w:val="center"/>
          </w:tcPr>
          <w:p w14:paraId="5992D9CB">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总投资（万元）</w:t>
            </w:r>
          </w:p>
        </w:tc>
        <w:tc>
          <w:tcPr>
            <w:tcW w:w="2324" w:type="dxa"/>
            <w:noWrap/>
            <w:vAlign w:val="center"/>
          </w:tcPr>
          <w:p w14:paraId="696CB0A2">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179.7082</w:t>
            </w:r>
          </w:p>
        </w:tc>
        <w:tc>
          <w:tcPr>
            <w:tcW w:w="2316" w:type="dxa"/>
            <w:noWrap/>
            <w:tcMar>
              <w:top w:w="16" w:type="dxa"/>
              <w:left w:w="16" w:type="dxa"/>
              <w:right w:w="16" w:type="dxa"/>
            </w:tcMar>
            <w:vAlign w:val="center"/>
          </w:tcPr>
          <w:p w14:paraId="0116B6CA">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环保投资（万元）</w:t>
            </w:r>
          </w:p>
        </w:tc>
        <w:tc>
          <w:tcPr>
            <w:tcW w:w="3134" w:type="dxa"/>
            <w:gridSpan w:val="2"/>
            <w:noWrap/>
            <w:vAlign w:val="center"/>
          </w:tcPr>
          <w:p w14:paraId="74DBDA71">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36.8</w:t>
            </w:r>
          </w:p>
        </w:tc>
      </w:tr>
      <w:tr w14:paraId="7E923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65" w:type="dxa"/>
            <w:gridSpan w:val="2"/>
            <w:noWrap/>
            <w:tcMar>
              <w:top w:w="16" w:type="dxa"/>
              <w:left w:w="16" w:type="dxa"/>
              <w:right w:w="16" w:type="dxa"/>
            </w:tcMar>
            <w:vAlign w:val="center"/>
          </w:tcPr>
          <w:p w14:paraId="29A0D786">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环保投资占比（%）</w:t>
            </w:r>
          </w:p>
        </w:tc>
        <w:tc>
          <w:tcPr>
            <w:tcW w:w="2324" w:type="dxa"/>
            <w:noWrap/>
            <w:vAlign w:val="center"/>
          </w:tcPr>
          <w:p w14:paraId="31BE206E">
            <w:pPr>
              <w:adjustRightInd w:val="0"/>
              <w:snapToGrid w:val="0"/>
              <w:jc w:val="center"/>
              <w:rPr>
                <w:rFonts w:ascii="Times New Roman" w:hAnsi="Times New Roman"/>
                <w:color w:val="auto"/>
                <w:sz w:val="24"/>
                <w:highlight w:val="none"/>
              </w:rPr>
            </w:pPr>
            <w:r>
              <w:rPr>
                <w:rFonts w:hint="eastAsia" w:ascii="Times New Roman" w:hAnsi="Times New Roman"/>
                <w:color w:val="auto"/>
                <w:sz w:val="24"/>
                <w:highlight w:val="none"/>
                <w:lang w:val="en-US" w:eastAsia="zh-CN"/>
              </w:rPr>
              <w:t>20.5</w:t>
            </w:r>
            <w:r>
              <w:rPr>
                <w:rFonts w:ascii="Times New Roman" w:hAnsi="Times New Roman"/>
                <w:color w:val="auto"/>
                <w:sz w:val="24"/>
                <w:highlight w:val="none"/>
              </w:rPr>
              <w:t>%</w:t>
            </w:r>
          </w:p>
        </w:tc>
        <w:tc>
          <w:tcPr>
            <w:tcW w:w="2316" w:type="dxa"/>
            <w:noWrap/>
            <w:tcMar>
              <w:top w:w="16" w:type="dxa"/>
              <w:left w:w="16" w:type="dxa"/>
              <w:right w:w="16" w:type="dxa"/>
            </w:tcMar>
            <w:vAlign w:val="center"/>
          </w:tcPr>
          <w:p w14:paraId="627187F0">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施工工期</w:t>
            </w:r>
          </w:p>
        </w:tc>
        <w:tc>
          <w:tcPr>
            <w:tcW w:w="3134" w:type="dxa"/>
            <w:gridSpan w:val="2"/>
            <w:noWrap/>
            <w:vAlign w:val="center"/>
          </w:tcPr>
          <w:p w14:paraId="071A1E3F">
            <w:pPr>
              <w:adjustRightInd w:val="0"/>
              <w:snapToGrid w:val="0"/>
              <w:jc w:val="center"/>
              <w:rPr>
                <w:rFonts w:ascii="Times New Roman" w:hAnsi="Times New Roman"/>
                <w:color w:val="auto"/>
                <w:sz w:val="24"/>
                <w:highlight w:val="none"/>
              </w:rPr>
            </w:pPr>
            <w:r>
              <w:rPr>
                <w:rFonts w:hint="eastAsia" w:ascii="Times New Roman" w:hAnsi="Times New Roman"/>
                <w:color w:val="auto"/>
                <w:sz w:val="24"/>
                <w:highlight w:val="none"/>
                <w:lang w:val="en-US" w:eastAsia="zh-CN"/>
              </w:rPr>
              <w:t>6</w:t>
            </w:r>
            <w:r>
              <w:rPr>
                <w:rFonts w:hint="eastAsia" w:ascii="Times New Roman" w:hAnsi="Times New Roman"/>
                <w:color w:val="auto"/>
                <w:sz w:val="24"/>
                <w:highlight w:val="none"/>
              </w:rPr>
              <w:t>个月</w:t>
            </w:r>
          </w:p>
        </w:tc>
      </w:tr>
      <w:tr w14:paraId="730DA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265" w:type="dxa"/>
            <w:gridSpan w:val="2"/>
            <w:noWrap/>
            <w:tcMar>
              <w:top w:w="16" w:type="dxa"/>
              <w:left w:w="16" w:type="dxa"/>
              <w:right w:w="16" w:type="dxa"/>
            </w:tcMar>
            <w:vAlign w:val="center"/>
          </w:tcPr>
          <w:p w14:paraId="0E6BA8B6">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是否开工建设</w:t>
            </w:r>
          </w:p>
        </w:tc>
        <w:tc>
          <w:tcPr>
            <w:tcW w:w="7774" w:type="dxa"/>
            <w:gridSpan w:val="4"/>
            <w:noWrap/>
            <w:vAlign w:val="center"/>
          </w:tcPr>
          <w:p w14:paraId="6ED8DC99">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05D44FE4">
            <w:pPr>
              <w:adjustRightInd w:val="0"/>
              <w:snapToGrid w:val="0"/>
              <w:jc w:val="left"/>
              <w:rPr>
                <w:rFonts w:ascii="Times New Roman" w:hAnsi="Times New Roman"/>
                <w:color w:val="auto"/>
                <w:sz w:val="24"/>
                <w:highlight w:val="none"/>
              </w:rPr>
            </w:pPr>
            <w:r>
              <w:rPr>
                <w:rFonts w:hint="eastAsia" w:ascii="宋体" w:hAnsi="宋体" w:cs="宋体"/>
                <w:color w:val="auto"/>
                <w:szCs w:val="21"/>
                <w:highlight w:val="none"/>
              </w:rPr>
              <w:t>□是：</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tc>
      </w:tr>
      <w:tr w14:paraId="14F7B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0" w:type="dxa"/>
            <w:noWrap/>
            <w:tcMar>
              <w:top w:w="16" w:type="dxa"/>
              <w:left w:w="16" w:type="dxa"/>
              <w:right w:w="16" w:type="dxa"/>
            </w:tcMar>
            <w:vAlign w:val="center"/>
          </w:tcPr>
          <w:p w14:paraId="6D5919C3">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kern w:val="0"/>
                <w:sz w:val="24"/>
              </w:rPr>
              <w:t>专项评价设置情况</w:t>
            </w:r>
          </w:p>
        </w:tc>
        <w:tc>
          <w:tcPr>
            <w:tcW w:w="8299" w:type="dxa"/>
            <w:gridSpan w:val="5"/>
            <w:noWrap/>
            <w:tcMar>
              <w:top w:w="16" w:type="dxa"/>
              <w:left w:w="16" w:type="dxa"/>
              <w:right w:w="16" w:type="dxa"/>
            </w:tcMar>
            <w:vAlign w:val="center"/>
          </w:tcPr>
          <w:p w14:paraId="7C813CAD">
            <w:pPr>
              <w:spacing w:line="360" w:lineRule="auto"/>
              <w:ind w:firstLine="480" w:firstLineChars="200"/>
              <w:rPr>
                <w:rFonts w:ascii="Times New Roman" w:hAnsi="Times New Roman"/>
                <w:color w:val="auto"/>
                <w:sz w:val="24"/>
              </w:rPr>
            </w:pPr>
            <w:r>
              <w:rPr>
                <w:rFonts w:ascii="Times New Roman" w:hAnsi="Times New Roman"/>
                <w:color w:val="auto"/>
                <w:sz w:val="24"/>
              </w:rPr>
              <w:t>根据《建设项目环境影响报告表编制技术指南</w:t>
            </w:r>
            <w:r>
              <w:rPr>
                <w:rFonts w:hint="eastAsia" w:ascii="Times New Roman" w:hAnsi="Times New Roman"/>
                <w:color w:val="auto"/>
                <w:sz w:val="24"/>
                <w:lang w:eastAsia="zh-CN"/>
              </w:rPr>
              <w:t>（</w:t>
            </w:r>
            <w:r>
              <w:rPr>
                <w:rFonts w:ascii="Times New Roman" w:hAnsi="Times New Roman"/>
                <w:color w:val="auto"/>
                <w:sz w:val="24"/>
              </w:rPr>
              <w:t>生态影响类</w:t>
            </w:r>
            <w:r>
              <w:rPr>
                <w:rFonts w:hint="eastAsia" w:ascii="Times New Roman" w:hAnsi="Times New Roman"/>
                <w:color w:val="auto"/>
                <w:sz w:val="24"/>
                <w:lang w:eastAsia="zh-CN"/>
              </w:rPr>
              <w:t>）</w:t>
            </w:r>
            <w:r>
              <w:rPr>
                <w:rFonts w:ascii="Times New Roman" w:hAnsi="Times New Roman"/>
                <w:color w:val="auto"/>
                <w:sz w:val="24"/>
              </w:rPr>
              <w:t>》</w:t>
            </w:r>
            <w:r>
              <w:rPr>
                <w:rFonts w:hint="eastAsia" w:ascii="Times New Roman" w:hAnsi="Times New Roman"/>
                <w:color w:val="auto"/>
                <w:sz w:val="24"/>
                <w:lang w:eastAsia="zh-CN"/>
              </w:rPr>
              <w:t>（</w:t>
            </w:r>
            <w:r>
              <w:rPr>
                <w:rFonts w:ascii="Times New Roman" w:hAnsi="Times New Roman"/>
                <w:color w:val="auto"/>
                <w:sz w:val="24"/>
              </w:rPr>
              <w:t>试行</w:t>
            </w:r>
            <w:r>
              <w:rPr>
                <w:rFonts w:hint="eastAsia" w:ascii="Times New Roman" w:hAnsi="Times New Roman"/>
                <w:color w:val="auto"/>
                <w:sz w:val="24"/>
                <w:lang w:eastAsia="zh-CN"/>
              </w:rPr>
              <w:t>）</w:t>
            </w:r>
            <w:r>
              <w:rPr>
                <w:rFonts w:ascii="Times New Roman" w:hAnsi="Times New Roman"/>
                <w:color w:val="auto"/>
                <w:sz w:val="24"/>
              </w:rPr>
              <w:t>，建设项目产生的生态环境影响需要深入论证的，应按照环境影响评价相关技术导则开展专项评价工作。根据建设项目特点和涉及的环境敏感区类别，确定专项评价的类别，设置原则参照表，确有必要的可根据建设项目环境影响程度等实际情况适当调整。专项评价一般不超过两项，水利水电、交通运输</w:t>
            </w:r>
            <w:r>
              <w:rPr>
                <w:rFonts w:hint="eastAsia" w:ascii="Times New Roman" w:hAnsi="Times New Roman"/>
                <w:color w:val="auto"/>
                <w:sz w:val="24"/>
                <w:lang w:eastAsia="zh-CN"/>
              </w:rPr>
              <w:t>（</w:t>
            </w:r>
            <w:r>
              <w:rPr>
                <w:rFonts w:ascii="Times New Roman" w:hAnsi="Times New Roman"/>
                <w:color w:val="auto"/>
                <w:sz w:val="24"/>
              </w:rPr>
              <w:t>公路、铁路</w:t>
            </w:r>
            <w:r>
              <w:rPr>
                <w:rFonts w:hint="eastAsia" w:ascii="Times New Roman" w:hAnsi="Times New Roman"/>
                <w:color w:val="auto"/>
                <w:sz w:val="24"/>
                <w:lang w:eastAsia="zh-CN"/>
              </w:rPr>
              <w:t>）</w:t>
            </w:r>
            <w:r>
              <w:rPr>
                <w:rFonts w:ascii="Times New Roman" w:hAnsi="Times New Roman"/>
                <w:color w:val="auto"/>
                <w:sz w:val="24"/>
              </w:rPr>
              <w:t>、陆地石油和天然气开采类建设项目不超过三项。</w:t>
            </w:r>
          </w:p>
          <w:p w14:paraId="1FFC2E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b/>
                <w:color w:val="auto"/>
                <w:szCs w:val="21"/>
              </w:rPr>
            </w:pPr>
            <w:r>
              <w:rPr>
                <w:rFonts w:ascii="Times New Roman" w:hAnsi="Times New Roman"/>
                <w:b/>
                <w:color w:val="auto"/>
                <w:szCs w:val="21"/>
              </w:rPr>
              <w:t>表1-1</w:t>
            </w:r>
            <w:r>
              <w:rPr>
                <w:rFonts w:hint="eastAsia" w:ascii="Times New Roman" w:hAnsi="Times New Roman"/>
                <w:b/>
                <w:color w:val="auto"/>
                <w:szCs w:val="21"/>
                <w:lang w:val="en-US" w:eastAsia="zh-CN"/>
              </w:rPr>
              <w:t xml:space="preserve">  </w:t>
            </w:r>
            <w:r>
              <w:rPr>
                <w:rFonts w:ascii="Times New Roman" w:hAnsi="Times New Roman"/>
                <w:b/>
                <w:color w:val="auto"/>
                <w:szCs w:val="21"/>
              </w:rPr>
              <w:t>专项评价设置原则对应一览表</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4028"/>
              <w:gridCol w:w="3093"/>
            </w:tblGrid>
            <w:tr w14:paraId="599B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4" w:type="pct"/>
                  <w:noWrap/>
                  <w:vAlign w:val="center"/>
                </w:tcPr>
                <w:p w14:paraId="62AAB094">
                  <w:pPr>
                    <w:jc w:val="center"/>
                    <w:rPr>
                      <w:rFonts w:ascii="Times New Roman" w:hAnsi="Times New Roman"/>
                      <w:b/>
                      <w:bCs/>
                      <w:color w:val="auto"/>
                    </w:rPr>
                  </w:pPr>
                  <w:r>
                    <w:rPr>
                      <w:rFonts w:ascii="Times New Roman" w:hAnsi="Times New Roman"/>
                      <w:b/>
                      <w:bCs/>
                      <w:color w:val="auto"/>
                    </w:rPr>
                    <w:t>专项评价的类别</w:t>
                  </w:r>
                </w:p>
              </w:tc>
              <w:tc>
                <w:tcPr>
                  <w:tcW w:w="2463" w:type="pct"/>
                  <w:noWrap/>
                  <w:vAlign w:val="center"/>
                </w:tcPr>
                <w:p w14:paraId="167F80C8">
                  <w:pPr>
                    <w:jc w:val="center"/>
                    <w:rPr>
                      <w:rFonts w:ascii="Times New Roman" w:hAnsi="Times New Roman"/>
                      <w:b/>
                      <w:bCs/>
                      <w:color w:val="auto"/>
                    </w:rPr>
                  </w:pPr>
                  <w:r>
                    <w:rPr>
                      <w:rFonts w:ascii="Times New Roman" w:hAnsi="Times New Roman"/>
                      <w:b/>
                      <w:bCs/>
                      <w:color w:val="auto"/>
                    </w:rPr>
                    <w:t>涉及项目类别</w:t>
                  </w:r>
                </w:p>
              </w:tc>
              <w:tc>
                <w:tcPr>
                  <w:tcW w:w="1891" w:type="pct"/>
                  <w:noWrap/>
                  <w:vAlign w:val="center"/>
                </w:tcPr>
                <w:p w14:paraId="1378EDE6">
                  <w:pPr>
                    <w:jc w:val="center"/>
                    <w:rPr>
                      <w:rFonts w:hint="default" w:ascii="Times New Roman" w:hAnsi="Times New Roman"/>
                      <w:b/>
                      <w:bCs/>
                      <w:color w:val="000000" w:themeColor="text1"/>
                      <w:lang w:val="en-US"/>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本项目情况</w:t>
                  </w:r>
                </w:p>
              </w:tc>
            </w:tr>
            <w:tr w14:paraId="32B4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644" w:type="pct"/>
                  <w:noWrap/>
                  <w:vAlign w:val="center"/>
                </w:tcPr>
                <w:p w14:paraId="0014561C">
                  <w:pPr>
                    <w:jc w:val="center"/>
                    <w:rPr>
                      <w:rFonts w:ascii="Times New Roman" w:hAnsi="Times New Roman"/>
                      <w:color w:val="auto"/>
                    </w:rPr>
                  </w:pPr>
                  <w:r>
                    <w:rPr>
                      <w:rFonts w:ascii="Times New Roman" w:hAnsi="Times New Roman"/>
                      <w:color w:val="auto"/>
                    </w:rPr>
                    <w:t>地表水</w:t>
                  </w:r>
                </w:p>
              </w:tc>
              <w:tc>
                <w:tcPr>
                  <w:tcW w:w="2463" w:type="pct"/>
                  <w:noWrap/>
                  <w:vAlign w:val="center"/>
                </w:tcPr>
                <w:p w14:paraId="3A78AB6B">
                  <w:pPr>
                    <w:rPr>
                      <w:rFonts w:ascii="Times New Roman" w:hAnsi="Times New Roman"/>
                      <w:color w:val="auto"/>
                    </w:rPr>
                  </w:pPr>
                  <w:r>
                    <w:rPr>
                      <w:rFonts w:ascii="Times New Roman" w:hAnsi="Times New Roman"/>
                      <w:color w:val="auto"/>
                    </w:rPr>
                    <w:t>水力发电</w:t>
                  </w:r>
                  <w:r>
                    <w:rPr>
                      <w:rFonts w:hint="eastAsia" w:ascii="Times New Roman" w:hAnsi="Times New Roman"/>
                      <w:color w:val="auto"/>
                    </w:rPr>
                    <w:t>：</w:t>
                  </w:r>
                  <w:r>
                    <w:rPr>
                      <w:rFonts w:ascii="Times New Roman" w:hAnsi="Times New Roman"/>
                      <w:color w:val="auto"/>
                    </w:rPr>
                    <w:t>引水式发电、涉及调峰发电的项目</w:t>
                  </w:r>
                  <w:r>
                    <w:rPr>
                      <w:rFonts w:hint="eastAsia" w:ascii="Times New Roman" w:hAnsi="Times New Roman"/>
                      <w:color w:val="auto"/>
                    </w:rPr>
                    <w:t>；</w:t>
                  </w:r>
                </w:p>
                <w:p w14:paraId="26BE4BA1">
                  <w:pPr>
                    <w:rPr>
                      <w:rFonts w:ascii="Times New Roman" w:hAnsi="Times New Roman"/>
                      <w:color w:val="auto"/>
                    </w:rPr>
                  </w:pPr>
                  <w:r>
                    <w:rPr>
                      <w:rFonts w:ascii="Times New Roman" w:hAnsi="Times New Roman"/>
                      <w:color w:val="auto"/>
                    </w:rPr>
                    <w:t>人工湖、人工湿地</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53918F2A">
                  <w:pPr>
                    <w:rPr>
                      <w:rFonts w:ascii="Times New Roman" w:hAnsi="Times New Roman"/>
                      <w:color w:val="auto"/>
                    </w:rPr>
                  </w:pPr>
                  <w:r>
                    <w:rPr>
                      <w:rFonts w:ascii="Times New Roman" w:hAnsi="Times New Roman"/>
                      <w:color w:val="auto"/>
                    </w:rPr>
                    <w:t>水库</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15FF2843">
                  <w:pPr>
                    <w:rPr>
                      <w:rFonts w:ascii="Times New Roman" w:hAnsi="Times New Roman"/>
                      <w:color w:val="auto"/>
                    </w:rPr>
                  </w:pPr>
                  <w:r>
                    <w:rPr>
                      <w:rFonts w:ascii="Times New Roman" w:hAnsi="Times New Roman"/>
                      <w:color w:val="auto"/>
                    </w:rPr>
                    <w:t>引水工程</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lang w:eastAsia="zh-CN"/>
                    </w:rPr>
                    <w:t>（</w:t>
                  </w:r>
                  <w:r>
                    <w:rPr>
                      <w:rFonts w:ascii="Times New Roman" w:hAnsi="Times New Roman"/>
                      <w:color w:val="auto"/>
                    </w:rPr>
                    <w:t>配套的管线工程等除外</w:t>
                  </w:r>
                  <w:r>
                    <w:rPr>
                      <w:rFonts w:hint="eastAsia" w:ascii="Times New Roman" w:hAnsi="Times New Roman"/>
                      <w:color w:val="auto"/>
                      <w:lang w:eastAsia="zh-CN"/>
                    </w:rPr>
                    <w:t>）</w:t>
                  </w:r>
                  <w:r>
                    <w:rPr>
                      <w:rFonts w:hint="eastAsia" w:ascii="Times New Roman" w:hAnsi="Times New Roman"/>
                      <w:color w:val="auto"/>
                    </w:rPr>
                    <w:t>；</w:t>
                  </w:r>
                </w:p>
                <w:p w14:paraId="3DB66F4C">
                  <w:pPr>
                    <w:rPr>
                      <w:rFonts w:ascii="Times New Roman" w:hAnsi="Times New Roman"/>
                      <w:color w:val="auto"/>
                    </w:rPr>
                  </w:pPr>
                  <w:r>
                    <w:rPr>
                      <w:rFonts w:ascii="Times New Roman" w:hAnsi="Times New Roman"/>
                      <w:color w:val="auto"/>
                    </w:rPr>
                    <w:t>防洪除涝工程</w:t>
                  </w:r>
                  <w:r>
                    <w:rPr>
                      <w:rFonts w:hint="eastAsia" w:ascii="Times New Roman" w:hAnsi="Times New Roman"/>
                      <w:color w:val="auto"/>
                    </w:rPr>
                    <w:t>：</w:t>
                  </w:r>
                  <w:r>
                    <w:rPr>
                      <w:rFonts w:ascii="Times New Roman" w:hAnsi="Times New Roman"/>
                      <w:color w:val="auto"/>
                    </w:rPr>
                    <w:t>包含水库的项目</w:t>
                  </w:r>
                  <w:r>
                    <w:rPr>
                      <w:rFonts w:hint="eastAsia" w:ascii="Times New Roman" w:hAnsi="Times New Roman"/>
                      <w:color w:val="auto"/>
                    </w:rPr>
                    <w:t>；</w:t>
                  </w:r>
                </w:p>
                <w:p w14:paraId="40EDE9EB">
                  <w:pPr>
                    <w:rPr>
                      <w:rFonts w:ascii="Times New Roman" w:hAnsi="Times New Roman"/>
                      <w:color w:val="auto"/>
                    </w:rPr>
                  </w:pPr>
                  <w:r>
                    <w:rPr>
                      <w:rFonts w:ascii="Times New Roman" w:hAnsi="Times New Roman"/>
                      <w:color w:val="auto"/>
                    </w:rPr>
                    <w:t>河湖整治</w:t>
                  </w:r>
                  <w:r>
                    <w:rPr>
                      <w:rFonts w:hint="eastAsia" w:ascii="Times New Roman" w:hAnsi="Times New Roman"/>
                      <w:color w:val="auto"/>
                    </w:rPr>
                    <w:t>：</w:t>
                  </w:r>
                  <w:r>
                    <w:rPr>
                      <w:rFonts w:ascii="Times New Roman" w:hAnsi="Times New Roman"/>
                      <w:color w:val="auto"/>
                    </w:rPr>
                    <w:t>涉及清淤且底泥存在重金属污染的项目</w:t>
                  </w:r>
                </w:p>
              </w:tc>
              <w:tc>
                <w:tcPr>
                  <w:tcW w:w="1891" w:type="pct"/>
                  <w:noWrap/>
                  <w:vAlign w:val="center"/>
                </w:tcPr>
                <w:p w14:paraId="6384466E">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本项目属于</w:t>
                  </w:r>
                  <w:r>
                    <w:rPr>
                      <w:rFonts w:ascii="Times New Roman" w:hAnsi="Times New Roman"/>
                      <w:color w:val="000000" w:themeColor="text1"/>
                      <w14:textFill>
                        <w14:solidFill>
                          <w14:schemeClr w14:val="tx1"/>
                        </w14:solidFill>
                      </w14:textFill>
                    </w:rPr>
                    <w:t>固体矿产地质勘查项目</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不属于涉及项目类别范畴</w:t>
                  </w:r>
                </w:p>
              </w:tc>
            </w:tr>
            <w:tr w14:paraId="109B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4" w:type="pct"/>
                  <w:noWrap/>
                  <w:vAlign w:val="center"/>
                </w:tcPr>
                <w:p w14:paraId="6503860F">
                  <w:pPr>
                    <w:jc w:val="center"/>
                    <w:rPr>
                      <w:rFonts w:ascii="Times New Roman" w:hAnsi="Times New Roman"/>
                      <w:color w:val="auto"/>
                    </w:rPr>
                  </w:pPr>
                  <w:r>
                    <w:rPr>
                      <w:rFonts w:ascii="Times New Roman" w:hAnsi="Times New Roman"/>
                      <w:color w:val="auto"/>
                    </w:rPr>
                    <w:t>地下水</w:t>
                  </w:r>
                </w:p>
              </w:tc>
              <w:tc>
                <w:tcPr>
                  <w:tcW w:w="2463" w:type="pct"/>
                  <w:noWrap/>
                  <w:vAlign w:val="center"/>
                </w:tcPr>
                <w:p w14:paraId="12085A21">
                  <w:pPr>
                    <w:rPr>
                      <w:rFonts w:ascii="Times New Roman" w:hAnsi="Times New Roman"/>
                      <w:color w:val="auto"/>
                    </w:rPr>
                  </w:pPr>
                  <w:r>
                    <w:rPr>
                      <w:rFonts w:ascii="Times New Roman" w:hAnsi="Times New Roman"/>
                      <w:color w:val="auto"/>
                    </w:rPr>
                    <w:t>陆地石油和天然气开采</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46AC1F76">
                  <w:pPr>
                    <w:rPr>
                      <w:rFonts w:ascii="Times New Roman" w:hAnsi="Times New Roman"/>
                      <w:color w:val="auto"/>
                    </w:rPr>
                  </w:pPr>
                  <w:r>
                    <w:rPr>
                      <w:rFonts w:ascii="Times New Roman" w:hAnsi="Times New Roman"/>
                      <w:color w:val="auto"/>
                    </w:rPr>
                    <w:t>地下水</w:t>
                  </w:r>
                  <w:r>
                    <w:rPr>
                      <w:rFonts w:hint="eastAsia" w:ascii="Times New Roman" w:hAnsi="Times New Roman"/>
                      <w:color w:val="auto"/>
                      <w:lang w:eastAsia="zh-CN"/>
                    </w:rPr>
                    <w:t>（</w:t>
                  </w:r>
                  <w:r>
                    <w:rPr>
                      <w:rFonts w:ascii="Times New Roman" w:hAnsi="Times New Roman"/>
                      <w:color w:val="auto"/>
                    </w:rPr>
                    <w:t>含矿泉水</w:t>
                  </w:r>
                  <w:r>
                    <w:rPr>
                      <w:rFonts w:hint="eastAsia" w:ascii="Times New Roman" w:hAnsi="Times New Roman"/>
                      <w:color w:val="auto"/>
                      <w:lang w:eastAsia="zh-CN"/>
                    </w:rPr>
                    <w:t>）</w:t>
                  </w:r>
                  <w:r>
                    <w:rPr>
                      <w:rFonts w:ascii="Times New Roman" w:hAnsi="Times New Roman"/>
                      <w:color w:val="auto"/>
                    </w:rPr>
                    <w:t>开采</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2C327A43">
                  <w:pPr>
                    <w:rPr>
                      <w:rFonts w:ascii="Times New Roman" w:hAnsi="Times New Roman"/>
                      <w:color w:val="auto"/>
                    </w:rPr>
                  </w:pPr>
                  <w:r>
                    <w:rPr>
                      <w:rFonts w:ascii="Times New Roman" w:hAnsi="Times New Roman"/>
                      <w:color w:val="auto"/>
                    </w:rPr>
                    <w:t>水利、水电、交通等</w:t>
                  </w:r>
                  <w:r>
                    <w:rPr>
                      <w:rFonts w:hint="eastAsia" w:ascii="Times New Roman" w:hAnsi="Times New Roman"/>
                      <w:color w:val="auto"/>
                    </w:rPr>
                    <w:t>：</w:t>
                  </w:r>
                  <w:r>
                    <w:rPr>
                      <w:rFonts w:ascii="Times New Roman" w:hAnsi="Times New Roman"/>
                      <w:color w:val="auto"/>
                    </w:rPr>
                    <w:t>含穿越可溶岩地层隧道的项目</w:t>
                  </w:r>
                </w:p>
              </w:tc>
              <w:tc>
                <w:tcPr>
                  <w:tcW w:w="1891" w:type="pct"/>
                  <w:noWrap/>
                  <w:vAlign w:val="center"/>
                </w:tcPr>
                <w:p w14:paraId="03CE0BE7">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本项目仅进行抽水试验，不涉及地下水开采</w:t>
                  </w:r>
                </w:p>
              </w:tc>
            </w:tr>
            <w:tr w14:paraId="72F7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44" w:type="pct"/>
                  <w:noWrap/>
                  <w:vAlign w:val="center"/>
                </w:tcPr>
                <w:p w14:paraId="38C7DE70">
                  <w:pPr>
                    <w:jc w:val="center"/>
                    <w:rPr>
                      <w:rFonts w:ascii="Times New Roman" w:hAnsi="Times New Roman"/>
                      <w:color w:val="auto"/>
                    </w:rPr>
                  </w:pPr>
                  <w:r>
                    <w:rPr>
                      <w:rFonts w:ascii="Times New Roman" w:hAnsi="Times New Roman"/>
                      <w:color w:val="auto"/>
                    </w:rPr>
                    <w:t>生态</w:t>
                  </w:r>
                </w:p>
              </w:tc>
              <w:tc>
                <w:tcPr>
                  <w:tcW w:w="2463" w:type="pct"/>
                  <w:noWrap/>
                  <w:vAlign w:val="center"/>
                </w:tcPr>
                <w:p w14:paraId="651DE88B">
                  <w:pPr>
                    <w:rPr>
                      <w:rFonts w:ascii="Times New Roman" w:hAnsi="Times New Roman"/>
                      <w:color w:val="auto"/>
                    </w:rPr>
                  </w:pPr>
                  <w:r>
                    <w:rPr>
                      <w:rFonts w:ascii="Times New Roman" w:hAnsi="Times New Roman"/>
                      <w:color w:val="auto"/>
                    </w:rPr>
                    <w:t>涉及环境敏感区</w:t>
                  </w:r>
                  <w:r>
                    <w:rPr>
                      <w:rFonts w:hint="eastAsia" w:ascii="Times New Roman" w:hAnsi="Times New Roman"/>
                      <w:color w:val="auto"/>
                      <w:lang w:eastAsia="zh-CN"/>
                    </w:rPr>
                    <w:t>（</w:t>
                  </w:r>
                  <w:r>
                    <w:rPr>
                      <w:rFonts w:ascii="Times New Roman" w:hAnsi="Times New Roman"/>
                      <w:color w:val="auto"/>
                    </w:rPr>
                    <w:t>不包括饮用水水源保护区，以居住、医疗卫生、文化教育、科研、行政办公为主要功能的区域，以及文物保护单位</w:t>
                  </w:r>
                  <w:r>
                    <w:rPr>
                      <w:rFonts w:hint="eastAsia" w:ascii="Times New Roman" w:hAnsi="Times New Roman"/>
                      <w:color w:val="auto"/>
                      <w:lang w:eastAsia="zh-CN"/>
                    </w:rPr>
                    <w:t>）</w:t>
                  </w:r>
                  <w:r>
                    <w:rPr>
                      <w:rFonts w:ascii="Times New Roman" w:hAnsi="Times New Roman"/>
                      <w:color w:val="auto"/>
                    </w:rPr>
                    <w:t>的项目</w:t>
                  </w:r>
                </w:p>
              </w:tc>
              <w:tc>
                <w:tcPr>
                  <w:tcW w:w="1891" w:type="pct"/>
                  <w:noWrap/>
                  <w:vAlign w:val="center"/>
                </w:tcPr>
                <w:p w14:paraId="7C863798">
                  <w:pPr>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本项目评价范围不涉及</w:t>
                  </w:r>
                  <w:r>
                    <w:rPr>
                      <w:rFonts w:ascii="Times New Roman" w:hAnsi="Times New Roman"/>
                      <w:color w:val="000000" w:themeColor="text1"/>
                      <w14:textFill>
                        <w14:solidFill>
                          <w14:schemeClr w14:val="tx1"/>
                        </w14:solidFill>
                      </w14:textFill>
                    </w:rPr>
                    <w:t>环境敏感区</w:t>
                  </w:r>
                  <w:r>
                    <w:rPr>
                      <w:rFonts w:hint="eastAsia" w:ascii="Times New Roman" w:hAnsi="Times New Roman"/>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不包括饮用水水源保护区，以居住、医疗卫生、文化教育、科研、行政办公为主要功能的区域，以及文物保护单位</w:t>
                  </w:r>
                  <w:r>
                    <w:rPr>
                      <w:rFonts w:hint="eastAsia" w:ascii="Times New Roman" w:hAnsi="Times New Roman"/>
                      <w:color w:val="000000" w:themeColor="text1"/>
                      <w:lang w:eastAsia="zh-CN"/>
                      <w14:textFill>
                        <w14:solidFill>
                          <w14:schemeClr w14:val="tx1"/>
                        </w14:solidFill>
                      </w14:textFill>
                    </w:rPr>
                    <w:t>）</w:t>
                  </w:r>
                </w:p>
              </w:tc>
            </w:tr>
            <w:tr w14:paraId="3B2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44" w:type="pct"/>
                  <w:noWrap/>
                  <w:vAlign w:val="center"/>
                </w:tcPr>
                <w:p w14:paraId="0BA2EAB6">
                  <w:pPr>
                    <w:jc w:val="center"/>
                    <w:rPr>
                      <w:rFonts w:ascii="Times New Roman" w:hAnsi="Times New Roman"/>
                      <w:color w:val="auto"/>
                    </w:rPr>
                  </w:pPr>
                  <w:r>
                    <w:rPr>
                      <w:rFonts w:ascii="Times New Roman" w:hAnsi="Times New Roman"/>
                      <w:color w:val="auto"/>
                    </w:rPr>
                    <w:t>大气</w:t>
                  </w:r>
                </w:p>
              </w:tc>
              <w:tc>
                <w:tcPr>
                  <w:tcW w:w="2463" w:type="pct"/>
                  <w:noWrap/>
                  <w:vAlign w:val="center"/>
                </w:tcPr>
                <w:p w14:paraId="54E85ED1">
                  <w:pPr>
                    <w:rPr>
                      <w:rFonts w:ascii="Times New Roman" w:hAnsi="Times New Roman"/>
                      <w:color w:val="auto"/>
                    </w:rPr>
                  </w:pPr>
                  <w:r>
                    <w:rPr>
                      <w:rFonts w:ascii="Times New Roman" w:hAnsi="Times New Roman"/>
                      <w:color w:val="auto"/>
                    </w:rPr>
                    <w:t>油气、液体化工码头</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39383183">
                  <w:pPr>
                    <w:rPr>
                      <w:rFonts w:ascii="Times New Roman" w:hAnsi="Times New Roman"/>
                      <w:color w:val="auto"/>
                    </w:rPr>
                  </w:pPr>
                  <w:r>
                    <w:rPr>
                      <w:rFonts w:ascii="Times New Roman" w:hAnsi="Times New Roman"/>
                      <w:color w:val="auto"/>
                    </w:rPr>
                    <w:t>干散货</w:t>
                  </w:r>
                  <w:r>
                    <w:rPr>
                      <w:rFonts w:hint="eastAsia" w:ascii="Times New Roman" w:hAnsi="Times New Roman"/>
                      <w:color w:val="auto"/>
                      <w:lang w:eastAsia="zh-CN"/>
                    </w:rPr>
                    <w:t>（</w:t>
                  </w:r>
                  <w:r>
                    <w:rPr>
                      <w:rFonts w:ascii="Times New Roman" w:hAnsi="Times New Roman"/>
                      <w:color w:val="auto"/>
                    </w:rPr>
                    <w:t>含煤炭、矿石</w:t>
                  </w:r>
                  <w:r>
                    <w:rPr>
                      <w:rFonts w:hint="eastAsia" w:ascii="Times New Roman" w:hAnsi="Times New Roman"/>
                      <w:color w:val="auto"/>
                      <w:lang w:eastAsia="zh-CN"/>
                    </w:rPr>
                    <w:t>）</w:t>
                  </w:r>
                  <w:r>
                    <w:rPr>
                      <w:rFonts w:ascii="Times New Roman" w:hAnsi="Times New Roman"/>
                      <w:color w:val="auto"/>
                    </w:rPr>
                    <w:t>、件杂、多用途、通用码头</w:t>
                  </w:r>
                  <w:r>
                    <w:rPr>
                      <w:rFonts w:hint="eastAsia" w:ascii="Times New Roman" w:hAnsi="Times New Roman"/>
                      <w:color w:val="auto"/>
                    </w:rPr>
                    <w:t>：</w:t>
                  </w:r>
                  <w:r>
                    <w:rPr>
                      <w:rFonts w:ascii="Times New Roman" w:hAnsi="Times New Roman"/>
                      <w:color w:val="auto"/>
                    </w:rPr>
                    <w:t>涉及粉尘、挥发性有机物排放的项目</w:t>
                  </w:r>
                </w:p>
              </w:tc>
              <w:tc>
                <w:tcPr>
                  <w:tcW w:w="1891" w:type="pct"/>
                  <w:noWrap/>
                  <w:vAlign w:val="center"/>
                </w:tcPr>
                <w:p w14:paraId="10F64F9D">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本项目属于</w:t>
                  </w:r>
                  <w:r>
                    <w:rPr>
                      <w:rFonts w:ascii="Times New Roman" w:hAnsi="Times New Roman"/>
                      <w:color w:val="000000" w:themeColor="text1"/>
                      <w14:textFill>
                        <w14:solidFill>
                          <w14:schemeClr w14:val="tx1"/>
                        </w14:solidFill>
                      </w14:textFill>
                    </w:rPr>
                    <w:t>固体矿产地质勘查项目</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不属于涉及项目类别范畴</w:t>
                  </w:r>
                </w:p>
              </w:tc>
            </w:tr>
            <w:tr w14:paraId="5A62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644" w:type="pct"/>
                  <w:noWrap/>
                  <w:vAlign w:val="center"/>
                </w:tcPr>
                <w:p w14:paraId="5D6542AE">
                  <w:pPr>
                    <w:jc w:val="center"/>
                    <w:rPr>
                      <w:rFonts w:ascii="Times New Roman" w:hAnsi="Times New Roman"/>
                      <w:color w:val="auto"/>
                    </w:rPr>
                  </w:pPr>
                  <w:r>
                    <w:rPr>
                      <w:rFonts w:ascii="Times New Roman" w:hAnsi="Times New Roman"/>
                      <w:color w:val="auto"/>
                    </w:rPr>
                    <w:t>噪声</w:t>
                  </w:r>
                </w:p>
              </w:tc>
              <w:tc>
                <w:tcPr>
                  <w:tcW w:w="2463" w:type="pct"/>
                  <w:noWrap/>
                  <w:vAlign w:val="center"/>
                </w:tcPr>
                <w:p w14:paraId="397701BE">
                  <w:pPr>
                    <w:rPr>
                      <w:rFonts w:ascii="Times New Roman" w:hAnsi="Times New Roman"/>
                      <w:color w:val="auto"/>
                    </w:rPr>
                  </w:pPr>
                  <w:r>
                    <w:rPr>
                      <w:rFonts w:ascii="Times New Roman" w:hAnsi="Times New Roman"/>
                      <w:color w:val="auto"/>
                    </w:rPr>
                    <w:t>公路、铁路、机场等交通运输业涉及环境敏感区</w:t>
                  </w:r>
                  <w:r>
                    <w:rPr>
                      <w:rFonts w:hint="eastAsia" w:ascii="Times New Roman" w:hAnsi="Times New Roman"/>
                      <w:color w:val="auto"/>
                      <w:lang w:eastAsia="zh-CN"/>
                    </w:rPr>
                    <w:t>（</w:t>
                  </w:r>
                  <w:r>
                    <w:rPr>
                      <w:rFonts w:ascii="Times New Roman" w:hAnsi="Times New Roman"/>
                      <w:color w:val="auto"/>
                    </w:rPr>
                    <w:t>以居住、医疗卫生、文化教育、科研、行政办公为主要功能的区域</w:t>
                  </w:r>
                  <w:r>
                    <w:rPr>
                      <w:rFonts w:hint="eastAsia" w:ascii="Times New Roman" w:hAnsi="Times New Roman"/>
                      <w:color w:val="auto"/>
                      <w:lang w:eastAsia="zh-CN"/>
                    </w:rPr>
                    <w:t>）</w:t>
                  </w:r>
                  <w:r>
                    <w:rPr>
                      <w:rFonts w:ascii="Times New Roman" w:hAnsi="Times New Roman"/>
                      <w:color w:val="auto"/>
                    </w:rPr>
                    <w:t>的项目</w:t>
                  </w:r>
                  <w:r>
                    <w:rPr>
                      <w:rFonts w:hint="eastAsia" w:ascii="Times New Roman" w:hAnsi="Times New Roman"/>
                      <w:color w:val="auto"/>
                    </w:rPr>
                    <w:t>；</w:t>
                  </w:r>
                </w:p>
                <w:p w14:paraId="2384B977">
                  <w:pPr>
                    <w:rPr>
                      <w:rFonts w:ascii="Times New Roman" w:hAnsi="Times New Roman"/>
                      <w:color w:val="auto"/>
                    </w:rPr>
                  </w:pPr>
                  <w:r>
                    <w:rPr>
                      <w:rFonts w:ascii="Times New Roman" w:hAnsi="Times New Roman"/>
                      <w:color w:val="auto"/>
                    </w:rPr>
                    <w:t>城市道路</w:t>
                  </w:r>
                  <w:r>
                    <w:rPr>
                      <w:rFonts w:hint="eastAsia" w:ascii="Times New Roman" w:hAnsi="Times New Roman"/>
                      <w:color w:val="auto"/>
                      <w:lang w:eastAsia="zh-CN"/>
                    </w:rPr>
                    <w:t>（</w:t>
                  </w:r>
                  <w:r>
                    <w:rPr>
                      <w:rFonts w:ascii="Times New Roman" w:hAnsi="Times New Roman"/>
                      <w:color w:val="auto"/>
                    </w:rPr>
                    <w:t>不含维护，不含支路、人行天桥、人行地道</w:t>
                  </w:r>
                  <w:r>
                    <w:rPr>
                      <w:rFonts w:hint="eastAsia" w:ascii="Times New Roman" w:hAnsi="Times New Roman"/>
                      <w:color w:val="auto"/>
                      <w:lang w:eastAsia="zh-CN"/>
                    </w:rPr>
                    <w:t>）</w:t>
                  </w:r>
                  <w:r>
                    <w:rPr>
                      <w:rFonts w:hint="eastAsia" w:ascii="Times New Roman" w:hAnsi="Times New Roman"/>
                      <w:color w:val="auto"/>
                    </w:rPr>
                    <w:t>：</w:t>
                  </w:r>
                  <w:r>
                    <w:rPr>
                      <w:rFonts w:ascii="Times New Roman" w:hAnsi="Times New Roman"/>
                      <w:color w:val="auto"/>
                    </w:rPr>
                    <w:t>全部</w:t>
                  </w:r>
                </w:p>
              </w:tc>
              <w:tc>
                <w:tcPr>
                  <w:tcW w:w="1891" w:type="pct"/>
                  <w:noWrap/>
                  <w:vAlign w:val="center"/>
                </w:tcPr>
                <w:p w14:paraId="09B5DE43">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本项目属于</w:t>
                  </w:r>
                  <w:r>
                    <w:rPr>
                      <w:rFonts w:ascii="Times New Roman" w:hAnsi="Times New Roman"/>
                      <w:color w:val="000000" w:themeColor="text1"/>
                      <w14:textFill>
                        <w14:solidFill>
                          <w14:schemeClr w14:val="tx1"/>
                        </w14:solidFill>
                      </w14:textFill>
                    </w:rPr>
                    <w:t>固体矿产地质勘查项目</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不属于涉及项目类别范畴</w:t>
                  </w:r>
                </w:p>
              </w:tc>
            </w:tr>
            <w:tr w14:paraId="3C73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644" w:type="pct"/>
                  <w:noWrap/>
                  <w:vAlign w:val="center"/>
                </w:tcPr>
                <w:p w14:paraId="278BAD21">
                  <w:pPr>
                    <w:jc w:val="center"/>
                    <w:rPr>
                      <w:rFonts w:ascii="Times New Roman" w:hAnsi="Times New Roman"/>
                      <w:color w:val="auto"/>
                    </w:rPr>
                  </w:pPr>
                  <w:r>
                    <w:rPr>
                      <w:rFonts w:ascii="Times New Roman" w:hAnsi="Times New Roman"/>
                      <w:color w:val="auto"/>
                    </w:rPr>
                    <w:t>环境风险</w:t>
                  </w:r>
                </w:p>
              </w:tc>
              <w:tc>
                <w:tcPr>
                  <w:tcW w:w="2463" w:type="pct"/>
                  <w:noWrap/>
                  <w:vAlign w:val="center"/>
                </w:tcPr>
                <w:p w14:paraId="74833444">
                  <w:pPr>
                    <w:rPr>
                      <w:rFonts w:ascii="Times New Roman" w:hAnsi="Times New Roman"/>
                      <w:color w:val="auto"/>
                    </w:rPr>
                  </w:pPr>
                  <w:r>
                    <w:rPr>
                      <w:rFonts w:ascii="Times New Roman" w:hAnsi="Times New Roman"/>
                      <w:color w:val="auto"/>
                    </w:rPr>
                    <w:t>石油和天然气开采</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4129731C">
                  <w:pPr>
                    <w:rPr>
                      <w:rFonts w:ascii="Times New Roman" w:hAnsi="Times New Roman"/>
                      <w:color w:val="auto"/>
                    </w:rPr>
                  </w:pPr>
                  <w:r>
                    <w:rPr>
                      <w:rFonts w:ascii="Times New Roman" w:hAnsi="Times New Roman"/>
                      <w:color w:val="auto"/>
                    </w:rPr>
                    <w:t>油气、液体化工码头</w:t>
                  </w:r>
                  <w:r>
                    <w:rPr>
                      <w:rFonts w:hint="eastAsia" w:ascii="Times New Roman" w:hAnsi="Times New Roman"/>
                      <w:color w:val="auto"/>
                    </w:rPr>
                    <w:t>：</w:t>
                  </w:r>
                  <w:r>
                    <w:rPr>
                      <w:rFonts w:ascii="Times New Roman" w:hAnsi="Times New Roman"/>
                      <w:color w:val="auto"/>
                    </w:rPr>
                    <w:t>全部</w:t>
                  </w:r>
                  <w:r>
                    <w:rPr>
                      <w:rFonts w:hint="eastAsia" w:ascii="Times New Roman" w:hAnsi="Times New Roman"/>
                      <w:color w:val="auto"/>
                    </w:rPr>
                    <w:t>；</w:t>
                  </w:r>
                </w:p>
                <w:p w14:paraId="2CB46864">
                  <w:pPr>
                    <w:rPr>
                      <w:rFonts w:ascii="Times New Roman" w:hAnsi="Times New Roman"/>
                      <w:color w:val="auto"/>
                    </w:rPr>
                  </w:pPr>
                  <w:r>
                    <w:rPr>
                      <w:rFonts w:ascii="Times New Roman" w:hAnsi="Times New Roman"/>
                      <w:color w:val="auto"/>
                    </w:rPr>
                    <w:t>原油、成品油、天然气管线</w:t>
                  </w:r>
                  <w:r>
                    <w:rPr>
                      <w:rFonts w:hint="eastAsia" w:ascii="Times New Roman" w:hAnsi="Times New Roman"/>
                      <w:color w:val="auto"/>
                      <w:lang w:eastAsia="zh-CN"/>
                    </w:rPr>
                    <w:t>（</w:t>
                  </w:r>
                  <w:r>
                    <w:rPr>
                      <w:rFonts w:ascii="Times New Roman" w:hAnsi="Times New Roman"/>
                      <w:color w:val="auto"/>
                    </w:rPr>
                    <w:t>不含城镇天然气管线、企业厂区内管线</w:t>
                  </w:r>
                  <w:r>
                    <w:rPr>
                      <w:rFonts w:hint="eastAsia" w:ascii="Times New Roman" w:hAnsi="Times New Roman"/>
                      <w:color w:val="auto"/>
                      <w:lang w:eastAsia="zh-CN"/>
                    </w:rPr>
                    <w:t>）</w:t>
                  </w:r>
                  <w:r>
                    <w:rPr>
                      <w:rFonts w:ascii="Times New Roman" w:hAnsi="Times New Roman"/>
                      <w:color w:val="auto"/>
                    </w:rPr>
                    <w:t>，危险化学品输送管线</w:t>
                  </w:r>
                  <w:r>
                    <w:rPr>
                      <w:rFonts w:hint="eastAsia" w:ascii="Times New Roman" w:hAnsi="Times New Roman"/>
                      <w:color w:val="auto"/>
                      <w:lang w:eastAsia="zh-CN"/>
                    </w:rPr>
                    <w:t>（</w:t>
                  </w:r>
                  <w:r>
                    <w:rPr>
                      <w:rFonts w:ascii="Times New Roman" w:hAnsi="Times New Roman"/>
                      <w:color w:val="auto"/>
                    </w:rPr>
                    <w:t>不含企业厂区内管线</w:t>
                  </w:r>
                  <w:r>
                    <w:rPr>
                      <w:rFonts w:hint="eastAsia" w:ascii="Times New Roman" w:hAnsi="Times New Roman"/>
                      <w:color w:val="auto"/>
                      <w:lang w:eastAsia="zh-CN"/>
                    </w:rPr>
                    <w:t>）</w:t>
                  </w:r>
                  <w:r>
                    <w:rPr>
                      <w:rFonts w:hint="eastAsia" w:ascii="Times New Roman" w:hAnsi="Times New Roman"/>
                      <w:color w:val="auto"/>
                    </w:rPr>
                    <w:t>：</w:t>
                  </w:r>
                  <w:r>
                    <w:rPr>
                      <w:rFonts w:ascii="Times New Roman" w:hAnsi="Times New Roman"/>
                      <w:color w:val="auto"/>
                    </w:rPr>
                    <w:t>全部</w:t>
                  </w:r>
                </w:p>
              </w:tc>
              <w:tc>
                <w:tcPr>
                  <w:tcW w:w="1891" w:type="pct"/>
                  <w:noWrap/>
                  <w:vAlign w:val="center"/>
                </w:tcPr>
                <w:p w14:paraId="1D81489F">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本项目属于</w:t>
                  </w:r>
                  <w:r>
                    <w:rPr>
                      <w:rFonts w:ascii="Times New Roman" w:hAnsi="Times New Roman"/>
                      <w:color w:val="000000" w:themeColor="text1"/>
                      <w14:textFill>
                        <w14:solidFill>
                          <w14:schemeClr w14:val="tx1"/>
                        </w14:solidFill>
                      </w14:textFill>
                    </w:rPr>
                    <w:t>固体矿产地质勘查项目</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不属于涉及项目类别范畴</w:t>
                  </w:r>
                </w:p>
              </w:tc>
            </w:tr>
          </w:tbl>
          <w:p w14:paraId="1A9FE437">
            <w:pPr>
              <w:autoSpaceDE w:val="0"/>
              <w:autoSpaceDN w:val="0"/>
              <w:spacing w:line="360" w:lineRule="auto"/>
              <w:ind w:firstLine="480" w:firstLineChars="200"/>
              <w:rPr>
                <w:rFonts w:ascii="Times New Roman" w:hAnsi="Times New Roman"/>
                <w:color w:val="auto"/>
                <w:kern w:val="0"/>
                <w:szCs w:val="21"/>
              </w:rPr>
            </w:pPr>
            <w:r>
              <w:rPr>
                <w:rFonts w:ascii="Times New Roman" w:hAnsi="Times New Roman"/>
                <w:color w:val="auto"/>
                <w:sz w:val="24"/>
              </w:rPr>
              <w:t>综上，本项目不需开展专项评价。</w:t>
            </w:r>
          </w:p>
        </w:tc>
      </w:tr>
      <w:tr w14:paraId="0B250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0" w:type="dxa"/>
            <w:noWrap/>
            <w:tcMar>
              <w:top w:w="16" w:type="dxa"/>
              <w:left w:w="16" w:type="dxa"/>
              <w:right w:w="16" w:type="dxa"/>
            </w:tcMar>
            <w:vAlign w:val="center"/>
          </w:tcPr>
          <w:p w14:paraId="74247B9A">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sz w:val="24"/>
              </w:rPr>
              <w:t>规划情况</w:t>
            </w:r>
          </w:p>
        </w:tc>
        <w:tc>
          <w:tcPr>
            <w:tcW w:w="8299" w:type="dxa"/>
            <w:gridSpan w:val="5"/>
            <w:noWrap/>
            <w:tcMar>
              <w:top w:w="16" w:type="dxa"/>
              <w:left w:w="16" w:type="dxa"/>
              <w:right w:w="16" w:type="dxa"/>
            </w:tcMar>
            <w:vAlign w:val="center"/>
          </w:tcPr>
          <w:p w14:paraId="79FCCB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olor w:val="auto"/>
                <w:kern w:val="0"/>
                <w:sz w:val="24"/>
                <w:szCs w:val="24"/>
              </w:rPr>
            </w:pPr>
            <w:r>
              <w:rPr>
                <w:rFonts w:ascii="Times New Roman" w:hAnsi="Times New Roman"/>
                <w:color w:val="auto"/>
                <w:kern w:val="0"/>
                <w:sz w:val="24"/>
                <w:szCs w:val="24"/>
              </w:rPr>
              <w:t>规划名称：《淮南潘谢矿区总体开发规划》</w:t>
            </w:r>
          </w:p>
          <w:p w14:paraId="1C9CF1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olor w:val="auto"/>
                <w:kern w:val="0"/>
                <w:sz w:val="24"/>
                <w:szCs w:val="24"/>
              </w:rPr>
            </w:pPr>
            <w:r>
              <w:rPr>
                <w:rFonts w:ascii="Times New Roman" w:hAnsi="Times New Roman"/>
                <w:color w:val="auto"/>
                <w:kern w:val="0"/>
                <w:sz w:val="24"/>
                <w:szCs w:val="24"/>
              </w:rPr>
              <w:t>审批机关：国家发展和改革委员会</w:t>
            </w:r>
          </w:p>
          <w:p w14:paraId="5719405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olor w:val="auto"/>
                <w:kern w:val="0"/>
                <w:sz w:val="24"/>
                <w:szCs w:val="24"/>
              </w:rPr>
            </w:pPr>
            <w:r>
              <w:rPr>
                <w:rFonts w:ascii="Times New Roman" w:hAnsi="Times New Roman"/>
                <w:color w:val="auto"/>
                <w:kern w:val="0"/>
                <w:sz w:val="24"/>
                <w:szCs w:val="24"/>
              </w:rPr>
              <w:t>审批文件名称：《国家发展改革委关于淮南潘谢矿区开发规划的批复》；</w:t>
            </w:r>
          </w:p>
          <w:p w14:paraId="767811D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kern w:val="0"/>
                <w:sz w:val="24"/>
                <w:szCs w:val="24"/>
                <w:lang w:val="en-US" w:eastAsia="zh-CN"/>
              </w:rPr>
              <w:t>审查文号</w:t>
            </w:r>
            <w:r>
              <w:rPr>
                <w:rFonts w:ascii="Times New Roman" w:hAnsi="Times New Roman"/>
                <w:color w:val="auto"/>
                <w:kern w:val="0"/>
                <w:sz w:val="24"/>
                <w:szCs w:val="24"/>
              </w:rPr>
              <w:t>：</w:t>
            </w:r>
            <w:r>
              <w:rPr>
                <w:rFonts w:hint="eastAsia" w:ascii="Times New Roman" w:hAnsi="Times New Roman"/>
                <w:color w:val="auto"/>
                <w:kern w:val="0"/>
                <w:sz w:val="24"/>
                <w:szCs w:val="24"/>
              </w:rPr>
              <w:t>发改能源〔2004〕2301号</w:t>
            </w:r>
          </w:p>
        </w:tc>
      </w:tr>
      <w:tr w14:paraId="06644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0" w:type="dxa"/>
            <w:noWrap/>
            <w:tcMar>
              <w:top w:w="16" w:type="dxa"/>
              <w:left w:w="16" w:type="dxa"/>
              <w:right w:w="16" w:type="dxa"/>
            </w:tcMar>
            <w:vAlign w:val="center"/>
          </w:tcPr>
          <w:p w14:paraId="33F5500A">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sz w:val="24"/>
              </w:rPr>
              <w:t>规划环境影响评价情况</w:t>
            </w:r>
          </w:p>
        </w:tc>
        <w:tc>
          <w:tcPr>
            <w:tcW w:w="8299" w:type="dxa"/>
            <w:gridSpan w:val="5"/>
            <w:noWrap/>
            <w:tcMar>
              <w:top w:w="16" w:type="dxa"/>
              <w:left w:w="16" w:type="dxa"/>
              <w:right w:w="16" w:type="dxa"/>
            </w:tcMar>
            <w:vAlign w:val="center"/>
          </w:tcPr>
          <w:p w14:paraId="2CD1255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olor w:val="auto"/>
                <w:kern w:val="0"/>
                <w:sz w:val="24"/>
              </w:rPr>
            </w:pPr>
            <w:r>
              <w:rPr>
                <w:rFonts w:ascii="Times New Roman" w:hAnsi="Times New Roman"/>
                <w:color w:val="auto"/>
                <w:kern w:val="0"/>
                <w:sz w:val="24"/>
              </w:rPr>
              <w:t>规划环评名称：《淮南潘谢矿区总体开发规划环境影响报告书》</w:t>
            </w:r>
          </w:p>
          <w:p w14:paraId="00E31E1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olor w:val="auto"/>
                <w:kern w:val="0"/>
                <w:sz w:val="24"/>
              </w:rPr>
            </w:pPr>
            <w:r>
              <w:rPr>
                <w:rFonts w:ascii="Times New Roman" w:hAnsi="Times New Roman"/>
                <w:color w:val="auto"/>
                <w:kern w:val="0"/>
                <w:sz w:val="24"/>
              </w:rPr>
              <w:t>审查机关：原国家环境保护总局</w:t>
            </w:r>
          </w:p>
          <w:p w14:paraId="6FB48EF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olor w:val="auto"/>
                <w:kern w:val="0"/>
                <w:sz w:val="24"/>
              </w:rPr>
            </w:pPr>
            <w:r>
              <w:rPr>
                <w:rFonts w:ascii="Times New Roman" w:hAnsi="Times New Roman"/>
                <w:color w:val="auto"/>
                <w:kern w:val="0"/>
                <w:sz w:val="24"/>
              </w:rPr>
              <w:t>审查文件名称：关于印发《淮南潘谢矿区总体开发规划环境影响报告书》审查意见的通知</w:t>
            </w:r>
          </w:p>
          <w:p w14:paraId="51535EB0">
            <w:pPr>
              <w:pStyle w:val="32"/>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ascii="Times New Roman" w:hAnsi="Times New Roman"/>
                <w:color w:val="auto"/>
                <w:kern w:val="0"/>
                <w:sz w:val="24"/>
              </w:rPr>
            </w:pPr>
            <w:r>
              <w:rPr>
                <w:rFonts w:ascii="Times New Roman" w:hAnsi="Times New Roman"/>
                <w:color w:val="auto"/>
                <w:kern w:val="0"/>
                <w:sz w:val="24"/>
              </w:rPr>
              <w:t>审批文号：环函〔2006〕86号</w:t>
            </w:r>
          </w:p>
        </w:tc>
      </w:tr>
      <w:tr w14:paraId="3FF87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10" w:hRule="atLeast"/>
          <w:jc w:val="center"/>
        </w:trPr>
        <w:tc>
          <w:tcPr>
            <w:tcW w:w="740" w:type="dxa"/>
            <w:noWrap/>
            <w:tcMar>
              <w:top w:w="16" w:type="dxa"/>
              <w:left w:w="16" w:type="dxa"/>
              <w:right w:w="16" w:type="dxa"/>
            </w:tcMar>
            <w:vAlign w:val="center"/>
          </w:tcPr>
          <w:p w14:paraId="73014C40">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kern w:val="0"/>
                <w:sz w:val="24"/>
              </w:rPr>
              <w:t>规划及</w:t>
            </w:r>
            <w:r>
              <w:rPr>
                <w:rFonts w:ascii="Times New Roman" w:hAnsi="Times New Roman"/>
                <w:color w:val="auto"/>
                <w:sz w:val="24"/>
              </w:rPr>
              <w:t>规划环境影响评价</w:t>
            </w:r>
            <w:r>
              <w:rPr>
                <w:rFonts w:ascii="Times New Roman" w:hAnsi="Times New Roman"/>
                <w:color w:val="auto"/>
                <w:kern w:val="0"/>
                <w:sz w:val="24"/>
              </w:rPr>
              <w:t>符合性分析</w:t>
            </w:r>
          </w:p>
        </w:tc>
        <w:tc>
          <w:tcPr>
            <w:tcW w:w="8299" w:type="dxa"/>
            <w:gridSpan w:val="5"/>
            <w:noWrap/>
            <w:tcMar>
              <w:top w:w="16" w:type="dxa"/>
              <w:left w:w="16" w:type="dxa"/>
              <w:right w:w="16" w:type="dxa"/>
            </w:tcMar>
            <w:vAlign w:val="center"/>
          </w:tcPr>
          <w:p w14:paraId="1C8A7BE8">
            <w:pPr>
              <w:autoSpaceDE w:val="0"/>
              <w:autoSpaceDN w:val="0"/>
              <w:spacing w:line="360" w:lineRule="auto"/>
              <w:ind w:firstLine="480" w:firstLineChars="200"/>
              <w:rPr>
                <w:rFonts w:ascii="Times New Roman" w:hAnsi="Times New Roman"/>
                <w:color w:val="auto"/>
                <w:sz w:val="24"/>
              </w:rPr>
            </w:pPr>
            <w:r>
              <w:rPr>
                <w:rFonts w:ascii="Times New Roman" w:hAnsi="Times New Roman"/>
                <w:color w:val="auto"/>
                <w:sz w:val="24"/>
              </w:rPr>
              <w:t>（1）规划符合性分析</w:t>
            </w:r>
          </w:p>
          <w:p w14:paraId="352521EF">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项目位于安徽省淮南市潘集区贺疃镇，</w:t>
            </w:r>
            <w:r>
              <w:rPr>
                <w:rFonts w:hint="eastAsia" w:ascii="Times New Roman" w:hAnsi="Times New Roman"/>
                <w:color w:val="auto"/>
                <w:kern w:val="0"/>
                <w:sz w:val="24"/>
              </w:rPr>
              <w:t>对照《淮南潘谢矿区总体开发规划》，淮南潘谢矿区总共划分为17个井田和1个后备区</w:t>
            </w:r>
            <w:r>
              <w:rPr>
                <w:rFonts w:hint="eastAsia" w:ascii="Times New Roman" w:hAnsi="Times New Roman"/>
                <w:color w:val="auto"/>
                <w:kern w:val="0"/>
                <w:sz w:val="24"/>
                <w:lang w:eastAsia="zh-CN"/>
              </w:rPr>
              <w:t>，</w:t>
            </w:r>
            <w:r>
              <w:rPr>
                <w:rFonts w:hint="eastAsia" w:ascii="Times New Roman" w:hAnsi="Times New Roman"/>
                <w:color w:val="auto"/>
                <w:kern w:val="0"/>
                <w:sz w:val="24"/>
              </w:rPr>
              <w:t>矿区建设总规模为6115万吨/年，其中新建矿井包括张集二期</w:t>
            </w:r>
            <w:r>
              <w:rPr>
                <w:rFonts w:hint="eastAsia" w:ascii="Times New Roman" w:hAnsi="Times New Roman"/>
                <w:color w:val="auto"/>
                <w:kern w:val="0"/>
                <w:sz w:val="24"/>
                <w:lang w:eastAsia="zh-CN"/>
              </w:rPr>
              <w:t>（</w:t>
            </w:r>
            <w:r>
              <w:rPr>
                <w:rFonts w:hint="eastAsia" w:ascii="Times New Roman" w:hAnsi="Times New Roman"/>
                <w:color w:val="auto"/>
                <w:kern w:val="0"/>
                <w:sz w:val="24"/>
              </w:rPr>
              <w:t>即区，300万吨/年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丁集</w:t>
            </w:r>
            <w:r>
              <w:rPr>
                <w:rFonts w:hint="eastAsia" w:ascii="Times New Roman" w:hAnsi="Times New Roman"/>
                <w:color w:val="auto"/>
                <w:kern w:val="0"/>
                <w:sz w:val="24"/>
                <w:lang w:eastAsia="zh-CN"/>
              </w:rPr>
              <w:t>（</w:t>
            </w:r>
            <w:r>
              <w:rPr>
                <w:rFonts w:hint="eastAsia" w:ascii="Times New Roman" w:hAnsi="Times New Roman"/>
                <w:color w:val="auto"/>
                <w:kern w:val="0"/>
                <w:sz w:val="24"/>
              </w:rPr>
              <w:t>500万吨/年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、顾桥</w:t>
            </w:r>
            <w:r>
              <w:rPr>
                <w:rFonts w:hint="eastAsia" w:ascii="Times New Roman" w:hAnsi="Times New Roman"/>
                <w:color w:val="auto"/>
                <w:kern w:val="0"/>
                <w:sz w:val="24"/>
                <w:lang w:eastAsia="zh-CN"/>
              </w:rPr>
              <w:t>（</w:t>
            </w:r>
            <w:r>
              <w:rPr>
                <w:rFonts w:hint="eastAsia" w:ascii="Times New Roman" w:hAnsi="Times New Roman"/>
                <w:color w:val="auto"/>
                <w:kern w:val="0"/>
                <w:sz w:val="24"/>
              </w:rPr>
              <w:t>500万吨/年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、顾北</w:t>
            </w:r>
            <w:r>
              <w:rPr>
                <w:rFonts w:hint="eastAsia" w:ascii="Times New Roman" w:hAnsi="Times New Roman"/>
                <w:color w:val="auto"/>
                <w:kern w:val="0"/>
                <w:sz w:val="24"/>
                <w:lang w:eastAsia="zh-CN"/>
              </w:rPr>
              <w:t>（</w:t>
            </w:r>
            <w:r>
              <w:rPr>
                <w:rFonts w:hint="eastAsia" w:ascii="Times New Roman" w:hAnsi="Times New Roman"/>
                <w:color w:val="auto"/>
                <w:kern w:val="0"/>
                <w:sz w:val="24"/>
              </w:rPr>
              <w:t>300万吨/年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w:t>
            </w:r>
            <w:r>
              <w:rPr>
                <w:rFonts w:hint="eastAsia" w:ascii="Times New Roman" w:hAnsi="Times New Roman"/>
                <w:color w:val="auto"/>
                <w:kern w:val="0"/>
                <w:sz w:val="24"/>
                <w:lang w:eastAsia="zh-CN"/>
              </w:rPr>
              <w:t>（</w:t>
            </w:r>
            <w:r>
              <w:rPr>
                <w:rFonts w:hint="eastAsia" w:ascii="Times New Roman" w:hAnsi="Times New Roman"/>
                <w:color w:val="auto"/>
                <w:kern w:val="0"/>
                <w:sz w:val="24"/>
              </w:rPr>
              <w:t>240万吨/年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、潘四西</w:t>
            </w:r>
            <w:r>
              <w:rPr>
                <w:rFonts w:hint="eastAsia" w:ascii="Times New Roman" w:hAnsi="Times New Roman"/>
                <w:color w:val="auto"/>
                <w:kern w:val="0"/>
                <w:sz w:val="24"/>
                <w:lang w:eastAsia="zh-CN"/>
              </w:rPr>
              <w:t>（</w:t>
            </w:r>
            <w:r>
              <w:rPr>
                <w:rFonts w:hint="eastAsia" w:ascii="Times New Roman" w:hAnsi="Times New Roman"/>
                <w:color w:val="auto"/>
                <w:kern w:val="0"/>
                <w:sz w:val="24"/>
              </w:rPr>
              <w:t>150万吨/年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、望峰岗</w:t>
            </w:r>
            <w:r>
              <w:rPr>
                <w:rFonts w:hint="eastAsia" w:ascii="Times New Roman" w:hAnsi="Times New Roman"/>
                <w:color w:val="auto"/>
                <w:kern w:val="0"/>
                <w:sz w:val="24"/>
                <w:lang w:eastAsia="zh-CN"/>
              </w:rPr>
              <w:t>（</w:t>
            </w:r>
            <w:r>
              <w:rPr>
                <w:rFonts w:hint="eastAsia" w:ascii="Times New Roman" w:hAnsi="Times New Roman"/>
                <w:color w:val="auto"/>
                <w:kern w:val="0"/>
                <w:sz w:val="24"/>
              </w:rPr>
              <w:t>300万吨/年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、朱集</w:t>
            </w:r>
            <w:r>
              <w:rPr>
                <w:rFonts w:hint="eastAsia" w:ascii="Times New Roman" w:hAnsi="Times New Roman"/>
                <w:color w:val="auto"/>
                <w:kern w:val="0"/>
                <w:sz w:val="24"/>
                <w:lang w:eastAsia="zh-CN"/>
              </w:rPr>
              <w:t>（</w:t>
            </w:r>
            <w:r>
              <w:rPr>
                <w:rFonts w:hint="eastAsia" w:ascii="Times New Roman" w:hAnsi="Times New Roman"/>
                <w:color w:val="auto"/>
                <w:kern w:val="0"/>
                <w:sz w:val="24"/>
              </w:rPr>
              <w:t>400万吨/年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；改扩建矿开潘一由300万吨/年扩建到600万吨/年、潘三由300万吨/年扩建到500万吨/年、谢桥由400万吨/年扩建到800万吨/年、张集由400万吨/年扩建到700万吨/年；现有生产矿井有潘东</w:t>
            </w:r>
            <w:r>
              <w:rPr>
                <w:rFonts w:hint="eastAsia" w:ascii="Times New Roman" w:hAnsi="Times New Roman"/>
                <w:color w:val="auto"/>
                <w:kern w:val="0"/>
                <w:sz w:val="24"/>
                <w:lang w:eastAsia="zh-CN"/>
              </w:rPr>
              <w:t>（</w:t>
            </w:r>
            <w:r>
              <w:rPr>
                <w:rFonts w:hint="eastAsia" w:ascii="Times New Roman" w:hAnsi="Times New Roman"/>
                <w:color w:val="auto"/>
                <w:kern w:val="0"/>
                <w:sz w:val="24"/>
              </w:rPr>
              <w:t>210万吨/年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、新庄孜</w:t>
            </w:r>
            <w:r>
              <w:rPr>
                <w:rFonts w:hint="eastAsia" w:ascii="Times New Roman" w:hAnsi="Times New Roman"/>
                <w:color w:val="auto"/>
                <w:kern w:val="0"/>
                <w:sz w:val="24"/>
                <w:lang w:eastAsia="zh-CN"/>
              </w:rPr>
              <w:t>（</w:t>
            </w:r>
            <w:r>
              <w:rPr>
                <w:rFonts w:hint="eastAsia" w:ascii="Times New Roman" w:hAnsi="Times New Roman"/>
                <w:color w:val="auto"/>
                <w:kern w:val="0"/>
                <w:sz w:val="24"/>
              </w:rPr>
              <w:t>270万吨/年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、谢一</w:t>
            </w:r>
            <w:r>
              <w:rPr>
                <w:rFonts w:hint="eastAsia" w:ascii="Times New Roman" w:hAnsi="Times New Roman"/>
                <w:color w:val="auto"/>
                <w:kern w:val="0"/>
                <w:sz w:val="24"/>
                <w:lang w:eastAsia="zh-CN"/>
              </w:rPr>
              <w:t>（</w:t>
            </w:r>
            <w:r>
              <w:rPr>
                <w:rFonts w:hint="eastAsia" w:ascii="Times New Roman" w:hAnsi="Times New Roman"/>
                <w:color w:val="auto"/>
                <w:kern w:val="0"/>
                <w:sz w:val="24"/>
              </w:rPr>
              <w:t>90万吨/年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、谢李</w:t>
            </w:r>
            <w:r>
              <w:rPr>
                <w:rFonts w:hint="eastAsia" w:ascii="Times New Roman" w:hAnsi="Times New Roman"/>
                <w:color w:val="auto"/>
                <w:kern w:val="0"/>
                <w:sz w:val="24"/>
                <w:lang w:eastAsia="zh-CN"/>
              </w:rPr>
              <w:t>（</w:t>
            </w:r>
            <w:r>
              <w:rPr>
                <w:rFonts w:hint="eastAsia" w:ascii="Times New Roman" w:hAnsi="Times New Roman"/>
                <w:color w:val="auto"/>
                <w:kern w:val="0"/>
                <w:sz w:val="24"/>
              </w:rPr>
              <w:t>210万吨/年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、孔李</w:t>
            </w:r>
            <w:r>
              <w:rPr>
                <w:rFonts w:hint="eastAsia" w:ascii="Times New Roman" w:hAnsi="Times New Roman"/>
                <w:color w:val="auto"/>
                <w:kern w:val="0"/>
                <w:sz w:val="24"/>
                <w:lang w:eastAsia="zh-CN"/>
              </w:rPr>
              <w:t>（</w:t>
            </w:r>
            <w:r>
              <w:rPr>
                <w:rFonts w:hint="eastAsia" w:ascii="Times New Roman" w:hAnsi="Times New Roman"/>
                <w:color w:val="auto"/>
                <w:kern w:val="0"/>
                <w:sz w:val="24"/>
              </w:rPr>
              <w:t>120万吨/年</w:t>
            </w:r>
            <w:r>
              <w:rPr>
                <w:rFonts w:hint="eastAsia" w:ascii="Times New Roman" w:hAnsi="Times New Roman"/>
                <w:color w:val="auto"/>
                <w:kern w:val="0"/>
                <w:sz w:val="24"/>
                <w:lang w:eastAsia="zh-CN"/>
              </w:rPr>
              <w:t>）</w:t>
            </w:r>
            <w:r>
              <w:rPr>
                <w:rFonts w:hint="eastAsia" w:ascii="Times New Roman" w:hAnsi="Times New Roman"/>
                <w:color w:val="auto"/>
                <w:kern w:val="0"/>
                <w:sz w:val="24"/>
              </w:rPr>
              <w:t>，本项目隶属于淮南潘谢矿区中朱集煤矿范围，项目属于煤炭资源地质勘查项目。</w:t>
            </w:r>
          </w:p>
          <w:p w14:paraId="1A3BB319">
            <w:pPr>
              <w:pStyle w:val="31"/>
              <w:adjustRightInd/>
              <w:spacing w:line="360" w:lineRule="auto"/>
              <w:ind w:firstLine="480" w:firstLineChars="200"/>
              <w:jc w:val="both"/>
              <w:rPr>
                <w:rFonts w:ascii="Times New Roman" w:hAnsi="Times New Roman"/>
                <w:color w:val="auto"/>
              </w:rPr>
            </w:pPr>
            <w:r>
              <w:rPr>
                <w:rFonts w:ascii="Times New Roman" w:hAnsi="Times New Roman"/>
                <w:color w:val="auto"/>
              </w:rPr>
              <w:t>因此，该项目建设符合《淮南潘谢矿区总体开发规划》；符合《国家发展改革委关于淮南潘谢矿区开发规划的批复》（发改能源〔2004〕2301号）。</w:t>
            </w:r>
          </w:p>
          <w:p w14:paraId="5D42B571">
            <w:pPr>
              <w:pStyle w:val="31"/>
              <w:numPr>
                <w:ilvl w:val="0"/>
                <w:numId w:val="1"/>
              </w:numPr>
              <w:adjustRightInd/>
              <w:spacing w:line="360" w:lineRule="auto"/>
              <w:ind w:firstLine="480" w:firstLineChars="200"/>
              <w:jc w:val="both"/>
              <w:rPr>
                <w:rFonts w:ascii="Times New Roman" w:hAnsi="Times New Roman"/>
                <w:color w:val="auto"/>
              </w:rPr>
            </w:pPr>
            <w:r>
              <w:rPr>
                <w:rFonts w:ascii="Times New Roman" w:hAnsi="Times New Roman"/>
                <w:color w:val="auto"/>
              </w:rPr>
              <w:t>规划环境影响评价符合性分析</w:t>
            </w:r>
          </w:p>
          <w:p w14:paraId="5160511F">
            <w:pPr>
              <w:pStyle w:val="31"/>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olor w:val="auto"/>
              </w:rPr>
            </w:pPr>
            <w:r>
              <w:rPr>
                <w:rFonts w:ascii="Times New Roman" w:hAnsi="Times New Roman"/>
                <w:color w:val="auto"/>
              </w:rPr>
              <w:t>本项目与《淮南潘谢矿区总体开发规划环境影响报告书》审查意见符合性分析如下：</w:t>
            </w:r>
          </w:p>
          <w:p w14:paraId="01E67747">
            <w:pPr>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表1-2  本项目与《淮南潘谢矿区总体开发规划环境影响报告书》审查意见符合性分析一览表</w:t>
            </w:r>
          </w:p>
          <w:tbl>
            <w:tblPr>
              <w:tblStyle w:val="23"/>
              <w:tblW w:w="49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
              <w:gridCol w:w="3983"/>
              <w:gridCol w:w="3060"/>
              <w:gridCol w:w="715"/>
            </w:tblGrid>
            <w:tr w14:paraId="740A6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6" w:type="dxa"/>
                  <w:noWrap/>
                  <w:vAlign w:val="center"/>
                </w:tcPr>
                <w:p w14:paraId="059FC491">
                  <w:pPr>
                    <w:keepNext w:val="0"/>
                    <w:keepLines w:val="0"/>
                    <w:pageBreakBefore w:val="0"/>
                    <w:widowControl/>
                    <w:kinsoku/>
                    <w:wordWrap/>
                    <w:overflowPunct/>
                    <w:topLinePunct w:val="0"/>
                    <w:autoSpaceDE/>
                    <w:autoSpaceDN/>
                    <w:bidi w:val="0"/>
                    <w:jc w:val="center"/>
                    <w:textAlignment w:val="auto"/>
                    <w:rPr>
                      <w:rFonts w:ascii="Times New Roman" w:hAnsi="Times New Roman"/>
                      <w:b/>
                      <w:bCs/>
                      <w:color w:val="auto"/>
                      <w:szCs w:val="21"/>
                    </w:rPr>
                  </w:pPr>
                  <w:r>
                    <w:rPr>
                      <w:rFonts w:ascii="Times New Roman" w:hAnsi="Times New Roman"/>
                      <w:b/>
                      <w:bCs/>
                      <w:color w:val="auto"/>
                      <w:szCs w:val="21"/>
                    </w:rPr>
                    <w:t>序号</w:t>
                  </w:r>
                </w:p>
              </w:tc>
              <w:tc>
                <w:tcPr>
                  <w:tcW w:w="3983" w:type="dxa"/>
                  <w:noWrap/>
                  <w:vAlign w:val="center"/>
                </w:tcPr>
                <w:p w14:paraId="5AE343A4">
                  <w:pPr>
                    <w:keepNext w:val="0"/>
                    <w:keepLines w:val="0"/>
                    <w:pageBreakBefore w:val="0"/>
                    <w:widowControl/>
                    <w:kinsoku/>
                    <w:wordWrap/>
                    <w:overflowPunct/>
                    <w:topLinePunct w:val="0"/>
                    <w:autoSpaceDE/>
                    <w:autoSpaceDN/>
                    <w:bidi w:val="0"/>
                    <w:jc w:val="center"/>
                    <w:textAlignment w:val="auto"/>
                    <w:rPr>
                      <w:rFonts w:ascii="Times New Roman" w:hAnsi="Times New Roman"/>
                      <w:b/>
                      <w:bCs/>
                      <w:color w:val="auto"/>
                      <w:szCs w:val="21"/>
                    </w:rPr>
                  </w:pPr>
                  <w:r>
                    <w:rPr>
                      <w:rFonts w:ascii="Times New Roman" w:hAnsi="Times New Roman"/>
                      <w:b/>
                      <w:bCs/>
                      <w:color w:val="auto"/>
                      <w:szCs w:val="21"/>
                    </w:rPr>
                    <w:t>审查意见</w:t>
                  </w:r>
                </w:p>
              </w:tc>
              <w:tc>
                <w:tcPr>
                  <w:tcW w:w="3060" w:type="dxa"/>
                  <w:noWrap/>
                  <w:vAlign w:val="center"/>
                </w:tcPr>
                <w:p w14:paraId="66CE45D9">
                  <w:pPr>
                    <w:keepNext w:val="0"/>
                    <w:keepLines w:val="0"/>
                    <w:pageBreakBefore w:val="0"/>
                    <w:widowControl/>
                    <w:kinsoku/>
                    <w:wordWrap/>
                    <w:overflowPunct/>
                    <w:topLinePunct w:val="0"/>
                    <w:autoSpaceDE/>
                    <w:autoSpaceDN/>
                    <w:bidi w:val="0"/>
                    <w:jc w:val="center"/>
                    <w:textAlignment w:val="auto"/>
                    <w:rPr>
                      <w:rFonts w:ascii="Times New Roman" w:hAnsi="Times New Roman"/>
                      <w:b/>
                      <w:bCs/>
                      <w:color w:val="auto"/>
                      <w:szCs w:val="21"/>
                    </w:rPr>
                  </w:pPr>
                  <w:r>
                    <w:rPr>
                      <w:rFonts w:ascii="Times New Roman" w:hAnsi="Times New Roman"/>
                      <w:b/>
                      <w:bCs/>
                      <w:color w:val="auto"/>
                      <w:szCs w:val="21"/>
                    </w:rPr>
                    <w:t>项目建设情况</w:t>
                  </w:r>
                </w:p>
              </w:tc>
              <w:tc>
                <w:tcPr>
                  <w:tcW w:w="715" w:type="dxa"/>
                  <w:noWrap/>
                  <w:vAlign w:val="center"/>
                </w:tcPr>
                <w:p w14:paraId="29625793">
                  <w:pPr>
                    <w:keepNext w:val="0"/>
                    <w:keepLines w:val="0"/>
                    <w:pageBreakBefore w:val="0"/>
                    <w:widowControl/>
                    <w:kinsoku/>
                    <w:wordWrap/>
                    <w:overflowPunct/>
                    <w:topLinePunct w:val="0"/>
                    <w:autoSpaceDE/>
                    <w:autoSpaceDN/>
                    <w:bidi w:val="0"/>
                    <w:jc w:val="center"/>
                    <w:textAlignment w:val="auto"/>
                    <w:rPr>
                      <w:rFonts w:ascii="Times New Roman" w:hAnsi="Times New Roman"/>
                      <w:b/>
                      <w:bCs/>
                      <w:color w:val="auto"/>
                      <w:szCs w:val="21"/>
                    </w:rPr>
                  </w:pPr>
                  <w:r>
                    <w:rPr>
                      <w:rFonts w:ascii="Times New Roman" w:hAnsi="Times New Roman"/>
                      <w:b/>
                      <w:bCs/>
                      <w:color w:val="auto"/>
                      <w:szCs w:val="21"/>
                    </w:rPr>
                    <w:t>符合</w:t>
                  </w:r>
                </w:p>
                <w:p w14:paraId="21825664">
                  <w:pPr>
                    <w:keepNext w:val="0"/>
                    <w:keepLines w:val="0"/>
                    <w:pageBreakBefore w:val="0"/>
                    <w:widowControl/>
                    <w:kinsoku/>
                    <w:wordWrap/>
                    <w:overflowPunct/>
                    <w:topLinePunct w:val="0"/>
                    <w:autoSpaceDE/>
                    <w:autoSpaceDN/>
                    <w:bidi w:val="0"/>
                    <w:jc w:val="center"/>
                    <w:textAlignment w:val="auto"/>
                    <w:rPr>
                      <w:rFonts w:ascii="Times New Roman" w:hAnsi="Times New Roman"/>
                      <w:b/>
                      <w:bCs/>
                      <w:color w:val="auto"/>
                      <w:szCs w:val="21"/>
                    </w:rPr>
                  </w:pPr>
                  <w:r>
                    <w:rPr>
                      <w:rFonts w:ascii="Times New Roman" w:hAnsi="Times New Roman"/>
                      <w:b/>
                      <w:bCs/>
                      <w:color w:val="auto"/>
                      <w:szCs w:val="21"/>
                    </w:rPr>
                    <w:t>性分析</w:t>
                  </w:r>
                </w:p>
              </w:tc>
            </w:tr>
            <w:tr w14:paraId="55E6C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6" w:type="dxa"/>
                  <w:noWrap/>
                  <w:vAlign w:val="center"/>
                </w:tcPr>
                <w:p w14:paraId="215E9C7C">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1</w:t>
                  </w:r>
                </w:p>
              </w:tc>
              <w:tc>
                <w:tcPr>
                  <w:tcW w:w="3983" w:type="dxa"/>
                  <w:noWrap/>
                  <w:vAlign w:val="center"/>
                </w:tcPr>
                <w:p w14:paraId="613E1DEA">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rPr>
                  </w:pPr>
                  <w:r>
                    <w:rPr>
                      <w:rFonts w:ascii="Times New Roman" w:hAnsi="Times New Roman"/>
                      <w:color w:val="auto"/>
                      <w:sz w:val="21"/>
                      <w:szCs w:val="21"/>
                    </w:rPr>
                    <w:t>一、淮南潘谢矿区煤炭资源极为丰富，资源储量达285亿吨，且深部还有可靠的煤炭资源。充分利用该矿区的资源、区位和市场优势</w:t>
                  </w:r>
                  <w:r>
                    <w:rPr>
                      <w:rFonts w:hint="eastAsia" w:ascii="Times New Roman" w:hAnsi="Times New Roman"/>
                      <w:color w:val="auto"/>
                      <w:sz w:val="21"/>
                      <w:szCs w:val="21"/>
                    </w:rPr>
                    <w:t>，</w:t>
                  </w:r>
                  <w:r>
                    <w:rPr>
                      <w:rFonts w:ascii="Times New Roman" w:hAnsi="Times New Roman"/>
                      <w:color w:val="auto"/>
                      <w:sz w:val="21"/>
                      <w:szCs w:val="21"/>
                    </w:rPr>
                    <w:t>依托齐全的基础配套设施，加大煤炭开发力度和就地转化能力，以</w:t>
                  </w:r>
                  <w:r>
                    <w:rPr>
                      <w:rFonts w:hint="eastAsia" w:ascii="Times New Roman" w:hAnsi="Times New Roman"/>
                      <w:color w:val="auto"/>
                      <w:sz w:val="21"/>
                      <w:szCs w:val="21"/>
                      <w:lang w:eastAsia="zh-CN"/>
                    </w:rPr>
                    <w:t>“</w:t>
                  </w:r>
                  <w:r>
                    <w:rPr>
                      <w:rFonts w:ascii="Times New Roman" w:hAnsi="Times New Roman"/>
                      <w:color w:val="auto"/>
                      <w:sz w:val="21"/>
                      <w:szCs w:val="21"/>
                    </w:rPr>
                    <w:t>发展先进生产力，保护生命，保护资源，保护环境</w:t>
                  </w:r>
                  <w:r>
                    <w:rPr>
                      <w:rFonts w:hint="eastAsia" w:ascii="Times New Roman" w:hAnsi="Times New Roman"/>
                      <w:color w:val="auto"/>
                      <w:sz w:val="21"/>
                      <w:szCs w:val="21"/>
                      <w:lang w:eastAsia="zh-CN"/>
                    </w:rPr>
                    <w:t>”</w:t>
                  </w:r>
                  <w:r>
                    <w:rPr>
                      <w:rFonts w:ascii="Times New Roman" w:hAnsi="Times New Roman"/>
                      <w:color w:val="auto"/>
                      <w:sz w:val="21"/>
                      <w:szCs w:val="21"/>
                    </w:rPr>
                    <w:t>的理念将矿区建设成为华东地区重要的大型煤电基地，对于促进区域经济、社会、环境、资源的协调发展具有重要意义。</w:t>
                  </w:r>
                </w:p>
              </w:tc>
              <w:tc>
                <w:tcPr>
                  <w:tcW w:w="3060" w:type="dxa"/>
                  <w:noWrap/>
                  <w:vAlign w:val="center"/>
                </w:tcPr>
                <w:p w14:paraId="3528DF6A">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color w:val="auto"/>
                      <w:sz w:val="21"/>
                      <w:szCs w:val="21"/>
                    </w:rPr>
                  </w:pPr>
                  <w:r>
                    <w:rPr>
                      <w:rFonts w:hint="eastAsia" w:ascii="Times New Roman" w:hAnsi="Times New Roman"/>
                      <w:color w:val="auto"/>
                      <w:sz w:val="21"/>
                      <w:szCs w:val="21"/>
                      <w:lang w:val="en-US" w:eastAsia="zh-CN"/>
                    </w:rPr>
                    <w:t>本项目属于</w:t>
                  </w:r>
                  <w:r>
                    <w:rPr>
                      <w:rFonts w:ascii="Times New Roman" w:hAnsi="Times New Roman"/>
                      <w:color w:val="auto"/>
                      <w:sz w:val="21"/>
                      <w:szCs w:val="21"/>
                    </w:rPr>
                    <w:t>固体矿产地质勘查项目</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为煤炭开采的配套工程</w:t>
                  </w:r>
                  <w:r>
                    <w:rPr>
                      <w:rFonts w:hint="eastAsia" w:ascii="Times New Roman" w:hAnsi="Times New Roman"/>
                      <w:color w:val="auto"/>
                      <w:sz w:val="21"/>
                      <w:szCs w:val="21"/>
                    </w:rPr>
                    <w:t>。</w:t>
                  </w:r>
                </w:p>
              </w:tc>
              <w:tc>
                <w:tcPr>
                  <w:tcW w:w="715" w:type="dxa"/>
                  <w:noWrap/>
                  <w:vAlign w:val="center"/>
                </w:tcPr>
                <w:p w14:paraId="6349D30C">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符合</w:t>
                  </w:r>
                </w:p>
              </w:tc>
            </w:tr>
            <w:tr w14:paraId="0DFB7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6" w:type="dxa"/>
                  <w:noWrap/>
                  <w:vAlign w:val="center"/>
                </w:tcPr>
                <w:p w14:paraId="1A658699">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2</w:t>
                  </w:r>
                </w:p>
              </w:tc>
              <w:tc>
                <w:tcPr>
                  <w:tcW w:w="3983" w:type="dxa"/>
                  <w:noWrap/>
                  <w:vAlign w:val="center"/>
                </w:tcPr>
                <w:p w14:paraId="3B7BF168">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rPr>
                  </w:pPr>
                  <w:r>
                    <w:rPr>
                      <w:rFonts w:ascii="Times New Roman" w:hAnsi="Times New Roman"/>
                      <w:color w:val="auto"/>
                      <w:sz w:val="21"/>
                      <w:szCs w:val="21"/>
                    </w:rPr>
                    <w:t>二、规划在发展定位、规模、产业结构、市场需求、配套条件方面</w:t>
                  </w:r>
                  <w:r>
                    <w:rPr>
                      <w:rFonts w:hint="eastAsia" w:ascii="Times New Roman" w:hAnsi="Times New Roman"/>
                      <w:color w:val="auto"/>
                      <w:sz w:val="21"/>
                      <w:szCs w:val="21"/>
                    </w:rPr>
                    <w:t>，</w:t>
                  </w:r>
                  <w:r>
                    <w:rPr>
                      <w:rFonts w:ascii="Times New Roman" w:hAnsi="Times New Roman"/>
                      <w:color w:val="auto"/>
                      <w:sz w:val="21"/>
                      <w:szCs w:val="21"/>
                    </w:rPr>
                    <w:t>与国家能源战略、国家13个大型煤炭基地规划、安徽省省委、省政府在全面建设小康社会起步阶段提出的</w:t>
                  </w:r>
                  <w:r>
                    <w:rPr>
                      <w:rFonts w:hint="eastAsia" w:ascii="Times New Roman" w:hAnsi="Times New Roman"/>
                      <w:color w:val="auto"/>
                      <w:sz w:val="21"/>
                      <w:szCs w:val="21"/>
                      <w:lang w:eastAsia="zh-CN"/>
                    </w:rPr>
                    <w:t>“</w:t>
                  </w:r>
                  <w:r>
                    <w:rPr>
                      <w:rFonts w:ascii="Times New Roman" w:hAnsi="Times New Roman"/>
                      <w:color w:val="auto"/>
                      <w:sz w:val="21"/>
                      <w:szCs w:val="21"/>
                    </w:rPr>
                    <w:t>861</w:t>
                  </w:r>
                  <w:r>
                    <w:rPr>
                      <w:rFonts w:hint="eastAsia" w:ascii="Times New Roman" w:hAnsi="Times New Roman"/>
                      <w:color w:val="auto"/>
                      <w:sz w:val="21"/>
                      <w:szCs w:val="21"/>
                      <w:lang w:eastAsia="zh-CN"/>
                    </w:rPr>
                    <w:t>”</w:t>
                  </w:r>
                  <w:r>
                    <w:rPr>
                      <w:rFonts w:ascii="Times New Roman" w:hAnsi="Times New Roman"/>
                      <w:color w:val="auto"/>
                      <w:sz w:val="21"/>
                      <w:szCs w:val="21"/>
                    </w:rPr>
                    <w:t>行动计划的要求相符。基本反映了国家经济发展需求和资源合理配置精神。规划在发展布局、环境保护、水资源利用、土地资源利用等方面，能够与淮南市城市建设总体规划、安徽省国土资源可持续开发利用规划、安徽省生态省建设总体规划纲要、淮南市生态城市建设规划等相衔接，总体上具备较强的协调性。</w:t>
                  </w:r>
                </w:p>
              </w:tc>
              <w:tc>
                <w:tcPr>
                  <w:tcW w:w="3060" w:type="dxa"/>
                  <w:noWrap/>
                  <w:vAlign w:val="center"/>
                </w:tcPr>
                <w:p w14:paraId="79CA3DD9">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项目建设地点位于安徽省淮南市潘集区贺疃镇境内，本项目属于固体矿产地质勘查项目，临时用地面积为</w:t>
                  </w:r>
                  <w:r>
                    <w:rPr>
                      <w:rFonts w:hint="eastAsia" w:ascii="Times New Roman" w:hAnsi="Times New Roman"/>
                      <w:color w:val="auto"/>
                      <w:sz w:val="21"/>
                      <w:szCs w:val="21"/>
                      <w:highlight w:val="none"/>
                      <w:lang w:val="en-US" w:eastAsia="zh-CN"/>
                    </w:rPr>
                    <w:t>2949</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井场用地时长预计约6个月</w:t>
                  </w:r>
                  <w:r>
                    <w:rPr>
                      <w:rFonts w:ascii="Times New Roman" w:hAnsi="Times New Roman"/>
                      <w:color w:val="auto"/>
                      <w:sz w:val="21"/>
                      <w:szCs w:val="21"/>
                      <w:highlight w:val="none"/>
                    </w:rPr>
                    <w:t>。中安联合煤化有限责任公司办理了项目临时用地相关手续。项目租用安徽省淮南市潘集区贺疃镇境内的土地作为本项目的临时建设用地</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eastAsia="zh-CN"/>
                    </w:rPr>
                    <w:t>2025年12月16日</w:t>
                  </w:r>
                  <w:r>
                    <w:rPr>
                      <w:rFonts w:ascii="Times New Roman" w:hAnsi="Times New Roman"/>
                      <w:color w:val="auto"/>
                      <w:sz w:val="21"/>
                      <w:szCs w:val="21"/>
                      <w:highlight w:val="none"/>
                    </w:rPr>
                    <w:t>淮南市自然资源和规划局</w:t>
                  </w:r>
                  <w:r>
                    <w:rPr>
                      <w:rFonts w:hint="eastAsia" w:ascii="Times New Roman" w:hAnsi="Times New Roman"/>
                      <w:color w:val="auto"/>
                      <w:sz w:val="21"/>
                      <w:szCs w:val="21"/>
                      <w:highlight w:val="none"/>
                    </w:rPr>
                    <w:t>潘集分局</w:t>
                  </w:r>
                  <w:r>
                    <w:rPr>
                      <w:rFonts w:ascii="Times New Roman" w:hAnsi="Times New Roman"/>
                      <w:color w:val="auto"/>
                      <w:sz w:val="21"/>
                      <w:szCs w:val="21"/>
                      <w:highlight w:val="none"/>
                    </w:rPr>
                    <w:t>出具了本项目临时用地</w:t>
                  </w:r>
                  <w:r>
                    <w:rPr>
                      <w:rFonts w:hint="eastAsia" w:ascii="Times New Roman" w:hAnsi="Times New Roman"/>
                      <w:color w:val="auto"/>
                      <w:sz w:val="21"/>
                      <w:szCs w:val="21"/>
                      <w:highlight w:val="none"/>
                    </w:rPr>
                    <w:t>初审意见。</w:t>
                  </w:r>
                </w:p>
              </w:tc>
              <w:tc>
                <w:tcPr>
                  <w:tcW w:w="715" w:type="dxa"/>
                  <w:noWrap/>
                  <w:vAlign w:val="center"/>
                </w:tcPr>
                <w:p w14:paraId="49C03FFC">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highlight w:val="none"/>
                    </w:rPr>
                  </w:pPr>
                  <w:r>
                    <w:rPr>
                      <w:rFonts w:ascii="Times New Roman" w:hAnsi="Times New Roman"/>
                      <w:color w:val="auto"/>
                      <w:szCs w:val="21"/>
                      <w:highlight w:val="none"/>
                    </w:rPr>
                    <w:t>符合</w:t>
                  </w:r>
                </w:p>
              </w:tc>
            </w:tr>
            <w:tr w14:paraId="38E3B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6" w:type="dxa"/>
                  <w:noWrap/>
                  <w:vAlign w:val="center"/>
                </w:tcPr>
                <w:p w14:paraId="6FE5D3D6">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3</w:t>
                  </w:r>
                </w:p>
              </w:tc>
              <w:tc>
                <w:tcPr>
                  <w:tcW w:w="3983" w:type="dxa"/>
                  <w:noWrap/>
                  <w:vAlign w:val="center"/>
                </w:tcPr>
                <w:p w14:paraId="7F78AB68">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rPr>
                  </w:pPr>
                  <w:r>
                    <w:rPr>
                      <w:rFonts w:ascii="Times New Roman" w:hAnsi="Times New Roman"/>
                      <w:color w:val="auto"/>
                      <w:sz w:val="21"/>
                      <w:szCs w:val="21"/>
                    </w:rPr>
                    <w:t>四、规划提出的大气和地表水环境质量指标符合环境保护规划目标要求。规划对采煤沉陷造成的居民搬迁安置提出了可行的解决办法，地表沉陷治理的综合措施和沉陷水域的生态恢复措施合理可行，总体上符合国家有关要求，有利于区域的稳定发展，将促进当地和谐社会的建设。</w:t>
                  </w:r>
                </w:p>
              </w:tc>
              <w:tc>
                <w:tcPr>
                  <w:tcW w:w="3060" w:type="dxa"/>
                  <w:noWrap/>
                  <w:vAlign w:val="center"/>
                </w:tcPr>
                <w:p w14:paraId="701E1AF3">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rPr>
                  </w:pPr>
                  <w:r>
                    <w:rPr>
                      <w:rFonts w:ascii="Times New Roman" w:hAnsi="Times New Roman"/>
                      <w:color w:val="auto"/>
                      <w:sz w:val="21"/>
                      <w:szCs w:val="21"/>
                    </w:rPr>
                    <w:t>本项目针对可能产生的环境影响提出了针对性的处置措施，项目实施区域未涉及居民搬迁安置问题，采取的生态恢复措施可行</w:t>
                  </w:r>
                  <w:r>
                    <w:rPr>
                      <w:rFonts w:hint="eastAsia" w:ascii="Times New Roman" w:hAnsi="Times New Roman"/>
                      <w:color w:val="auto"/>
                      <w:sz w:val="21"/>
                      <w:szCs w:val="21"/>
                    </w:rPr>
                    <w:t>。</w:t>
                  </w:r>
                </w:p>
              </w:tc>
              <w:tc>
                <w:tcPr>
                  <w:tcW w:w="715" w:type="dxa"/>
                  <w:noWrap/>
                  <w:vAlign w:val="center"/>
                </w:tcPr>
                <w:p w14:paraId="2FFF2091">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符合</w:t>
                  </w:r>
                </w:p>
              </w:tc>
            </w:tr>
            <w:tr w14:paraId="40327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6" w:type="dxa"/>
                  <w:noWrap/>
                  <w:vAlign w:val="center"/>
                </w:tcPr>
                <w:p w14:paraId="64BCF71D">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4</w:t>
                  </w:r>
                </w:p>
              </w:tc>
              <w:tc>
                <w:tcPr>
                  <w:tcW w:w="3983" w:type="dxa"/>
                  <w:noWrap/>
                  <w:vAlign w:val="center"/>
                </w:tcPr>
                <w:p w14:paraId="15576A08">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rPr>
                  </w:pPr>
                  <w:r>
                    <w:rPr>
                      <w:rFonts w:ascii="Times New Roman" w:hAnsi="Times New Roman"/>
                      <w:color w:val="auto"/>
                      <w:sz w:val="21"/>
                      <w:szCs w:val="21"/>
                    </w:rPr>
                    <w:t>七、随着规划的实施，沉陷区面积必将扩大，而且下沉深度也会进一步增加，应按照《淮南市采煤沉陷治理条例》中的有关规定，制定合理可行的治理复垦计划，并与城乡统筹的有关水利规划相衔接，落实资金、设计、施工要求等内容，治理后的土地应该首先满足恢复耕地和生态的需要。积水导致无法耕种的耕地区域，要通过抽排积水维持农田面积，恢复农田平整度和农田水利设施，保证耕地质量。沉陷未积水耕地应进行土地区划，按农田标准平整，确保复垦面积，保证农民妥善安置。季节性积水土地应采用</w:t>
                  </w:r>
                  <w:r>
                    <w:rPr>
                      <w:rFonts w:hint="eastAsia" w:ascii="Times New Roman" w:hAnsi="Times New Roman"/>
                      <w:color w:val="auto"/>
                      <w:sz w:val="21"/>
                      <w:szCs w:val="21"/>
                      <w:lang w:eastAsia="zh-CN"/>
                    </w:rPr>
                    <w:t>“</w:t>
                  </w:r>
                  <w:r>
                    <w:rPr>
                      <w:rFonts w:ascii="Times New Roman" w:hAnsi="Times New Roman"/>
                      <w:color w:val="auto"/>
                      <w:sz w:val="21"/>
                      <w:szCs w:val="21"/>
                    </w:rPr>
                    <w:t>挖深垫浅</w:t>
                  </w:r>
                  <w:r>
                    <w:rPr>
                      <w:rFonts w:hint="eastAsia" w:ascii="Times New Roman" w:hAnsi="Times New Roman"/>
                      <w:color w:val="auto"/>
                      <w:sz w:val="21"/>
                      <w:szCs w:val="21"/>
                      <w:lang w:eastAsia="zh-CN"/>
                    </w:rPr>
                    <w:t>”</w:t>
                  </w:r>
                  <w:r>
                    <w:rPr>
                      <w:rFonts w:ascii="Times New Roman" w:hAnsi="Times New Roman"/>
                      <w:color w:val="auto"/>
                      <w:sz w:val="21"/>
                      <w:szCs w:val="21"/>
                    </w:rPr>
                    <w:t>方式恢复为耕地。尚未稳定的沉陷区,须对受破坏的排灌渠道、道路进行临时修复，将沉陷对农业生产的影响减少到最低程度。</w:t>
                  </w:r>
                </w:p>
              </w:tc>
              <w:tc>
                <w:tcPr>
                  <w:tcW w:w="3060" w:type="dxa"/>
                  <w:noWrap/>
                  <w:vAlign w:val="center"/>
                </w:tcPr>
                <w:p w14:paraId="156850AF">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rPr>
                  </w:pPr>
                  <w:r>
                    <w:rPr>
                      <w:rFonts w:ascii="Times New Roman" w:hAnsi="Times New Roman"/>
                      <w:color w:val="auto"/>
                      <w:sz w:val="21"/>
                      <w:szCs w:val="21"/>
                    </w:rPr>
                    <w:t>项目建设地点位于安徽省淮南市潘集区贺疃镇，</w:t>
                  </w:r>
                  <w:r>
                    <w:rPr>
                      <w:rFonts w:ascii="Times New Roman" w:hAnsi="Times New Roman"/>
                      <w:color w:val="auto"/>
                      <w:kern w:val="0"/>
                      <w:sz w:val="21"/>
                      <w:szCs w:val="21"/>
                      <w:highlight w:val="none"/>
                    </w:rPr>
                    <w:t>本项目</w:t>
                  </w:r>
                  <w:r>
                    <w:rPr>
                      <w:rFonts w:hint="eastAsia" w:ascii="Times New Roman" w:hAnsi="Times New Roman"/>
                      <w:color w:val="auto"/>
                      <w:kern w:val="0"/>
                      <w:sz w:val="21"/>
                      <w:szCs w:val="21"/>
                      <w:highlight w:val="none"/>
                    </w:rPr>
                    <w:t>补勘钻孔</w:t>
                  </w:r>
                  <w:r>
                    <w:rPr>
                      <w:rFonts w:hint="eastAsia" w:ascii="Times New Roman" w:hAnsi="Times New Roman"/>
                      <w:color w:val="auto"/>
                      <w:kern w:val="0"/>
                      <w:sz w:val="21"/>
                      <w:szCs w:val="21"/>
                      <w:highlight w:val="none"/>
                      <w:lang w:val="en-US" w:eastAsia="zh-CN"/>
                    </w:rPr>
                    <w:t>工程</w:t>
                  </w:r>
                  <w:r>
                    <w:rPr>
                      <w:rFonts w:hint="eastAsia" w:ascii="Times New Roman" w:hAnsi="Times New Roman"/>
                      <w:color w:val="auto"/>
                      <w:kern w:val="0"/>
                      <w:sz w:val="21"/>
                      <w:szCs w:val="21"/>
                      <w:highlight w:val="none"/>
                    </w:rPr>
                    <w:t>主要</w:t>
                  </w:r>
                  <w:r>
                    <w:rPr>
                      <w:rFonts w:hint="eastAsia" w:ascii="Times New Roman" w:hAnsi="Times New Roman"/>
                      <w:color w:val="auto"/>
                      <w:kern w:val="0"/>
                      <w:sz w:val="21"/>
                      <w:szCs w:val="21"/>
                      <w:highlight w:val="none"/>
                      <w:lang w:val="en-US" w:eastAsia="zh-CN"/>
                    </w:rPr>
                    <w:t>是</w:t>
                  </w:r>
                  <w:r>
                    <w:rPr>
                      <w:rFonts w:hint="eastAsia" w:ascii="Times New Roman" w:hAnsi="Times New Roman"/>
                      <w:color w:val="auto"/>
                      <w:kern w:val="0"/>
                      <w:sz w:val="21"/>
                      <w:szCs w:val="21"/>
                      <w:highlight w:val="none"/>
                    </w:rPr>
                    <w:t>探查控制一采区边界断层FD10逆断层和FD45逆断层摆动情况</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为后需开采提供基础资料，降低地质风险</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rPr>
                    <w:t>长观钻孔</w:t>
                  </w:r>
                  <w:r>
                    <w:rPr>
                      <w:rFonts w:hint="eastAsia" w:ascii="Times New Roman" w:hAnsi="Times New Roman"/>
                      <w:color w:val="auto"/>
                      <w:kern w:val="0"/>
                      <w:sz w:val="21"/>
                      <w:szCs w:val="21"/>
                      <w:highlight w:val="none"/>
                      <w:lang w:val="en-US" w:eastAsia="zh-CN"/>
                    </w:rPr>
                    <w:t>工程</w:t>
                  </w:r>
                  <w:r>
                    <w:rPr>
                      <w:rFonts w:hint="eastAsia" w:ascii="Times New Roman" w:hAnsi="Times New Roman"/>
                      <w:color w:val="auto"/>
                      <w:kern w:val="0"/>
                      <w:sz w:val="21"/>
                      <w:szCs w:val="21"/>
                      <w:highlight w:val="none"/>
                    </w:rPr>
                    <w:t>主要</w:t>
                  </w:r>
                  <w:r>
                    <w:rPr>
                      <w:rFonts w:hint="eastAsia" w:ascii="Times New Roman" w:hAnsi="Times New Roman"/>
                      <w:color w:val="auto"/>
                      <w:kern w:val="0"/>
                      <w:sz w:val="21"/>
                      <w:szCs w:val="21"/>
                      <w:highlight w:val="none"/>
                      <w:lang w:val="en-US" w:eastAsia="zh-CN"/>
                    </w:rPr>
                    <w:t>是</w:t>
                  </w:r>
                  <w:r>
                    <w:rPr>
                      <w:rFonts w:hint="eastAsia" w:ascii="Times New Roman" w:hAnsi="Times New Roman"/>
                      <w:color w:val="auto"/>
                      <w:kern w:val="0"/>
                      <w:sz w:val="21"/>
                      <w:szCs w:val="21"/>
                      <w:highlight w:val="none"/>
                    </w:rPr>
                    <w:t>监测奥灰含水层水位变化情况</w:t>
                  </w:r>
                  <w:r>
                    <w:rPr>
                      <w:rFonts w:hint="eastAsia" w:ascii="Times New Roman" w:hAnsi="Times New Roman"/>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为后期开采工作保障矿井生产安全。</w:t>
                  </w:r>
                  <w:r>
                    <w:rPr>
                      <w:rFonts w:hint="eastAsia" w:ascii="Times New Roman" w:hAnsi="Times New Roman"/>
                      <w:color w:val="auto"/>
                      <w:kern w:val="0"/>
                      <w:sz w:val="21"/>
                      <w:szCs w:val="21"/>
                      <w:lang w:val="en-US" w:eastAsia="zh-CN"/>
                    </w:rPr>
                    <w:t>本项目</w:t>
                  </w:r>
                  <w:r>
                    <w:rPr>
                      <w:rFonts w:ascii="Times New Roman" w:hAnsi="Times New Roman"/>
                      <w:color w:val="auto"/>
                      <w:sz w:val="21"/>
                      <w:szCs w:val="21"/>
                    </w:rPr>
                    <w:t>属于固体矿产地质勘查项目</w:t>
                  </w:r>
                  <w:r>
                    <w:rPr>
                      <w:rFonts w:ascii="Times New Roman" w:hAnsi="Times New Roman"/>
                      <w:color w:val="auto"/>
                      <w:sz w:val="21"/>
                      <w:szCs w:val="21"/>
                      <w:highlight w:val="none"/>
                    </w:rPr>
                    <w:t>，临时用地面积为</w:t>
                  </w:r>
                  <w:r>
                    <w:rPr>
                      <w:rFonts w:hint="eastAsia" w:ascii="Times New Roman" w:hAnsi="Times New Roman"/>
                      <w:color w:val="auto"/>
                      <w:sz w:val="21"/>
                      <w:szCs w:val="21"/>
                      <w:highlight w:val="none"/>
                      <w:lang w:val="en-US" w:eastAsia="zh-CN"/>
                    </w:rPr>
                    <w:t>2949</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项目用地时长预计约6个月</w:t>
                  </w:r>
                  <w:r>
                    <w:rPr>
                      <w:rFonts w:ascii="Times New Roman" w:hAnsi="Times New Roman"/>
                      <w:color w:val="auto"/>
                      <w:sz w:val="21"/>
                      <w:szCs w:val="21"/>
                      <w:highlight w:val="none"/>
                    </w:rPr>
                    <w:t>。中安联合煤化有限责任公司办理了项目临时用地相关手续。项目租用安徽省淮南市潘集区贺疃镇境内的土地作为本项目的临时建设用地</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已办理用地手续</w:t>
                  </w:r>
                  <w:r>
                    <w:rPr>
                      <w:rFonts w:hint="eastAsia" w:ascii="Times New Roman" w:hAnsi="Times New Roman"/>
                      <w:color w:val="auto"/>
                      <w:sz w:val="21"/>
                      <w:szCs w:val="21"/>
                      <w:highlight w:val="none"/>
                    </w:rPr>
                    <w:t>。</w:t>
                  </w:r>
                </w:p>
              </w:tc>
              <w:tc>
                <w:tcPr>
                  <w:tcW w:w="715" w:type="dxa"/>
                  <w:noWrap/>
                  <w:vAlign w:val="center"/>
                </w:tcPr>
                <w:p w14:paraId="7DAEDC50">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Cs w:val="21"/>
                    </w:rPr>
                  </w:pPr>
                  <w:r>
                    <w:rPr>
                      <w:rFonts w:ascii="Times New Roman" w:hAnsi="Times New Roman"/>
                      <w:color w:val="auto"/>
                      <w:szCs w:val="21"/>
                    </w:rPr>
                    <w:t>符合</w:t>
                  </w:r>
                </w:p>
              </w:tc>
            </w:tr>
          </w:tbl>
          <w:p w14:paraId="3852667B">
            <w:pPr>
              <w:pStyle w:val="32"/>
              <w:spacing w:line="360" w:lineRule="auto"/>
              <w:ind w:firstLine="480" w:firstLineChars="200"/>
              <w:jc w:val="both"/>
              <w:rPr>
                <w:rFonts w:ascii="Times New Roman" w:hAnsi="Times New Roman"/>
                <w:color w:val="auto"/>
              </w:rPr>
            </w:pPr>
            <w:r>
              <w:rPr>
                <w:rFonts w:ascii="Times New Roman" w:hAnsi="Times New Roman"/>
                <w:color w:val="auto"/>
              </w:rPr>
              <w:t>综上所述，本项目建设可满足《淮南潘谢矿区总体开发规划环境影响报告书审查意见的通知》（环函〔2006〕86号）要求。</w:t>
            </w:r>
          </w:p>
        </w:tc>
      </w:tr>
      <w:tr w14:paraId="267ED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10" w:hRule="atLeast"/>
          <w:jc w:val="center"/>
        </w:trPr>
        <w:tc>
          <w:tcPr>
            <w:tcW w:w="740" w:type="dxa"/>
            <w:noWrap/>
            <w:tcMar>
              <w:top w:w="16" w:type="dxa"/>
              <w:left w:w="16" w:type="dxa"/>
              <w:right w:w="16" w:type="dxa"/>
            </w:tcMar>
            <w:vAlign w:val="center"/>
          </w:tcPr>
          <w:p w14:paraId="2D7127E9">
            <w:pPr>
              <w:autoSpaceDE w:val="0"/>
              <w:autoSpaceDN w:val="0"/>
              <w:adjustRightInd w:val="0"/>
              <w:snapToGrid w:val="0"/>
              <w:jc w:val="center"/>
              <w:rPr>
                <w:rFonts w:ascii="Times New Roman" w:hAnsi="Times New Roman"/>
                <w:color w:val="auto"/>
                <w:kern w:val="0"/>
                <w:sz w:val="24"/>
              </w:rPr>
            </w:pPr>
            <w:bookmarkStart w:id="4" w:name="_Hlk56690880"/>
            <w:r>
              <w:rPr>
                <w:rFonts w:ascii="Times New Roman" w:hAnsi="Times New Roman"/>
                <w:color w:val="auto"/>
                <w:kern w:val="0"/>
                <w:sz w:val="24"/>
              </w:rPr>
              <w:t>其他符合性分析</w:t>
            </w:r>
          </w:p>
        </w:tc>
        <w:tc>
          <w:tcPr>
            <w:tcW w:w="8299" w:type="dxa"/>
            <w:gridSpan w:val="5"/>
            <w:noWrap/>
            <w:tcMar>
              <w:top w:w="16" w:type="dxa"/>
              <w:left w:w="16" w:type="dxa"/>
              <w:right w:w="16" w:type="dxa"/>
            </w:tcMar>
            <w:vAlign w:val="center"/>
          </w:tcPr>
          <w:p w14:paraId="6F515344">
            <w:pPr>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1、产业政策符合性</w:t>
            </w:r>
          </w:p>
          <w:p w14:paraId="2DF4739C">
            <w:pPr>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本项目</w:t>
            </w:r>
            <w:r>
              <w:rPr>
                <w:rFonts w:hint="eastAsia" w:ascii="Times New Roman" w:hAnsi="Times New Roman"/>
                <w:color w:val="auto"/>
                <w:sz w:val="24"/>
              </w:rPr>
              <w:t>地面补勘钻孔</w:t>
            </w:r>
            <w:r>
              <w:rPr>
                <w:rFonts w:hint="eastAsia" w:ascii="Times New Roman" w:hAnsi="Times New Roman"/>
                <w:color w:val="auto"/>
                <w:sz w:val="24"/>
                <w:lang w:val="en-US" w:eastAsia="zh-CN"/>
              </w:rPr>
              <w:t>工程</w:t>
            </w:r>
            <w:r>
              <w:rPr>
                <w:rFonts w:hint="eastAsia" w:ascii="Times New Roman" w:hAnsi="Times New Roman"/>
                <w:color w:val="auto"/>
                <w:sz w:val="24"/>
              </w:rPr>
              <w:t>目的是控制一采区边界断层FD10逆断层和FD45逆断层摆动情况；地面奥灰长观孔</w:t>
            </w:r>
            <w:r>
              <w:rPr>
                <w:rFonts w:hint="eastAsia" w:ascii="Times New Roman" w:hAnsi="Times New Roman"/>
                <w:color w:val="auto"/>
                <w:sz w:val="24"/>
                <w:lang w:val="en-US" w:eastAsia="zh-CN"/>
              </w:rPr>
              <w:t>工程</w:t>
            </w:r>
            <w:r>
              <w:rPr>
                <w:rFonts w:hint="eastAsia" w:ascii="Times New Roman" w:hAnsi="Times New Roman"/>
                <w:color w:val="auto"/>
                <w:sz w:val="24"/>
              </w:rPr>
              <w:t>目的是监测井田内奥灰含水层水位变化情况。</w:t>
            </w:r>
            <w:r>
              <w:rPr>
                <w:rFonts w:ascii="Times New Roman" w:hAnsi="Times New Roman"/>
                <w:color w:val="auto"/>
                <w:sz w:val="24"/>
              </w:rPr>
              <w:t>因此，项目属于《产业结构调整指导目录</w:t>
            </w:r>
            <w:r>
              <w:rPr>
                <w:rFonts w:hint="eastAsia" w:ascii="Times New Roman" w:hAnsi="Times New Roman"/>
                <w:color w:val="auto"/>
                <w:sz w:val="24"/>
                <w:lang w:eastAsia="zh-CN"/>
              </w:rPr>
              <w:t>（</w:t>
            </w:r>
            <w:r>
              <w:rPr>
                <w:rFonts w:ascii="Times New Roman" w:hAnsi="Times New Roman"/>
                <w:color w:val="auto"/>
                <w:sz w:val="24"/>
              </w:rPr>
              <w:t>2024年本</w:t>
            </w:r>
            <w:r>
              <w:rPr>
                <w:rFonts w:hint="eastAsia" w:ascii="Times New Roman" w:hAnsi="Times New Roman"/>
                <w:color w:val="auto"/>
                <w:sz w:val="24"/>
                <w:lang w:eastAsia="zh-CN"/>
              </w:rPr>
              <w:t>）</w:t>
            </w:r>
            <w:r>
              <w:rPr>
                <w:rFonts w:ascii="Times New Roman" w:hAnsi="Times New Roman"/>
                <w:color w:val="auto"/>
                <w:sz w:val="24"/>
              </w:rPr>
              <w:t>》第一类鼓励类，即第三项</w:t>
            </w:r>
            <w:r>
              <w:rPr>
                <w:rFonts w:hint="eastAsia" w:ascii="Times New Roman" w:hAnsi="Times New Roman"/>
                <w:color w:val="auto"/>
                <w:sz w:val="24"/>
                <w:lang w:eastAsia="zh-CN"/>
              </w:rPr>
              <w:t>“</w:t>
            </w:r>
            <w:r>
              <w:rPr>
                <w:rFonts w:ascii="Times New Roman" w:hAnsi="Times New Roman"/>
                <w:color w:val="auto"/>
                <w:sz w:val="24"/>
              </w:rPr>
              <w:t>煤炭</w:t>
            </w:r>
            <w:r>
              <w:rPr>
                <w:rFonts w:hint="eastAsia" w:ascii="Times New Roman" w:hAnsi="Times New Roman"/>
                <w:color w:val="auto"/>
                <w:sz w:val="24"/>
                <w:lang w:eastAsia="zh-CN"/>
              </w:rPr>
              <w:t>”</w:t>
            </w:r>
            <w:r>
              <w:rPr>
                <w:rFonts w:ascii="Times New Roman" w:hAnsi="Times New Roman"/>
                <w:color w:val="auto"/>
                <w:sz w:val="24"/>
              </w:rPr>
              <w:t>中</w:t>
            </w:r>
            <w:r>
              <w:rPr>
                <w:rFonts w:hint="eastAsia" w:ascii="Times New Roman" w:hAnsi="Times New Roman"/>
                <w:color w:val="auto"/>
                <w:sz w:val="24"/>
                <w:lang w:eastAsia="zh-CN"/>
              </w:rPr>
              <w:t>“</w:t>
            </w:r>
            <w:r>
              <w:rPr>
                <w:rFonts w:ascii="Times New Roman" w:hAnsi="Times New Roman"/>
                <w:color w:val="auto"/>
                <w:sz w:val="24"/>
              </w:rPr>
              <w:t>矿井灾害</w:t>
            </w:r>
            <w:r>
              <w:rPr>
                <w:rFonts w:hint="eastAsia" w:ascii="Times New Roman" w:hAnsi="Times New Roman"/>
                <w:color w:val="auto"/>
                <w:sz w:val="24"/>
                <w:lang w:eastAsia="zh-CN"/>
              </w:rPr>
              <w:t>（</w:t>
            </w:r>
            <w:r>
              <w:rPr>
                <w:rFonts w:ascii="Times New Roman" w:hAnsi="Times New Roman"/>
                <w:color w:val="auto"/>
                <w:sz w:val="24"/>
              </w:rPr>
              <w:t>瓦斯、煤尘、矿井水、火、围岩、地温、冲击地压等</w:t>
            </w:r>
            <w:r>
              <w:rPr>
                <w:rFonts w:hint="eastAsia" w:ascii="Times New Roman" w:hAnsi="Times New Roman"/>
                <w:color w:val="auto"/>
                <w:sz w:val="24"/>
                <w:lang w:eastAsia="zh-CN"/>
              </w:rPr>
              <w:t>）</w:t>
            </w:r>
            <w:r>
              <w:rPr>
                <w:rFonts w:ascii="Times New Roman" w:hAnsi="Times New Roman"/>
                <w:color w:val="auto"/>
                <w:sz w:val="24"/>
              </w:rPr>
              <w:t>防治</w:t>
            </w:r>
            <w:r>
              <w:rPr>
                <w:rFonts w:hint="eastAsia" w:ascii="Times New Roman" w:hAnsi="Times New Roman"/>
                <w:color w:val="auto"/>
                <w:sz w:val="24"/>
                <w:lang w:eastAsia="zh-CN"/>
              </w:rPr>
              <w:t>”</w:t>
            </w:r>
            <w:r>
              <w:rPr>
                <w:rFonts w:ascii="Times New Roman" w:hAnsi="Times New Roman"/>
                <w:color w:val="auto"/>
                <w:sz w:val="24"/>
              </w:rPr>
              <w:t>范畴。因此，项目符合国家产业政策要求，属于鼓励类。对照《安徽省工业产业结构调整指导目录（2007年版）》，本项目属于</w:t>
            </w:r>
            <w:r>
              <w:rPr>
                <w:rFonts w:hint="eastAsia" w:ascii="Times New Roman" w:hAnsi="Times New Roman"/>
                <w:color w:val="auto"/>
                <w:sz w:val="24"/>
                <w:lang w:eastAsia="zh-CN"/>
              </w:rPr>
              <w:t>“</w:t>
            </w:r>
            <w:r>
              <w:rPr>
                <w:rFonts w:ascii="Times New Roman" w:hAnsi="Times New Roman"/>
                <w:color w:val="auto"/>
                <w:sz w:val="24"/>
              </w:rPr>
              <w:t>鼓励类中的一、煤炭1、煤田地质及地球物理勘探</w:t>
            </w:r>
            <w:r>
              <w:rPr>
                <w:rFonts w:hint="eastAsia" w:ascii="Times New Roman" w:hAnsi="Times New Roman"/>
                <w:color w:val="auto"/>
                <w:sz w:val="24"/>
                <w:lang w:eastAsia="zh-CN"/>
              </w:rPr>
              <w:t>”</w:t>
            </w:r>
            <w:r>
              <w:rPr>
                <w:rFonts w:ascii="Times New Roman" w:hAnsi="Times New Roman"/>
                <w:color w:val="auto"/>
                <w:sz w:val="24"/>
              </w:rPr>
              <w:t>，本项目为鼓励类，项目符合国家和地方产业政策要求。</w:t>
            </w:r>
          </w:p>
          <w:p w14:paraId="5C85C328">
            <w:pPr>
              <w:spacing w:line="360" w:lineRule="auto"/>
              <w:ind w:firstLine="480" w:firstLineChars="200"/>
              <w:rPr>
                <w:rFonts w:ascii="Times New Roman" w:hAnsi="Times New Roman"/>
                <w:b/>
                <w:bCs/>
                <w:color w:val="auto"/>
                <w:sz w:val="24"/>
              </w:rPr>
            </w:pPr>
            <w:r>
              <w:rPr>
                <w:rFonts w:ascii="Times New Roman" w:hAnsi="Times New Roman"/>
                <w:bCs/>
                <w:color w:val="auto"/>
                <w:sz w:val="24"/>
              </w:rPr>
              <w:t>项目已经在潘集区发展和改革委员会备案，项目编码：</w:t>
            </w:r>
            <w:r>
              <w:rPr>
                <w:rFonts w:hint="eastAsia" w:ascii="Times New Roman" w:hAnsi="Times New Roman"/>
                <w:bCs/>
                <w:color w:val="auto"/>
                <w:sz w:val="24"/>
                <w:lang w:eastAsia="zh-CN"/>
              </w:rPr>
              <w:t>2509-340406-04-01-536481</w:t>
            </w:r>
            <w:r>
              <w:rPr>
                <w:rFonts w:ascii="Times New Roman" w:hAnsi="Times New Roman"/>
                <w:bCs/>
                <w:color w:val="auto"/>
                <w:sz w:val="24"/>
              </w:rPr>
              <w:t>，因此，项目建设符合国家及地方的产业政策。</w:t>
            </w:r>
          </w:p>
          <w:p w14:paraId="4ED5A1AA">
            <w:pPr>
              <w:spacing w:line="360" w:lineRule="auto"/>
              <w:ind w:firstLine="482" w:firstLineChars="200"/>
              <w:rPr>
                <w:rFonts w:ascii="Times New Roman" w:hAnsi="Times New Roman"/>
                <w:b/>
                <w:color w:val="auto"/>
                <w:sz w:val="24"/>
              </w:rPr>
            </w:pPr>
            <w:r>
              <w:rPr>
                <w:rFonts w:hint="eastAsia" w:ascii="Times New Roman" w:hAnsi="Times New Roman"/>
                <w:b/>
                <w:color w:val="auto"/>
                <w:sz w:val="24"/>
                <w:lang w:val="en-US" w:eastAsia="zh-CN"/>
              </w:rPr>
              <w:t>2</w:t>
            </w:r>
            <w:r>
              <w:rPr>
                <w:rFonts w:ascii="Times New Roman" w:hAnsi="Times New Roman"/>
                <w:b/>
                <w:color w:val="auto"/>
                <w:sz w:val="24"/>
              </w:rPr>
              <w:t>、与</w:t>
            </w:r>
            <w:r>
              <w:rPr>
                <w:rFonts w:hint="eastAsia" w:ascii="Times New Roman" w:hAnsi="Times New Roman"/>
                <w:b/>
                <w:color w:val="auto"/>
                <w:sz w:val="24"/>
                <w:lang w:eastAsia="zh-CN"/>
              </w:rPr>
              <w:t>“</w:t>
            </w:r>
            <w:r>
              <w:rPr>
                <w:rFonts w:ascii="Times New Roman" w:hAnsi="Times New Roman"/>
                <w:b/>
                <w:color w:val="auto"/>
                <w:sz w:val="24"/>
              </w:rPr>
              <w:t>三区三线</w:t>
            </w:r>
            <w:r>
              <w:rPr>
                <w:rFonts w:hint="eastAsia" w:ascii="Times New Roman" w:hAnsi="Times New Roman"/>
                <w:b/>
                <w:color w:val="auto"/>
                <w:sz w:val="24"/>
                <w:lang w:eastAsia="zh-CN"/>
              </w:rPr>
              <w:t>”</w:t>
            </w:r>
            <w:r>
              <w:rPr>
                <w:rFonts w:ascii="Times New Roman" w:hAnsi="Times New Roman"/>
                <w:b/>
                <w:color w:val="auto"/>
                <w:sz w:val="24"/>
              </w:rPr>
              <w:t>相符性分析</w:t>
            </w:r>
          </w:p>
          <w:p w14:paraId="4C3F13E3">
            <w:pPr>
              <w:spacing w:line="360" w:lineRule="auto"/>
              <w:ind w:firstLine="480" w:firstLineChars="200"/>
              <w:rPr>
                <w:rFonts w:ascii="Times New Roman" w:hAnsi="Times New Roman"/>
                <w:b/>
                <w:bCs/>
                <w:color w:val="auto"/>
                <w:szCs w:val="21"/>
                <w:highlight w:val="none"/>
              </w:rPr>
            </w:pPr>
            <w:r>
              <w:rPr>
                <w:rFonts w:ascii="Times New Roman" w:hAnsi="Times New Roman"/>
                <w:color w:val="auto"/>
                <w:sz w:val="24"/>
                <w:highlight w:val="none"/>
              </w:rPr>
              <w:t>本项目涉及的</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个井场均为临时用地，</w:t>
            </w:r>
            <w:r>
              <w:rPr>
                <w:rFonts w:hint="eastAsia" w:ascii="Times New Roman" w:hAnsi="Times New Roman"/>
                <w:color w:val="auto"/>
                <w:sz w:val="24"/>
                <w:highlight w:val="none"/>
              </w:rPr>
              <w:t>用地时长预计约</w:t>
            </w:r>
            <w:r>
              <w:rPr>
                <w:rFonts w:hint="eastAsia" w:ascii="Times New Roman" w:hAnsi="Times New Roman"/>
                <w:color w:val="auto"/>
                <w:sz w:val="24"/>
                <w:highlight w:val="none"/>
                <w:lang w:val="en-US" w:eastAsia="zh-CN"/>
              </w:rPr>
              <w:t>6</w:t>
            </w:r>
            <w:r>
              <w:rPr>
                <w:rFonts w:hint="eastAsia" w:ascii="Times New Roman" w:hAnsi="Times New Roman"/>
                <w:color w:val="auto"/>
                <w:sz w:val="24"/>
                <w:highlight w:val="none"/>
              </w:rPr>
              <w:t>个月</w:t>
            </w:r>
            <w:r>
              <w:rPr>
                <w:rFonts w:ascii="Times New Roman" w:hAnsi="Times New Roman"/>
                <w:color w:val="auto"/>
                <w:sz w:val="24"/>
                <w:highlight w:val="none"/>
              </w:rPr>
              <w:t>，施工结束后全部恢复原貌，完成复垦。</w:t>
            </w:r>
            <w:r>
              <w:rPr>
                <w:rFonts w:ascii="Times New Roman" w:hAnsi="Times New Roman"/>
                <w:color w:val="auto"/>
                <w:sz w:val="24"/>
                <w:szCs w:val="24"/>
                <w:highlight w:val="none"/>
              </w:rPr>
              <w:t>本项目</w:t>
            </w:r>
            <w:r>
              <w:rPr>
                <w:rFonts w:hint="eastAsia" w:ascii="Times New Roman" w:hAnsi="Times New Roman"/>
                <w:color w:val="auto"/>
                <w:sz w:val="24"/>
                <w:szCs w:val="24"/>
                <w:highlight w:val="none"/>
                <w:lang w:val="en-US" w:eastAsia="zh-CN"/>
              </w:rPr>
              <w:t>3个井场均</w:t>
            </w:r>
            <w:r>
              <w:rPr>
                <w:rFonts w:ascii="Times New Roman" w:hAnsi="Times New Roman"/>
                <w:color w:val="auto"/>
                <w:sz w:val="24"/>
                <w:szCs w:val="24"/>
                <w:highlight w:val="none"/>
              </w:rPr>
              <w:t>涉及基本农田</w:t>
            </w:r>
            <w:r>
              <w:rPr>
                <w:rFonts w:hint="eastAsia"/>
                <w:color w:val="auto"/>
                <w:sz w:val="24"/>
                <w:szCs w:val="24"/>
                <w:lang w:eastAsia="zh-CN"/>
              </w:rPr>
              <w:t>，</w:t>
            </w:r>
            <w:r>
              <w:rPr>
                <w:rFonts w:hint="eastAsia" w:ascii="Times New Roman" w:hAnsi="Times New Roman"/>
                <w:color w:val="auto"/>
                <w:sz w:val="24"/>
                <w:szCs w:val="24"/>
                <w:highlight w:val="none"/>
                <w:lang w:val="en-US" w:eastAsia="zh-CN"/>
              </w:rPr>
              <w:t>总占用面积约2949</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ascii="Times New Roman" w:hAnsi="Times New Roman"/>
                <w:color w:val="auto"/>
                <w:sz w:val="24"/>
                <w:highlight w:val="none"/>
              </w:rPr>
              <w:t>，但</w:t>
            </w:r>
            <w:r>
              <w:rPr>
                <w:rFonts w:hint="eastAsia" w:ascii="Times New Roman" w:hAnsi="Times New Roman"/>
                <w:color w:val="auto"/>
                <w:sz w:val="24"/>
                <w:highlight w:val="none"/>
                <w:lang w:val="en-US" w:eastAsia="zh-CN"/>
              </w:rPr>
              <w:t>均</w:t>
            </w:r>
            <w:r>
              <w:rPr>
                <w:rFonts w:ascii="Times New Roman" w:hAnsi="Times New Roman"/>
                <w:color w:val="auto"/>
                <w:sz w:val="24"/>
                <w:highlight w:val="none"/>
              </w:rPr>
              <w:t>不是长期永久占用，本项目施工前需进行表土剥离工作，将表土放在专门的表土堆放区，表土堆放区应设置拦挡、苫盖等措施，同时本项目已编制完成复垦方案，施工结束后按照复垦方案对临时占地进行复垦，剥离的表土回填，恢复原有生态环境功能</w:t>
            </w:r>
            <w:r>
              <w:rPr>
                <w:rFonts w:hint="eastAsia" w:ascii="Times New Roman" w:hAnsi="Times New Roman"/>
                <w:color w:val="auto"/>
                <w:sz w:val="24"/>
                <w:highlight w:val="none"/>
              </w:rPr>
              <w:t>。</w:t>
            </w:r>
            <w:r>
              <w:rPr>
                <w:rFonts w:ascii="Times New Roman" w:hAnsi="Times New Roman"/>
                <w:color w:val="auto"/>
                <w:sz w:val="24"/>
                <w:highlight w:val="none"/>
              </w:rPr>
              <w:t>与淮南市三区三线图比较，不占用生态保护红线，项目临时用地套核</w:t>
            </w:r>
            <w:r>
              <w:rPr>
                <w:rFonts w:hint="eastAsia" w:ascii="Times New Roman" w:hAnsi="Times New Roman"/>
                <w:color w:val="auto"/>
                <w:sz w:val="24"/>
                <w:highlight w:val="none"/>
                <w:lang w:eastAsia="zh-CN"/>
              </w:rPr>
              <w:t>“</w:t>
            </w:r>
            <w:r>
              <w:rPr>
                <w:rFonts w:ascii="Times New Roman" w:hAnsi="Times New Roman"/>
                <w:color w:val="auto"/>
                <w:sz w:val="24"/>
                <w:highlight w:val="none"/>
              </w:rPr>
              <w:t>三区三线</w:t>
            </w:r>
            <w:r>
              <w:rPr>
                <w:rFonts w:hint="eastAsia" w:ascii="Times New Roman" w:hAnsi="Times New Roman"/>
                <w:color w:val="auto"/>
                <w:sz w:val="24"/>
                <w:highlight w:val="none"/>
                <w:lang w:eastAsia="zh-CN"/>
              </w:rPr>
              <w:t>”</w:t>
            </w:r>
            <w:r>
              <w:rPr>
                <w:rFonts w:ascii="Times New Roman" w:hAnsi="Times New Roman"/>
                <w:color w:val="auto"/>
                <w:sz w:val="24"/>
                <w:highlight w:val="none"/>
              </w:rPr>
              <w:t>成果图</w:t>
            </w:r>
            <w:r>
              <w:rPr>
                <w:rFonts w:ascii="Times New Roman" w:hAnsi="Times New Roman"/>
                <w:sz w:val="24"/>
              </w:rPr>
              <w:t>见附图</w:t>
            </w:r>
            <w:r>
              <w:rPr>
                <w:rFonts w:hint="eastAsia" w:ascii="Times New Roman" w:hAnsi="Times New Roman"/>
                <w:sz w:val="24"/>
              </w:rPr>
              <w:t>4</w:t>
            </w:r>
            <w:r>
              <w:rPr>
                <w:rFonts w:ascii="Times New Roman" w:hAnsi="Times New Roman"/>
                <w:sz w:val="24"/>
              </w:rPr>
              <w:t>。</w:t>
            </w:r>
          </w:p>
          <w:p w14:paraId="4DA94589">
            <w:pPr>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val="en-US" w:eastAsia="zh-CN"/>
              </w:rPr>
              <w:t>3</w:t>
            </w:r>
            <w:r>
              <w:rPr>
                <w:rFonts w:ascii="Times New Roman" w:hAnsi="Times New Roman"/>
                <w:b/>
                <w:bCs/>
                <w:color w:val="auto"/>
                <w:sz w:val="24"/>
              </w:rPr>
              <w:t>、生态分区管控单元相符性分析</w:t>
            </w:r>
          </w:p>
          <w:p w14:paraId="6DF795D9">
            <w:pPr>
              <w:spacing w:line="360" w:lineRule="auto"/>
              <w:ind w:firstLine="480" w:firstLineChars="200"/>
              <w:rPr>
                <w:rFonts w:ascii="Times New Roman" w:hAnsi="Times New Roman"/>
                <w:color w:val="auto"/>
                <w:sz w:val="24"/>
              </w:rPr>
            </w:pPr>
            <w:r>
              <w:rPr>
                <w:rFonts w:ascii="Times New Roman" w:hAnsi="Times New Roman"/>
                <w:color w:val="auto"/>
                <w:sz w:val="24"/>
              </w:rPr>
              <w:t>根据安徽省生态环境厅《关于印发安徽省</w:t>
            </w:r>
            <w:r>
              <w:rPr>
                <w:rFonts w:hint="eastAsia" w:ascii="Times New Roman" w:hAnsi="Times New Roman"/>
                <w:color w:val="auto"/>
                <w:sz w:val="24"/>
                <w:lang w:eastAsia="zh-CN"/>
              </w:rPr>
              <w:t>“</w:t>
            </w:r>
            <w:r>
              <w:rPr>
                <w:rFonts w:ascii="Times New Roman" w:hAnsi="Times New Roman"/>
                <w:color w:val="auto"/>
                <w:sz w:val="24"/>
              </w:rPr>
              <w:t>三线一单</w:t>
            </w:r>
            <w:r>
              <w:rPr>
                <w:rFonts w:hint="eastAsia" w:ascii="Times New Roman" w:hAnsi="Times New Roman"/>
                <w:color w:val="auto"/>
                <w:sz w:val="24"/>
                <w:lang w:eastAsia="zh-CN"/>
              </w:rPr>
              <w:t>”</w:t>
            </w:r>
            <w:r>
              <w:rPr>
                <w:rFonts w:ascii="Times New Roman" w:hAnsi="Times New Roman"/>
                <w:color w:val="auto"/>
                <w:sz w:val="24"/>
              </w:rPr>
              <w:t>生态环境分区管控管理办法》皖环发〔</w:t>
            </w:r>
            <w:r>
              <w:rPr>
                <w:rFonts w:hint="eastAsia" w:ascii="Times New Roman" w:hAnsi="Times New Roman"/>
                <w:color w:val="auto"/>
                <w:sz w:val="24"/>
              </w:rPr>
              <w:t>2022</w:t>
            </w:r>
            <w:r>
              <w:rPr>
                <w:rFonts w:ascii="Times New Roman" w:hAnsi="Times New Roman"/>
                <w:color w:val="auto"/>
                <w:sz w:val="24"/>
              </w:rPr>
              <w:t>〕5号文要求：基于生态保护红线、环境质量底线、资源利用上线，依据现有法律法规、政策标准和管理要求等，衔接区域发展战略和生态功能定位，坚持目标导向和问题导向，从空间布局约束、污染物排放管控、环境风险防控和资源利用效率等方面明确生态环境准入要求。</w:t>
            </w:r>
          </w:p>
          <w:p w14:paraId="532F919A">
            <w:pPr>
              <w:spacing w:line="360" w:lineRule="auto"/>
              <w:ind w:firstLine="480" w:firstLineChars="200"/>
              <w:rPr>
                <w:rFonts w:ascii="Times New Roman" w:hAnsi="Times New Roman"/>
                <w:color w:val="auto"/>
                <w:sz w:val="24"/>
              </w:rPr>
            </w:pPr>
            <w:r>
              <w:rPr>
                <w:rFonts w:ascii="Times New Roman" w:hAnsi="Times New Roman"/>
                <w:color w:val="auto"/>
                <w:sz w:val="24"/>
              </w:rPr>
              <w:t>（1）生态</w:t>
            </w:r>
            <w:r>
              <w:rPr>
                <w:rFonts w:hint="eastAsia" w:ascii="Times New Roman" w:hAnsi="Times New Roman"/>
                <w:color w:val="auto"/>
                <w:sz w:val="24"/>
              </w:rPr>
              <w:t>保护</w:t>
            </w:r>
            <w:r>
              <w:rPr>
                <w:rFonts w:ascii="Times New Roman" w:hAnsi="Times New Roman"/>
                <w:color w:val="auto"/>
                <w:sz w:val="24"/>
              </w:rPr>
              <w:t>红线</w:t>
            </w:r>
          </w:p>
          <w:p w14:paraId="6B000BFC">
            <w:pPr>
              <w:spacing w:line="360" w:lineRule="auto"/>
              <w:ind w:firstLine="480"/>
              <w:rPr>
                <w:rFonts w:ascii="Times New Roman" w:hAnsi="Times New Roman"/>
                <w:color w:val="auto"/>
                <w:sz w:val="24"/>
              </w:rPr>
            </w:pPr>
            <w:r>
              <w:rPr>
                <w:rFonts w:ascii="Times New Roman" w:hAnsi="Times New Roman"/>
                <w:color w:val="auto"/>
                <w:sz w:val="24"/>
              </w:rPr>
              <w:t>根据《淮南市</w:t>
            </w:r>
            <w:r>
              <w:rPr>
                <w:rFonts w:hint="eastAsia" w:ascii="Times New Roman" w:hAnsi="Times New Roman"/>
                <w:color w:val="auto"/>
                <w:sz w:val="24"/>
                <w:lang w:eastAsia="zh-CN"/>
              </w:rPr>
              <w:t>“</w:t>
            </w:r>
            <w:r>
              <w:rPr>
                <w:rFonts w:ascii="Times New Roman" w:hAnsi="Times New Roman"/>
                <w:color w:val="auto"/>
                <w:sz w:val="24"/>
              </w:rPr>
              <w:t>三线一单</w:t>
            </w:r>
            <w:r>
              <w:rPr>
                <w:rFonts w:hint="eastAsia" w:ascii="Times New Roman" w:hAnsi="Times New Roman"/>
                <w:color w:val="auto"/>
                <w:sz w:val="24"/>
                <w:lang w:eastAsia="zh-CN"/>
              </w:rPr>
              <w:t>”</w:t>
            </w:r>
            <w:r>
              <w:rPr>
                <w:rFonts w:ascii="Times New Roman" w:hAnsi="Times New Roman"/>
                <w:color w:val="auto"/>
                <w:sz w:val="24"/>
              </w:rPr>
              <w:t>文件》，</w:t>
            </w:r>
            <w:r>
              <w:rPr>
                <w:rFonts w:hint="eastAsia" w:ascii="Times New Roman" w:hAnsi="Times New Roman"/>
                <w:color w:val="auto"/>
                <w:sz w:val="24"/>
                <w:lang w:val="en-US" w:eastAsia="zh-CN"/>
              </w:rPr>
              <w:t>本项目评价区域不涉及生态保护红线</w:t>
            </w:r>
            <w:r>
              <w:rPr>
                <w:rFonts w:ascii="Times New Roman" w:hAnsi="Times New Roman"/>
                <w:color w:val="auto"/>
                <w:sz w:val="24"/>
              </w:rPr>
              <w:t>。</w:t>
            </w:r>
          </w:p>
          <w:p w14:paraId="221D7E34">
            <w:pPr>
              <w:autoSpaceDE w:val="0"/>
              <w:autoSpaceDN w:val="0"/>
              <w:adjustRightInd w:val="0"/>
              <w:snapToGrid w:val="0"/>
              <w:spacing w:line="360" w:lineRule="auto"/>
              <w:ind w:firstLine="480" w:firstLineChars="200"/>
              <w:rPr>
                <w:rFonts w:ascii="Times New Roman" w:hAnsi="Times New Roman"/>
                <w:b/>
                <w:color w:val="auto"/>
                <w:szCs w:val="21"/>
              </w:rPr>
            </w:pPr>
            <w:r>
              <w:rPr>
                <w:rFonts w:ascii="Times New Roman" w:hAnsi="Times New Roman"/>
                <w:color w:val="auto"/>
                <w:kern w:val="0"/>
                <w:sz w:val="24"/>
              </w:rPr>
              <w:t>本项目位于</w:t>
            </w:r>
            <w:r>
              <w:rPr>
                <w:rFonts w:ascii="Times New Roman" w:hAnsi="Times New Roman"/>
                <w:color w:val="auto"/>
                <w:sz w:val="24"/>
              </w:rPr>
              <w:t>安徽省淮南市潘集区贺疃镇境内</w:t>
            </w:r>
            <w:r>
              <w:rPr>
                <w:rFonts w:ascii="Times New Roman" w:hAnsi="Times New Roman"/>
                <w:color w:val="auto"/>
                <w:sz w:val="24"/>
                <w:highlight w:val="none"/>
              </w:rPr>
              <w:t>，</w:t>
            </w:r>
            <w:r>
              <w:rPr>
                <w:rFonts w:hint="eastAsia" w:ascii="Times New Roman" w:hAnsi="Times New Roman"/>
                <w:color w:val="auto"/>
                <w:sz w:val="24"/>
                <w:highlight w:val="none"/>
                <w:lang w:eastAsia="zh-CN"/>
              </w:rPr>
              <w:t>2025年12月16日</w:t>
            </w:r>
            <w:r>
              <w:rPr>
                <w:rFonts w:ascii="Times New Roman" w:hAnsi="Times New Roman"/>
                <w:color w:val="auto"/>
                <w:sz w:val="24"/>
                <w:highlight w:val="none"/>
              </w:rPr>
              <w:t>，淮南市自然资源和规划局潘集分局出具了本项目临时用地初审意见。</w:t>
            </w:r>
            <w:r>
              <w:rPr>
                <w:rFonts w:ascii="Times New Roman" w:hAnsi="Times New Roman"/>
                <w:color w:val="auto"/>
                <w:sz w:val="24"/>
              </w:rPr>
              <w:t>项目涉及的</w:t>
            </w:r>
            <w:r>
              <w:rPr>
                <w:rFonts w:hint="eastAsia" w:ascii="Times New Roman" w:hAnsi="Times New Roman"/>
                <w:color w:val="auto"/>
                <w:sz w:val="24"/>
                <w:lang w:val="en-US" w:eastAsia="zh-CN"/>
              </w:rPr>
              <w:t>3</w:t>
            </w:r>
            <w:r>
              <w:rPr>
                <w:rFonts w:hint="eastAsia" w:ascii="Times New Roman" w:hAnsi="Times New Roman"/>
                <w:color w:val="auto"/>
                <w:sz w:val="24"/>
                <w:lang w:eastAsia="zh-CN"/>
              </w:rPr>
              <w:t>个井场</w:t>
            </w:r>
            <w:r>
              <w:rPr>
                <w:rFonts w:ascii="Times New Roman" w:hAnsi="Times New Roman"/>
                <w:color w:val="auto"/>
                <w:sz w:val="24"/>
              </w:rPr>
              <w:t>均为临时用</w:t>
            </w:r>
            <w:r>
              <w:rPr>
                <w:rFonts w:ascii="Times New Roman" w:hAnsi="Times New Roman"/>
                <w:color w:val="auto"/>
                <w:sz w:val="24"/>
                <w:highlight w:val="none"/>
              </w:rPr>
              <w:t>地，</w:t>
            </w:r>
            <w:r>
              <w:rPr>
                <w:rFonts w:hint="eastAsia" w:ascii="Times New Roman" w:hAnsi="Times New Roman"/>
                <w:color w:val="auto"/>
                <w:sz w:val="24"/>
                <w:highlight w:val="none"/>
              </w:rPr>
              <w:t>用地时长预计约</w:t>
            </w:r>
            <w:r>
              <w:rPr>
                <w:rFonts w:hint="eastAsia" w:ascii="Times New Roman" w:hAnsi="Times New Roman"/>
                <w:color w:val="auto"/>
                <w:sz w:val="24"/>
                <w:highlight w:val="none"/>
                <w:lang w:val="en-US" w:eastAsia="zh-CN"/>
              </w:rPr>
              <w:t>6</w:t>
            </w:r>
            <w:r>
              <w:rPr>
                <w:rFonts w:hint="eastAsia" w:ascii="Times New Roman" w:hAnsi="Times New Roman"/>
                <w:color w:val="auto"/>
                <w:sz w:val="24"/>
                <w:highlight w:val="none"/>
              </w:rPr>
              <w:t>个月</w:t>
            </w:r>
            <w:r>
              <w:rPr>
                <w:rFonts w:ascii="Times New Roman" w:hAnsi="Times New Roman"/>
                <w:color w:val="auto"/>
                <w:sz w:val="24"/>
                <w:highlight w:val="none"/>
              </w:rPr>
              <w:t>，施工结束后全部恢复原貌，完成复垦。</w:t>
            </w:r>
            <w:r>
              <w:rPr>
                <w:rFonts w:ascii="Times New Roman" w:hAnsi="Times New Roman"/>
                <w:color w:val="auto"/>
                <w:kern w:val="0"/>
                <w:sz w:val="24"/>
                <w:highlight w:val="none"/>
              </w:rPr>
              <w:t>通过与《淮南市生态保护红线分布图》进行对比，本项目所在区域不在淮南市生态保护红线范围内，选址周边其他无自然</w:t>
            </w:r>
            <w:r>
              <w:rPr>
                <w:rFonts w:ascii="Times New Roman" w:hAnsi="Times New Roman"/>
                <w:color w:val="auto"/>
                <w:kern w:val="0"/>
                <w:sz w:val="24"/>
              </w:rPr>
              <w:t>保护区、风景名胜区、世界文化和自然遗产地、森林公园、地质公园、重要湿地等敏感点存在，因此符合生态保护红线要求，</w:t>
            </w:r>
            <w:r>
              <w:rPr>
                <w:rFonts w:ascii="Times New Roman" w:hAnsi="Times New Roman"/>
                <w:kern w:val="0"/>
                <w:sz w:val="24"/>
              </w:rPr>
              <w:t>本项目在生态保护红线中的位置图见报</w:t>
            </w:r>
            <w:r>
              <w:rPr>
                <w:rFonts w:ascii="Times New Roman" w:hAnsi="Times New Roman"/>
                <w:color w:val="auto"/>
                <w:kern w:val="0"/>
                <w:sz w:val="24"/>
              </w:rPr>
              <w:t>告附图</w:t>
            </w:r>
            <w:r>
              <w:rPr>
                <w:rFonts w:hint="eastAsia" w:ascii="Times New Roman" w:hAnsi="Times New Roman"/>
                <w:color w:val="auto"/>
                <w:kern w:val="0"/>
                <w:sz w:val="24"/>
              </w:rPr>
              <w:t>5</w:t>
            </w:r>
            <w:r>
              <w:rPr>
                <w:rFonts w:ascii="Times New Roman" w:hAnsi="Times New Roman"/>
                <w:color w:val="auto"/>
                <w:kern w:val="0"/>
                <w:sz w:val="24"/>
              </w:rPr>
              <w:t>。</w:t>
            </w:r>
          </w:p>
          <w:p w14:paraId="4A3FF4E3">
            <w:pPr>
              <w:autoSpaceDE w:val="0"/>
              <w:autoSpaceDN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（2）分区管控要求</w:t>
            </w:r>
          </w:p>
          <w:p w14:paraId="36A65DE4">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①水环境管控分区管控要求</w:t>
            </w:r>
          </w:p>
          <w:p w14:paraId="7A064C04">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对照《淮南市水环境分区管控图》，本项目所在区域属于一般管控区，</w:t>
            </w:r>
          </w:p>
          <w:p w14:paraId="16015CB5">
            <w:pPr>
              <w:autoSpaceDE w:val="0"/>
              <w:autoSpaceDN w:val="0"/>
              <w:spacing w:line="360" w:lineRule="auto"/>
              <w:rPr>
                <w:rFonts w:ascii="Times New Roman" w:hAnsi="Times New Roman"/>
                <w:color w:val="auto"/>
                <w:kern w:val="0"/>
                <w:sz w:val="24"/>
              </w:rPr>
            </w:pPr>
            <w:r>
              <w:rPr>
                <w:rFonts w:ascii="Times New Roman" w:hAnsi="Times New Roman"/>
                <w:color w:val="auto"/>
                <w:kern w:val="0"/>
                <w:sz w:val="24"/>
              </w:rPr>
              <w:t>项目在淮南市水环境分区图中的位置图见报告附图</w:t>
            </w:r>
            <w:r>
              <w:rPr>
                <w:rFonts w:hint="eastAsia" w:ascii="Times New Roman" w:hAnsi="Times New Roman"/>
                <w:color w:val="auto"/>
                <w:kern w:val="0"/>
                <w:sz w:val="24"/>
              </w:rPr>
              <w:t>6</w:t>
            </w:r>
            <w:r>
              <w:rPr>
                <w:rFonts w:ascii="Times New Roman" w:hAnsi="Times New Roman"/>
                <w:color w:val="auto"/>
                <w:kern w:val="0"/>
                <w:sz w:val="24"/>
              </w:rPr>
              <w:t>。一般管控区分区管控要求如下：依据《中华人民共和国水污染防治法》《水污染防治行动计划》《安徽省水污染防治工作方案》及各市水污染防治工作方案对一般管控区实施管控；依据《安徽省淮河流域水污染防治条例》对淮河流域实施管控。</w:t>
            </w:r>
            <w:r>
              <w:rPr>
                <w:rFonts w:ascii="Times New Roman" w:hAnsi="Times New Roman"/>
                <w:color w:val="auto"/>
                <w:kern w:val="0"/>
                <w:sz w:val="24"/>
                <w:highlight w:val="none"/>
              </w:rPr>
              <w:t>本项目施工期无废水外排</w:t>
            </w:r>
            <w:r>
              <w:rPr>
                <w:rFonts w:ascii="Times New Roman" w:hAnsi="Times New Roman"/>
                <w:color w:val="auto"/>
                <w:kern w:val="0"/>
                <w:sz w:val="24"/>
              </w:rPr>
              <w:t>，项目区不设置员工食宿，员工食宿依托附近村庄，生活污水经化粪池处理后定期清掏</w:t>
            </w:r>
            <w:r>
              <w:rPr>
                <w:rFonts w:ascii="Times New Roman" w:hAnsi="Times New Roman"/>
                <w:kern w:val="0"/>
                <w:sz w:val="24"/>
              </w:rPr>
              <w:t>用于当地农作物施肥。</w:t>
            </w:r>
            <w:r>
              <w:rPr>
                <w:rFonts w:ascii="Times New Roman" w:hAnsi="Times New Roman"/>
                <w:color w:val="auto"/>
                <w:kern w:val="0"/>
                <w:sz w:val="24"/>
              </w:rPr>
              <w:t>项目实施钻井仅为施工期，每个井场需要对车</w:t>
            </w:r>
            <w:r>
              <w:rPr>
                <w:rFonts w:ascii="Times New Roman" w:hAnsi="Times New Roman"/>
                <w:color w:val="auto"/>
                <w:kern w:val="0"/>
                <w:sz w:val="24"/>
                <w:highlight w:val="none"/>
              </w:rPr>
              <w:t>辆冲洗，配套建设容积</w:t>
            </w:r>
            <w:r>
              <w:rPr>
                <w:rFonts w:hint="eastAsia" w:ascii="Times New Roman" w:hAnsi="Times New Roman"/>
                <w:color w:val="auto"/>
                <w:kern w:val="0"/>
                <w:sz w:val="24"/>
                <w:highlight w:val="none"/>
                <w:lang w:val="en-US" w:eastAsia="zh-CN"/>
              </w:rPr>
              <w:t>8</w:t>
            </w:r>
            <w:r>
              <w:rPr>
                <w:rFonts w:ascii="Times New Roman" w:hAnsi="Times New Roman"/>
                <w:color w:val="auto"/>
                <w:kern w:val="0"/>
                <w:sz w:val="24"/>
                <w:highlight w:val="none"/>
              </w:rPr>
              <w:t>m</w:t>
            </w:r>
            <w:r>
              <w:rPr>
                <w:rFonts w:ascii="Times New Roman" w:hAnsi="Times New Roman"/>
                <w:color w:val="auto"/>
                <w:kern w:val="0"/>
                <w:sz w:val="24"/>
                <w:highlight w:val="none"/>
                <w:vertAlign w:val="superscript"/>
              </w:rPr>
              <w:t>3</w:t>
            </w:r>
            <w:r>
              <w:rPr>
                <w:rFonts w:ascii="Times New Roman" w:hAnsi="Times New Roman"/>
                <w:color w:val="auto"/>
                <w:kern w:val="0"/>
                <w:sz w:val="24"/>
                <w:highlight w:val="none"/>
              </w:rPr>
              <w:t>循环沉淀池，车辆清洗废水</w:t>
            </w:r>
            <w:r>
              <w:rPr>
                <w:rFonts w:ascii="Times New Roman" w:hAnsi="Times New Roman"/>
                <w:kern w:val="0"/>
                <w:sz w:val="24"/>
              </w:rPr>
              <w:t>经沉淀池沉淀后循环使用，</w:t>
            </w:r>
            <w:r>
              <w:rPr>
                <w:rFonts w:ascii="Times New Roman" w:hAnsi="Times New Roman"/>
                <w:color w:val="auto"/>
                <w:kern w:val="0"/>
                <w:sz w:val="24"/>
                <w:highlight w:val="none"/>
              </w:rPr>
              <w:t>不外排；每个井场钻探废水</w:t>
            </w:r>
            <w:r>
              <w:rPr>
                <w:rFonts w:hint="eastAsia" w:ascii="Times New Roman" w:hAnsi="Times New Roman"/>
                <w:color w:val="auto"/>
                <w:kern w:val="0"/>
                <w:sz w:val="24"/>
                <w:highlight w:val="none"/>
                <w:lang w:eastAsia="zh-CN"/>
              </w:rPr>
              <w:t>设置</w:t>
            </w:r>
            <w:r>
              <w:rPr>
                <w:rFonts w:ascii="Times New Roman" w:hAnsi="Times New Roman"/>
                <w:color w:val="auto"/>
                <w:kern w:val="0"/>
                <w:sz w:val="24"/>
                <w:highlight w:val="none"/>
              </w:rPr>
              <w:t>1个</w:t>
            </w:r>
            <w:r>
              <w:rPr>
                <w:rFonts w:hint="eastAsia" w:ascii="Times New Roman" w:hAnsi="Times New Roman"/>
                <w:color w:val="auto"/>
                <w:kern w:val="0"/>
                <w:sz w:val="24"/>
                <w:highlight w:val="none"/>
                <w:lang w:eastAsia="zh-CN"/>
              </w:rPr>
              <w:t>泥浆池</w:t>
            </w:r>
            <w:r>
              <w:rPr>
                <w:rFonts w:ascii="Times New Roman" w:hAnsi="Times New Roman"/>
                <w:color w:val="auto"/>
                <w:kern w:val="0"/>
                <w:sz w:val="24"/>
                <w:highlight w:val="none"/>
              </w:rPr>
              <w:t>，容积</w:t>
            </w:r>
            <w:r>
              <w:rPr>
                <w:rFonts w:hint="eastAsia" w:ascii="Times New Roman" w:hAnsi="Times New Roman"/>
                <w:color w:val="auto"/>
                <w:kern w:val="0"/>
                <w:sz w:val="24"/>
                <w:highlight w:val="none"/>
                <w:lang w:val="en-US" w:eastAsia="zh-CN"/>
              </w:rPr>
              <w:t>36</w:t>
            </w:r>
            <w:r>
              <w:rPr>
                <w:rFonts w:ascii="Times New Roman" w:hAnsi="Times New Roman"/>
                <w:color w:val="auto"/>
                <w:kern w:val="0"/>
                <w:sz w:val="24"/>
                <w:highlight w:val="none"/>
              </w:rPr>
              <w:t>m</w:t>
            </w:r>
            <w:r>
              <w:rPr>
                <w:rFonts w:ascii="Times New Roman" w:hAnsi="Times New Roman"/>
                <w:color w:val="auto"/>
                <w:kern w:val="0"/>
                <w:sz w:val="24"/>
                <w:highlight w:val="none"/>
                <w:vertAlign w:val="superscript"/>
              </w:rPr>
              <w:t>3</w:t>
            </w:r>
            <w:r>
              <w:rPr>
                <w:rFonts w:ascii="Times New Roman" w:hAnsi="Times New Roman"/>
                <w:color w:val="auto"/>
                <w:kern w:val="0"/>
                <w:sz w:val="24"/>
                <w:highlight w:val="none"/>
              </w:rPr>
              <w:t>，设置设1个干化池，容积</w:t>
            </w:r>
            <w:r>
              <w:rPr>
                <w:rFonts w:hint="eastAsia" w:ascii="Times New Roman" w:hAnsi="Times New Roman"/>
                <w:color w:val="auto"/>
                <w:kern w:val="0"/>
                <w:sz w:val="24"/>
                <w:highlight w:val="none"/>
                <w:lang w:val="en-US" w:eastAsia="zh-CN"/>
              </w:rPr>
              <w:t>36</w:t>
            </w:r>
            <w:r>
              <w:rPr>
                <w:rFonts w:ascii="Times New Roman" w:hAnsi="Times New Roman"/>
                <w:color w:val="auto"/>
                <w:kern w:val="0"/>
                <w:sz w:val="24"/>
                <w:highlight w:val="none"/>
              </w:rPr>
              <w:t>m</w:t>
            </w:r>
            <w:r>
              <w:rPr>
                <w:rFonts w:ascii="Times New Roman" w:hAnsi="Times New Roman"/>
                <w:color w:val="auto"/>
                <w:kern w:val="0"/>
                <w:sz w:val="24"/>
                <w:highlight w:val="none"/>
                <w:vertAlign w:val="superscript"/>
              </w:rPr>
              <w:t>3</w:t>
            </w:r>
            <w:r>
              <w:rPr>
                <w:rFonts w:ascii="Times New Roman" w:hAnsi="Times New Roman"/>
                <w:color w:val="auto"/>
                <w:kern w:val="0"/>
                <w:sz w:val="24"/>
                <w:highlight w:val="none"/>
              </w:rPr>
              <w:t>，钻探废水经沉淀后回用于钻探</w:t>
            </w:r>
            <w:r>
              <w:rPr>
                <w:rFonts w:hint="eastAsia" w:ascii="Times New Roman" w:hAnsi="Times New Roman"/>
                <w:color w:val="auto"/>
                <w:kern w:val="0"/>
                <w:sz w:val="24"/>
                <w:highlight w:val="none"/>
              </w:rPr>
              <w:t>工序，</w:t>
            </w:r>
            <w:r>
              <w:rPr>
                <w:rFonts w:ascii="Times New Roman" w:hAnsi="Times New Roman"/>
                <w:color w:val="auto"/>
                <w:kern w:val="0"/>
                <w:sz w:val="24"/>
                <w:highlight w:val="none"/>
              </w:rPr>
              <w:t>不直接排入地表水环境，符合《中华人民共和国水污染防治法》《水污染防治行动计划》《安徽省水污染防治工作方案》以及《安徽省淮河流域水污染防治条例》中要求，符合分区</w:t>
            </w:r>
            <w:r>
              <w:rPr>
                <w:rFonts w:ascii="Times New Roman" w:hAnsi="Times New Roman"/>
                <w:color w:val="auto"/>
                <w:kern w:val="0"/>
                <w:sz w:val="24"/>
              </w:rPr>
              <w:t>管控要求。</w:t>
            </w:r>
          </w:p>
          <w:p w14:paraId="7190E2DE">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②大气环境分区管控要求</w:t>
            </w:r>
          </w:p>
          <w:p w14:paraId="564662F4">
            <w:pPr>
              <w:autoSpaceDE w:val="0"/>
              <w:autoSpaceDN w:val="0"/>
              <w:spacing w:line="360" w:lineRule="auto"/>
              <w:ind w:firstLine="480" w:firstLineChars="200"/>
              <w:rPr>
                <w:rFonts w:ascii="Times New Roman" w:hAnsi="Times New Roman"/>
                <w:b/>
                <w:color w:val="auto"/>
                <w:szCs w:val="21"/>
              </w:rPr>
            </w:pPr>
            <w:r>
              <w:rPr>
                <w:rFonts w:ascii="Times New Roman" w:hAnsi="Times New Roman"/>
                <w:color w:val="auto"/>
                <w:kern w:val="0"/>
                <w:sz w:val="24"/>
              </w:rPr>
              <w:t>对照《淮南市大气环境分区管控图》，本项目所在区域属于大气环境一般管控区，项目在淮南市大气环境分区图中的</w:t>
            </w:r>
            <w:r>
              <w:rPr>
                <w:rFonts w:hint="eastAsia" w:ascii="Times New Roman" w:hAnsi="Times New Roman"/>
                <w:color w:val="auto"/>
                <w:kern w:val="0"/>
                <w:sz w:val="24"/>
                <w:lang w:eastAsia="zh-CN"/>
              </w:rPr>
              <w:t>位置</w:t>
            </w:r>
            <w:r>
              <w:rPr>
                <w:rFonts w:ascii="Times New Roman" w:hAnsi="Times New Roman"/>
                <w:color w:val="auto"/>
                <w:kern w:val="0"/>
                <w:sz w:val="24"/>
              </w:rPr>
              <w:t>见报告附图</w:t>
            </w:r>
            <w:r>
              <w:rPr>
                <w:rFonts w:hint="eastAsia" w:ascii="Times New Roman" w:hAnsi="Times New Roman"/>
                <w:color w:val="auto"/>
                <w:kern w:val="0"/>
                <w:sz w:val="24"/>
              </w:rPr>
              <w:t>7</w:t>
            </w:r>
            <w:r>
              <w:rPr>
                <w:rFonts w:ascii="Times New Roman" w:hAnsi="Times New Roman"/>
                <w:color w:val="auto"/>
                <w:kern w:val="0"/>
                <w:sz w:val="24"/>
              </w:rPr>
              <w:t>。根据《淮南市</w:t>
            </w:r>
            <w:r>
              <w:rPr>
                <w:rFonts w:hint="eastAsia" w:ascii="Times New Roman" w:hAnsi="Times New Roman"/>
                <w:color w:val="auto"/>
                <w:kern w:val="0"/>
                <w:sz w:val="24"/>
                <w:lang w:eastAsia="zh-CN"/>
              </w:rPr>
              <w:t>“</w:t>
            </w:r>
            <w:r>
              <w:rPr>
                <w:rFonts w:ascii="Times New Roman" w:hAnsi="Times New Roman"/>
                <w:color w:val="auto"/>
                <w:kern w:val="0"/>
                <w:sz w:val="24"/>
              </w:rPr>
              <w:t>三线一单</w:t>
            </w:r>
            <w:r>
              <w:rPr>
                <w:rFonts w:hint="eastAsia" w:ascii="Times New Roman" w:hAnsi="Times New Roman"/>
                <w:color w:val="auto"/>
                <w:kern w:val="0"/>
                <w:sz w:val="24"/>
                <w:lang w:eastAsia="zh-CN"/>
              </w:rPr>
              <w:t>”</w:t>
            </w:r>
            <w:r>
              <w:rPr>
                <w:rFonts w:ascii="Times New Roman" w:hAnsi="Times New Roman"/>
                <w:color w:val="auto"/>
                <w:kern w:val="0"/>
                <w:sz w:val="24"/>
              </w:rPr>
              <w:t>文本》，本项目所在区域属于大气环境一般管控区。依据《中华人民共和国大气污染防治法》等法律法规和规章对一般管控区实施管控。上年度PM</w:t>
            </w:r>
            <w:r>
              <w:rPr>
                <w:rFonts w:ascii="Times New Roman" w:hAnsi="Times New Roman"/>
                <w:color w:val="auto"/>
                <w:kern w:val="0"/>
                <w:sz w:val="24"/>
                <w:vertAlign w:val="subscript"/>
              </w:rPr>
              <w:t>2.5</w:t>
            </w:r>
            <w:r>
              <w:rPr>
                <w:rFonts w:ascii="Times New Roman" w:hAnsi="Times New Roman"/>
                <w:color w:val="auto"/>
                <w:kern w:val="0"/>
                <w:sz w:val="24"/>
              </w:rPr>
              <w:t>不达标城市新建、改建和扩建项目大气污染物实施</w:t>
            </w:r>
            <w:r>
              <w:rPr>
                <w:rFonts w:hint="eastAsia" w:ascii="Times New Roman" w:hAnsi="Times New Roman"/>
                <w:color w:val="auto"/>
                <w:kern w:val="0"/>
                <w:sz w:val="24"/>
                <w:lang w:eastAsia="zh-CN"/>
              </w:rPr>
              <w:t>“</w:t>
            </w:r>
            <w:r>
              <w:rPr>
                <w:rFonts w:ascii="Times New Roman" w:hAnsi="Times New Roman"/>
                <w:color w:val="auto"/>
                <w:kern w:val="0"/>
                <w:sz w:val="24"/>
              </w:rPr>
              <w:t>倍量替代</w:t>
            </w:r>
            <w:r>
              <w:rPr>
                <w:rFonts w:hint="eastAsia" w:ascii="Times New Roman" w:hAnsi="Times New Roman"/>
                <w:color w:val="auto"/>
                <w:kern w:val="0"/>
                <w:sz w:val="24"/>
                <w:lang w:eastAsia="zh-CN"/>
              </w:rPr>
              <w:t>”，对</w:t>
            </w:r>
            <w:r>
              <w:rPr>
                <w:rFonts w:ascii="Times New Roman" w:hAnsi="Times New Roman"/>
                <w:color w:val="auto"/>
                <w:kern w:val="0"/>
                <w:sz w:val="24"/>
              </w:rPr>
              <w:t>执行特别排放标准的行业实施提标升级改造。本项目仅施工期产生少量颗粒物，通过洒水抑尘等方式减小</w:t>
            </w:r>
            <w:r>
              <w:rPr>
                <w:rFonts w:hint="eastAsia" w:ascii="Times New Roman" w:hAnsi="Times New Roman"/>
                <w:color w:val="auto"/>
                <w:kern w:val="0"/>
                <w:sz w:val="24"/>
              </w:rPr>
              <w:t>颗粒物</w:t>
            </w:r>
            <w:r>
              <w:rPr>
                <w:rFonts w:ascii="Times New Roman" w:hAnsi="Times New Roman"/>
                <w:color w:val="auto"/>
                <w:kern w:val="0"/>
                <w:sz w:val="24"/>
              </w:rPr>
              <w:t>影响，符合分区管控要求。</w:t>
            </w:r>
          </w:p>
          <w:p w14:paraId="4E44802C">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③土壤环境分区管控要求</w:t>
            </w:r>
          </w:p>
          <w:p w14:paraId="2E9FC86F">
            <w:pPr>
              <w:autoSpaceDE w:val="0"/>
              <w:autoSpaceDN w:val="0"/>
              <w:spacing w:line="360" w:lineRule="auto"/>
              <w:ind w:firstLine="480" w:firstLineChars="200"/>
              <w:rPr>
                <w:rFonts w:ascii="Times New Roman" w:hAnsi="Times New Roman"/>
                <w:b/>
                <w:color w:val="auto"/>
                <w:szCs w:val="21"/>
              </w:rPr>
            </w:pPr>
            <w:r>
              <w:rPr>
                <w:rFonts w:ascii="Times New Roman" w:hAnsi="Times New Roman"/>
                <w:color w:val="auto"/>
                <w:kern w:val="0"/>
                <w:sz w:val="24"/>
              </w:rPr>
              <w:t>对照《淮南市土壤环境分区管控图》，本项目属于土壤环境优先保护区，项目在淮南市土壤污染风险分区图中的</w:t>
            </w:r>
            <w:r>
              <w:rPr>
                <w:rFonts w:hint="eastAsia" w:ascii="Times New Roman" w:hAnsi="Times New Roman"/>
                <w:color w:val="auto"/>
                <w:kern w:val="0"/>
                <w:sz w:val="24"/>
                <w:lang w:eastAsia="zh-CN"/>
              </w:rPr>
              <w:t>位置</w:t>
            </w:r>
            <w:r>
              <w:rPr>
                <w:rFonts w:ascii="Times New Roman" w:hAnsi="Times New Roman"/>
                <w:color w:val="auto"/>
                <w:kern w:val="0"/>
                <w:sz w:val="24"/>
              </w:rPr>
              <w:t>见报告附图</w:t>
            </w:r>
            <w:r>
              <w:rPr>
                <w:rFonts w:hint="eastAsia" w:ascii="Times New Roman" w:hAnsi="Times New Roman"/>
                <w:color w:val="auto"/>
                <w:kern w:val="0"/>
                <w:sz w:val="24"/>
              </w:rPr>
              <w:t>8</w:t>
            </w:r>
            <w:r>
              <w:rPr>
                <w:rFonts w:ascii="Times New Roman" w:hAnsi="Times New Roman"/>
                <w:color w:val="auto"/>
                <w:kern w:val="0"/>
                <w:sz w:val="24"/>
              </w:rPr>
              <w:t>。依据《中华人民共和国土壤污染防治法》《土壤污染防治行动计划》《安徽省土壤污染防治工作方案》《安徽省</w:t>
            </w:r>
            <w:r>
              <w:rPr>
                <w:rFonts w:hint="eastAsia" w:ascii="Times New Roman" w:hAnsi="Times New Roman"/>
                <w:color w:val="auto"/>
                <w:kern w:val="0"/>
                <w:sz w:val="24"/>
                <w:lang w:eastAsia="zh-CN"/>
              </w:rPr>
              <w:t>“</w:t>
            </w:r>
            <w:r>
              <w:rPr>
                <w:rFonts w:ascii="Times New Roman" w:hAnsi="Times New Roman"/>
                <w:color w:val="auto"/>
                <w:kern w:val="0"/>
                <w:sz w:val="24"/>
              </w:rPr>
              <w:t>十四五</w:t>
            </w:r>
            <w:r>
              <w:rPr>
                <w:rFonts w:hint="eastAsia" w:ascii="Times New Roman" w:hAnsi="Times New Roman"/>
                <w:color w:val="auto"/>
                <w:kern w:val="0"/>
                <w:sz w:val="24"/>
                <w:lang w:eastAsia="zh-CN"/>
              </w:rPr>
              <w:t>”</w:t>
            </w:r>
            <w:r>
              <w:rPr>
                <w:rFonts w:ascii="Times New Roman" w:hAnsi="Times New Roman"/>
                <w:color w:val="auto"/>
                <w:kern w:val="0"/>
                <w:sz w:val="24"/>
              </w:rPr>
              <w:t>生态环境保护规划》等要求及各市土壤污染防治工作方案对土壤环境优先保护区管控。本项目施工时使用的泥浆添加剂不含有毒有害成分，固井用</w:t>
            </w:r>
            <w:r>
              <w:rPr>
                <w:rFonts w:hint="eastAsia" w:ascii="Times New Roman" w:hAnsi="Times New Roman"/>
                <w:color w:val="auto"/>
                <w:kern w:val="0"/>
                <w:sz w:val="24"/>
              </w:rPr>
              <w:t>商品混凝土</w:t>
            </w:r>
            <w:r>
              <w:rPr>
                <w:rFonts w:ascii="Times New Roman" w:hAnsi="Times New Roman"/>
                <w:color w:val="auto"/>
                <w:kern w:val="0"/>
                <w:sz w:val="24"/>
              </w:rPr>
              <w:t>为普通/复合硅酸盐水泥，质量符合国家标准，因此不存在土壤污染风险，符合分区管控措施。</w:t>
            </w:r>
          </w:p>
          <w:p w14:paraId="6431C02A">
            <w:pPr>
              <w:autoSpaceDE w:val="0"/>
              <w:autoSpaceDN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（3）环境质量底线</w:t>
            </w:r>
          </w:p>
          <w:p w14:paraId="7A793A31">
            <w:pPr>
              <w:pStyle w:val="35"/>
              <w:adjustRightInd/>
              <w:snapToGrid/>
              <w:ind w:firstLine="480"/>
              <w:jc w:val="both"/>
              <w:rPr>
                <w:color w:val="auto"/>
                <w:sz w:val="24"/>
              </w:rPr>
            </w:pPr>
            <w:r>
              <w:rPr>
                <w:color w:val="auto"/>
                <w:sz w:val="24"/>
              </w:rPr>
              <w:t>①环境空气质量</w:t>
            </w:r>
          </w:p>
          <w:p w14:paraId="11D8A6F2">
            <w:pPr>
              <w:pStyle w:val="35"/>
              <w:adjustRightInd/>
              <w:snapToGrid/>
              <w:ind w:firstLine="480"/>
              <w:jc w:val="both"/>
              <w:rPr>
                <w:color w:val="auto"/>
                <w:sz w:val="24"/>
              </w:rPr>
            </w:pPr>
            <w:r>
              <w:rPr>
                <w:color w:val="auto"/>
                <w:sz w:val="24"/>
              </w:rPr>
              <w:t>根据淮南市生态环境局发布的《2024年淮南市生态环境质量状况公报》，淮南市市区环境空气中的主要污染物二氧化硫（SO</w:t>
            </w:r>
            <w:r>
              <w:rPr>
                <w:color w:val="auto"/>
                <w:sz w:val="24"/>
                <w:vertAlign w:val="subscript"/>
              </w:rPr>
              <w:t>2</w:t>
            </w:r>
            <w:r>
              <w:rPr>
                <w:color w:val="auto"/>
                <w:sz w:val="24"/>
              </w:rPr>
              <w:t>）年均浓度、二氧化氮（NO</w:t>
            </w:r>
            <w:r>
              <w:rPr>
                <w:color w:val="auto"/>
                <w:sz w:val="24"/>
                <w:vertAlign w:val="subscript"/>
              </w:rPr>
              <w:t>2</w:t>
            </w:r>
            <w:r>
              <w:rPr>
                <w:color w:val="auto"/>
                <w:sz w:val="24"/>
              </w:rPr>
              <w:t>）年均浓度、可吸入颗粒物（PM</w:t>
            </w:r>
            <w:r>
              <w:rPr>
                <w:color w:val="auto"/>
                <w:sz w:val="24"/>
                <w:vertAlign w:val="subscript"/>
              </w:rPr>
              <w:t>10</w:t>
            </w:r>
            <w:r>
              <w:rPr>
                <w:color w:val="auto"/>
                <w:sz w:val="24"/>
              </w:rPr>
              <w:t>）年均浓度、细颗粒物（PM</w:t>
            </w:r>
            <w:r>
              <w:rPr>
                <w:color w:val="auto"/>
                <w:sz w:val="24"/>
                <w:vertAlign w:val="subscript"/>
              </w:rPr>
              <w:t>2.5</w:t>
            </w:r>
            <w:r>
              <w:rPr>
                <w:color w:val="auto"/>
                <w:sz w:val="24"/>
              </w:rPr>
              <w:t>）年均浓度、一氧化碳（CO）日均值第95百分位浓度、臭氧（O</w:t>
            </w:r>
            <w:r>
              <w:rPr>
                <w:color w:val="auto"/>
                <w:sz w:val="24"/>
                <w:vertAlign w:val="subscript"/>
              </w:rPr>
              <w:t>3</w:t>
            </w:r>
            <w:r>
              <w:rPr>
                <w:color w:val="auto"/>
                <w:sz w:val="24"/>
              </w:rPr>
              <w:t>）日最大8小时平均第90百分位浓度分别为7微克/立方米、19微克/立方米、65微克/立方米、40微克/立方米、0.8毫克/立方米和160微克/立方米，二氧化硫（SO</w:t>
            </w:r>
            <w:r>
              <w:rPr>
                <w:color w:val="auto"/>
                <w:sz w:val="24"/>
                <w:vertAlign w:val="subscript"/>
              </w:rPr>
              <w:t>2</w:t>
            </w:r>
            <w:r>
              <w:rPr>
                <w:color w:val="auto"/>
                <w:sz w:val="24"/>
              </w:rPr>
              <w:t>）、二氧化氮（NO</w:t>
            </w:r>
            <w:r>
              <w:rPr>
                <w:color w:val="auto"/>
                <w:sz w:val="24"/>
                <w:vertAlign w:val="subscript"/>
              </w:rPr>
              <w:t>2</w:t>
            </w:r>
            <w:r>
              <w:rPr>
                <w:color w:val="auto"/>
                <w:sz w:val="24"/>
              </w:rPr>
              <w:t>）、可吸入颗粒物（PM</w:t>
            </w:r>
            <w:r>
              <w:rPr>
                <w:color w:val="auto"/>
                <w:sz w:val="24"/>
                <w:vertAlign w:val="subscript"/>
              </w:rPr>
              <w:t>10</w:t>
            </w:r>
            <w:r>
              <w:rPr>
                <w:color w:val="auto"/>
                <w:sz w:val="24"/>
              </w:rPr>
              <w:t>）年均浓度、臭氧（O</w:t>
            </w:r>
            <w:r>
              <w:rPr>
                <w:color w:val="auto"/>
                <w:sz w:val="24"/>
                <w:vertAlign w:val="subscript"/>
              </w:rPr>
              <w:t>3</w:t>
            </w:r>
            <w:r>
              <w:rPr>
                <w:color w:val="auto"/>
                <w:sz w:val="24"/>
              </w:rPr>
              <w:t>）和一氧化碳（CO）均符合《环境空气质量标准》（GB3095-2012）二级标准，细颗粒物（PM</w:t>
            </w:r>
            <w:r>
              <w:rPr>
                <w:color w:val="auto"/>
                <w:sz w:val="24"/>
                <w:vertAlign w:val="subscript"/>
              </w:rPr>
              <w:t>2.5</w:t>
            </w:r>
            <w:r>
              <w:rPr>
                <w:color w:val="auto"/>
                <w:sz w:val="24"/>
              </w:rPr>
              <w:t>）年均浓度超过《环境空气质量标准》（GB3095-2012）二级标准。项目仅施工期废气，主要有施工扬尘</w:t>
            </w:r>
            <w:r>
              <w:rPr>
                <w:rFonts w:hint="eastAsia"/>
                <w:color w:val="auto"/>
                <w:sz w:val="24"/>
              </w:rPr>
              <w:t>、</w:t>
            </w:r>
            <w:r>
              <w:rPr>
                <w:color w:val="auto"/>
                <w:sz w:val="24"/>
              </w:rPr>
              <w:t>车辆和施工机械尾气</w:t>
            </w:r>
            <w:r>
              <w:rPr>
                <w:rFonts w:hint="eastAsia"/>
                <w:color w:val="auto"/>
                <w:sz w:val="24"/>
              </w:rPr>
              <w:t>，</w:t>
            </w:r>
            <w:r>
              <w:rPr>
                <w:color w:val="auto"/>
                <w:sz w:val="24"/>
              </w:rPr>
              <w:t>通过洒水抑尘等方式减小</w:t>
            </w:r>
            <w:r>
              <w:rPr>
                <w:rFonts w:hint="eastAsia"/>
                <w:color w:val="auto"/>
                <w:sz w:val="24"/>
              </w:rPr>
              <w:t>扬尘</w:t>
            </w:r>
            <w:r>
              <w:rPr>
                <w:color w:val="auto"/>
                <w:sz w:val="24"/>
              </w:rPr>
              <w:t>影响</w:t>
            </w:r>
            <w:r>
              <w:rPr>
                <w:rFonts w:hint="eastAsia"/>
                <w:color w:val="auto"/>
                <w:sz w:val="24"/>
              </w:rPr>
              <w:t>，</w:t>
            </w:r>
            <w:r>
              <w:rPr>
                <w:color w:val="auto"/>
                <w:sz w:val="24"/>
              </w:rPr>
              <w:t>本项目在采用相应的污染防治措施后各污染物均能达标排放，对周围环境影响较小，本项目的建设不会恶化区域环境质量功能，不会触碰区域环境质量底线。</w:t>
            </w:r>
          </w:p>
          <w:p w14:paraId="4795A2F4">
            <w:pPr>
              <w:pStyle w:val="35"/>
              <w:adjustRightInd/>
              <w:snapToGrid/>
              <w:ind w:firstLine="480"/>
              <w:jc w:val="both"/>
              <w:rPr>
                <w:color w:val="auto"/>
                <w:sz w:val="24"/>
              </w:rPr>
            </w:pPr>
            <w:r>
              <w:rPr>
                <w:color w:val="auto"/>
                <w:sz w:val="24"/>
              </w:rPr>
              <w:t>②地表水环境</w:t>
            </w:r>
          </w:p>
          <w:p w14:paraId="59283CBE">
            <w:pPr>
              <w:pStyle w:val="35"/>
              <w:adjustRightInd/>
              <w:snapToGrid/>
              <w:ind w:firstLine="480"/>
              <w:jc w:val="both"/>
              <w:rPr>
                <w:color w:val="auto"/>
                <w:sz w:val="24"/>
              </w:rPr>
            </w:pPr>
            <w:r>
              <w:rPr>
                <w:color w:val="auto"/>
                <w:sz w:val="24"/>
              </w:rPr>
              <w:t>根据淮南市生态环境局发布的《2024年淮南市生态环境质量状况公报》，2024年淮南市地表水24个监测断面中优良水质比例为91.7%，比上年下降了4.1个百分点，Ⅳ类水质比例8.3%，总体水质状况优。</w:t>
            </w:r>
          </w:p>
          <w:p w14:paraId="369A2973">
            <w:pPr>
              <w:pStyle w:val="35"/>
              <w:adjustRightInd/>
              <w:snapToGrid/>
              <w:ind w:firstLine="480"/>
              <w:jc w:val="both"/>
              <w:rPr>
                <w:color w:val="auto"/>
                <w:sz w:val="24"/>
                <w:highlight w:val="none"/>
              </w:rPr>
            </w:pPr>
            <w:r>
              <w:rPr>
                <w:color w:val="auto"/>
                <w:sz w:val="24"/>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本项目施工期无废水外排，项目区不设置员工食宿，员工食宿依托附近村庄，生活污</w:t>
            </w:r>
            <w:r>
              <w:rPr>
                <w:color w:val="auto"/>
                <w:sz w:val="24"/>
                <w:highlight w:val="none"/>
              </w:rPr>
              <w:t>水经化粪池处理后定期清掏用于当地农作物施肥。项目实施钻井仅为施工期，每个井场需要对车辆冲洗</w:t>
            </w:r>
            <w:r>
              <w:rPr>
                <w:rFonts w:hint="eastAsia"/>
                <w:color w:val="auto"/>
                <w:sz w:val="24"/>
                <w:highlight w:val="none"/>
              </w:rPr>
              <w:t>，</w:t>
            </w:r>
            <w:r>
              <w:rPr>
                <w:color w:val="auto"/>
                <w:sz w:val="24"/>
                <w:highlight w:val="none"/>
              </w:rPr>
              <w:t>车辆清洗废水经沉淀池沉淀后循环使用，不外排；</w:t>
            </w:r>
            <w:r>
              <w:rPr>
                <w:rFonts w:hint="eastAsia"/>
                <w:color w:val="auto"/>
                <w:sz w:val="24"/>
                <w:highlight w:val="none"/>
                <w:lang w:val="en-US" w:eastAsia="zh-CN"/>
              </w:rPr>
              <w:t>洗井废水利用泥浆池上清水，清洗后返回泥浆池内，不外排；抽水试验废水排入清水池，施工单位根据抽水试验水质全成分检测结果进行针对性处置，若水质质量满足农田灌溉要求，则与周边农户协商好之后，用于</w:t>
            </w:r>
            <w:r>
              <w:rPr>
                <w:rFonts w:hint="eastAsia"/>
                <w:color w:val="auto"/>
                <w:sz w:val="24"/>
              </w:rPr>
              <w:t>周边农田灌溉使用</w:t>
            </w:r>
            <w:r>
              <w:rPr>
                <w:rFonts w:hint="eastAsia"/>
                <w:color w:val="auto"/>
                <w:sz w:val="24"/>
                <w:highlight w:val="none"/>
                <w:lang w:val="en-US" w:eastAsia="zh-CN"/>
              </w:rPr>
              <w:t>，若水质质量不满足农田灌溉要求，则委托有处置能力单位进行处置</w:t>
            </w:r>
            <w:r>
              <w:rPr>
                <w:rFonts w:hint="eastAsia"/>
                <w:color w:val="auto"/>
                <w:sz w:val="24"/>
                <w:highlight w:val="none"/>
                <w:lang w:eastAsia="zh-CN"/>
              </w:rPr>
              <w:t>；</w:t>
            </w:r>
            <w:r>
              <w:rPr>
                <w:color w:val="auto"/>
                <w:sz w:val="24"/>
                <w:highlight w:val="none"/>
              </w:rPr>
              <w:t>每个井场钻探废水经沉淀后回用于钻探</w:t>
            </w:r>
            <w:r>
              <w:rPr>
                <w:rFonts w:hint="eastAsia"/>
                <w:color w:val="auto"/>
                <w:sz w:val="24"/>
                <w:highlight w:val="none"/>
              </w:rPr>
              <w:t>工序，</w:t>
            </w:r>
            <w:r>
              <w:rPr>
                <w:color w:val="auto"/>
                <w:sz w:val="24"/>
                <w:highlight w:val="none"/>
              </w:rPr>
              <w:t>不直接排入地表水环境</w:t>
            </w:r>
            <w:r>
              <w:rPr>
                <w:rFonts w:hint="eastAsia"/>
                <w:color w:val="auto"/>
                <w:sz w:val="24"/>
                <w:highlight w:val="none"/>
              </w:rPr>
              <w:t>。</w:t>
            </w:r>
          </w:p>
          <w:p w14:paraId="4572B65F">
            <w:pPr>
              <w:pStyle w:val="35"/>
              <w:adjustRightInd/>
              <w:snapToGrid/>
              <w:ind w:firstLine="480"/>
              <w:jc w:val="both"/>
              <w:rPr>
                <w:color w:val="auto"/>
                <w:sz w:val="24"/>
                <w:highlight w:val="none"/>
              </w:rPr>
            </w:pPr>
            <w:r>
              <w:rPr>
                <w:color w:val="auto"/>
                <w:sz w:val="24"/>
                <w:highlight w:val="none"/>
              </w:rPr>
              <w:t>综上所述，项目废气</w:t>
            </w:r>
            <w:r>
              <w:rPr>
                <w:rFonts w:hint="eastAsia"/>
                <w:color w:val="auto"/>
                <w:sz w:val="24"/>
                <w:highlight w:val="none"/>
              </w:rPr>
              <w:t>、</w:t>
            </w:r>
            <w:r>
              <w:rPr>
                <w:color w:val="auto"/>
                <w:sz w:val="24"/>
                <w:highlight w:val="none"/>
              </w:rPr>
              <w:t>废水在采取报告表提出的治理措施后，能够达到相应的标准要求，对周边环境影响较小。因此本项目符合环境质量底线要求。</w:t>
            </w:r>
          </w:p>
          <w:p w14:paraId="378E1E08">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（4）资源利用上线</w:t>
            </w:r>
          </w:p>
          <w:p w14:paraId="2C43352B">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项目</w:t>
            </w:r>
            <w:r>
              <w:rPr>
                <w:rFonts w:hint="eastAsia" w:ascii="Times New Roman" w:hAnsi="Times New Roman"/>
                <w:color w:val="auto"/>
                <w:kern w:val="0"/>
                <w:sz w:val="24"/>
                <w:highlight w:val="none"/>
              </w:rPr>
              <w:t>施工用水依托井场周边村庄，采用罐车拉运生产用水，生活用水为桶装纯净水</w:t>
            </w:r>
            <w:r>
              <w:rPr>
                <w:rFonts w:ascii="Times New Roman" w:hAnsi="Times New Roman"/>
                <w:color w:val="auto"/>
                <w:kern w:val="0"/>
                <w:sz w:val="24"/>
                <w:highlight w:val="none"/>
              </w:rPr>
              <w:t>，</w:t>
            </w:r>
            <w:r>
              <w:rPr>
                <w:rFonts w:hint="eastAsia" w:ascii="Times New Roman" w:hAnsi="Times New Roman"/>
                <w:color w:val="auto"/>
                <w:kern w:val="0"/>
                <w:sz w:val="24"/>
                <w:highlight w:val="none"/>
              </w:rPr>
              <w:t>用电依托当地供电系统</w:t>
            </w:r>
            <w:r>
              <w:rPr>
                <w:rFonts w:ascii="Times New Roman" w:hAnsi="Times New Roman"/>
                <w:color w:val="auto"/>
                <w:kern w:val="0"/>
                <w:sz w:val="24"/>
                <w:highlight w:val="none"/>
              </w:rPr>
              <w:t>，项目不会突破当地资源利用上线；符合当地规划要求，亦不会达到资源利用上线。</w:t>
            </w:r>
          </w:p>
          <w:p w14:paraId="079819EA">
            <w:pPr>
              <w:spacing w:line="360" w:lineRule="auto"/>
              <w:ind w:firstLine="482"/>
              <w:rPr>
                <w:rFonts w:ascii="Times New Roman" w:hAnsi="Times New Roman"/>
                <w:color w:val="auto"/>
                <w:sz w:val="24"/>
                <w:highlight w:val="none"/>
              </w:rPr>
            </w:pPr>
            <w:r>
              <w:rPr>
                <w:rFonts w:ascii="Times New Roman" w:hAnsi="Times New Roman"/>
                <w:color w:val="auto"/>
                <w:sz w:val="24"/>
                <w:highlight w:val="none"/>
              </w:rPr>
              <w:t>（5）生态环境准入清单</w:t>
            </w:r>
          </w:p>
          <w:p w14:paraId="0C20122B">
            <w:pPr>
              <w:pStyle w:val="32"/>
              <w:spacing w:line="360" w:lineRule="auto"/>
              <w:ind w:firstLine="480" w:firstLineChars="200"/>
              <w:jc w:val="both"/>
              <w:rPr>
                <w:rFonts w:ascii="Times New Roman" w:hAnsi="Times New Roman"/>
                <w:color w:val="auto"/>
              </w:rPr>
            </w:pPr>
            <w:r>
              <w:rPr>
                <w:rFonts w:hint="default" w:ascii="Times New Roman" w:hAnsi="Times New Roman" w:cs="Times New Roman"/>
                <w:color w:val="auto"/>
                <w:sz w:val="24"/>
                <w:szCs w:val="24"/>
                <w:lang w:val="en-US" w:eastAsia="zh-CN"/>
              </w:rPr>
              <w:t>本项目位于淮南市</w:t>
            </w:r>
            <w:r>
              <w:rPr>
                <w:rFonts w:hint="eastAsia" w:ascii="Times New Roman" w:hAnsi="Times New Roman" w:cs="Times New Roman"/>
                <w:color w:val="auto"/>
                <w:sz w:val="24"/>
                <w:szCs w:val="24"/>
                <w:lang w:val="en-US" w:eastAsia="zh-CN"/>
              </w:rPr>
              <w:t>潘集区贺疃镇</w:t>
            </w:r>
            <w:r>
              <w:rPr>
                <w:rFonts w:hint="default" w:ascii="Times New Roman" w:hAnsi="Times New Roman" w:cs="Times New Roman"/>
                <w:color w:val="auto"/>
                <w:sz w:val="24"/>
                <w:szCs w:val="24"/>
                <w:lang w:val="en-US" w:eastAsia="zh-CN"/>
              </w:rPr>
              <w:t>境内，经与安徽省</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公众服务平台查询分析可知，本项目与</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个环境管控单元存在交叠（环境管控单元编码ZH34040630004），其中优先保护类0个，重点管控类0个，一般管控</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个，属于一般管控单元</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w:t>
            </w:r>
          </w:p>
        </w:tc>
      </w:tr>
    </w:tbl>
    <w:p w14:paraId="58B5FA34">
      <w:pPr>
        <w:autoSpaceDE w:val="0"/>
        <w:autoSpaceDN w:val="0"/>
        <w:adjustRightInd w:val="0"/>
        <w:snapToGrid w:val="0"/>
        <w:jc w:val="center"/>
        <w:rPr>
          <w:rFonts w:ascii="Times New Roman" w:hAnsi="Times New Roman"/>
          <w:color w:val="auto"/>
          <w:kern w:val="0"/>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bookmarkEnd w:id="4"/>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121"/>
      </w:tblGrid>
      <w:tr w14:paraId="71B5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tcPr>
          <w:p w14:paraId="28063993">
            <w:pPr>
              <w:autoSpaceDE w:val="0"/>
              <w:autoSpaceDN w:val="0"/>
              <w:adjustRightInd w:val="0"/>
              <w:snapToGrid w:val="0"/>
              <w:jc w:val="center"/>
              <w:rPr>
                <w:rFonts w:ascii="Times New Roman" w:hAnsi="Times New Roman"/>
                <w:color w:val="auto"/>
                <w:kern w:val="0"/>
                <w:sz w:val="24"/>
                <w:vertAlign w:val="baseline"/>
              </w:rPr>
            </w:pPr>
          </w:p>
        </w:tc>
        <w:tc>
          <w:tcPr>
            <w:tcW w:w="12121" w:type="dxa"/>
          </w:tcPr>
          <w:p w14:paraId="502C43FE">
            <w:pPr>
              <w:pStyle w:val="36"/>
              <w:keepNext/>
              <w:keepLines w:val="0"/>
              <w:pageBreakBefore w:val="0"/>
              <w:widowControl w:val="0"/>
              <w:kinsoku/>
              <w:wordWrap/>
              <w:overflowPunct/>
              <w:topLinePunct w:val="0"/>
              <w:autoSpaceDE/>
              <w:autoSpaceDN/>
              <w:bidi w:val="0"/>
              <w:adjustRightInd/>
              <w:snapToGrid/>
              <w:spacing w:line="360" w:lineRule="auto"/>
              <w:textAlignment w:val="auto"/>
              <w:rPr>
                <w:color w:val="auto"/>
              </w:rPr>
            </w:pPr>
          </w:p>
          <w:p w14:paraId="114C12F1">
            <w:pPr>
              <w:pStyle w:val="36"/>
              <w:keepNext/>
              <w:keepLines w:val="0"/>
              <w:pageBreakBefore w:val="0"/>
              <w:widowControl w:val="0"/>
              <w:kinsoku/>
              <w:wordWrap/>
              <w:overflowPunct/>
              <w:topLinePunct w:val="0"/>
              <w:autoSpaceDE/>
              <w:autoSpaceDN/>
              <w:bidi w:val="0"/>
              <w:adjustRightInd/>
              <w:snapToGrid/>
              <w:spacing w:line="360" w:lineRule="auto"/>
              <w:textAlignment w:val="auto"/>
              <w:rPr>
                <w:color w:val="auto"/>
              </w:rPr>
            </w:pPr>
            <w:r>
              <w:rPr>
                <w:sz w:val="21"/>
              </w:rPr>
              <mc:AlternateContent>
                <mc:Choice Requires="wps">
                  <w:drawing>
                    <wp:anchor distT="0" distB="0" distL="114300" distR="114300" simplePos="0" relativeHeight="251664384" behindDoc="0" locked="0" layoutInCell="1" allowOverlap="1">
                      <wp:simplePos x="0" y="0"/>
                      <wp:positionH relativeFrom="column">
                        <wp:posOffset>4749165</wp:posOffset>
                      </wp:positionH>
                      <wp:positionV relativeFrom="paragraph">
                        <wp:posOffset>1285875</wp:posOffset>
                      </wp:positionV>
                      <wp:extent cx="704215" cy="629285"/>
                      <wp:effectExtent l="379095" t="6350" r="21590" b="202565"/>
                      <wp:wrapNone/>
                      <wp:docPr id="17" name="线形标注 1 17"/>
                      <wp:cNvGraphicFramePr/>
                      <a:graphic xmlns:a="http://schemas.openxmlformats.org/drawingml/2006/main">
                        <a:graphicData uri="http://schemas.microsoft.com/office/word/2010/wordprocessingShape">
                          <wps:wsp>
                            <wps:cNvSpPr/>
                            <wps:spPr>
                              <a:xfrm>
                                <a:off x="0" y="0"/>
                                <a:ext cx="704215" cy="629285"/>
                              </a:xfrm>
                              <a:prstGeom prst="borderCallout1">
                                <a:avLst>
                                  <a:gd name="adj1" fmla="val 18750"/>
                                  <a:gd name="adj2" fmla="val -8333"/>
                                  <a:gd name="adj3" fmla="val 128960"/>
                                  <a:gd name="adj4" fmla="val -53020"/>
                                </a:avLst>
                              </a:prstGeom>
                              <a:noFill/>
                              <a:ln>
                                <a:solidFill>
                                  <a:schemeClr val="tx1"/>
                                </a:solidFill>
                              </a:ln>
                              <a:extLst>
                                <a:ext uri="{909E8E84-426E-40DD-AFC4-6F175D3DCCD1}">
                                  <a14:hiddenFill xmlns:a14="http://schemas.microsoft.com/office/drawing/2010/main">
                                    <a:solidFill>
                                      <a:schemeClr val="tx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01C5A6C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373.95pt;margin-top:101.25pt;height:49.55pt;width:55.45pt;z-index:251664384;v-text-anchor:middle;mso-width-relative:page;mso-height-relative:page;" filled="f" stroked="t" coordsize="21600,21600" o:gfxdata="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nIuvKdwAAAALAQAADwAAAAAAAAABACAAAAAiAAAAZHJzL2Rvd25yZXYu&#10;eG1sUEsBAhQAFAAAAAgAh07iQLewifkUAwAAbAYAAA4AAAAAAAAAAQAgAAAAKwEAAGRycy9lMm9E&#10;b2MueG1sUEsFBgAAAAAGAAYAWQEAALEGAAAAAA==&#10;" adj="-11452,27855,-1800,4050">
                      <v:fill on="f" focussize="0,0"/>
                      <v:stroke weight="1pt" color="#000000 [3213]" miterlimit="8" joinstyle="miter"/>
                      <v:imagedata o:title=""/>
                      <o:lock v:ext="edit" aspectratio="f"/>
                      <v:textbox>
                        <w:txbxContent>
                          <w:p w14:paraId="01C5A6C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4751070</wp:posOffset>
                      </wp:positionH>
                      <wp:positionV relativeFrom="paragraph">
                        <wp:posOffset>1284605</wp:posOffset>
                      </wp:positionV>
                      <wp:extent cx="704215" cy="629285"/>
                      <wp:effectExtent l="1708785" t="6350" r="6350" b="12065"/>
                      <wp:wrapNone/>
                      <wp:docPr id="16" name="线形标注 1 16"/>
                      <wp:cNvGraphicFramePr/>
                      <a:graphic xmlns:a="http://schemas.openxmlformats.org/drawingml/2006/main">
                        <a:graphicData uri="http://schemas.microsoft.com/office/word/2010/wordprocessingShape">
                          <wps:wsp>
                            <wps:cNvSpPr/>
                            <wps:spPr>
                              <a:xfrm>
                                <a:off x="6249670" y="2493010"/>
                                <a:ext cx="704215" cy="629285"/>
                              </a:xfrm>
                              <a:prstGeom prst="borderCallout1">
                                <a:avLst>
                                  <a:gd name="adj1" fmla="val 18750"/>
                                  <a:gd name="adj2" fmla="val -8333"/>
                                  <a:gd name="adj3" fmla="val 88597"/>
                                  <a:gd name="adj4" fmla="val -242380"/>
                                </a:avLst>
                              </a:prstGeom>
                              <a:noFill/>
                              <a:ln>
                                <a:solidFill>
                                  <a:schemeClr val="tx1"/>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675B3E8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374.1pt;margin-top:101.15pt;height:49.55pt;width:55.45pt;z-index:251663360;v-text-anchor:middle;mso-width-relative:page;mso-height-relative:page;" filled="f" stroked="t" coordsize="21600,21600" o:gfxdata="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mQLNH1gAAAAsBAAAPAAAAAAAAAAEAIAAAACIA&#10;AABkcnMvZG93bnJldi54bWxQSwECFAAUAAAACACHTuJAAFnnligDAAB4BgAADgAAAAAAAAABACAA&#10;AAAlAQAAZHJzL2Uyb0RvYy54bWxQSwUGAAAAAAYABgBZAQAAvwYAAAAA&#10;" adj="-52354,19137,-1800,4050">
                      <v:fill on="f" focussize="0,0"/>
                      <v:stroke weight="1pt" color="#000000 [3213]" miterlimit="8" joinstyle="miter"/>
                      <v:imagedata o:title=""/>
                      <o:lock v:ext="edit" aspectratio="f"/>
                      <v:textbox>
                        <w:txbxContent>
                          <w:p w14:paraId="675B3E8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drawing>
                <wp:anchor distT="0" distB="0" distL="114300" distR="114300" simplePos="0" relativeHeight="251660288" behindDoc="0" locked="0" layoutInCell="1" allowOverlap="1">
                  <wp:simplePos x="0" y="0"/>
                  <wp:positionH relativeFrom="column">
                    <wp:posOffset>4300855</wp:posOffset>
                  </wp:positionH>
                  <wp:positionV relativeFrom="paragraph">
                    <wp:posOffset>2039620</wp:posOffset>
                  </wp:positionV>
                  <wp:extent cx="76200" cy="76200"/>
                  <wp:effectExtent l="0" t="0" r="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76200" cy="7620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2950845</wp:posOffset>
                  </wp:positionH>
                  <wp:positionV relativeFrom="paragraph">
                    <wp:posOffset>1819910</wp:posOffset>
                  </wp:positionV>
                  <wp:extent cx="76200" cy="76200"/>
                  <wp:effectExtent l="0" t="0" r="0"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76200" cy="762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2842260</wp:posOffset>
                  </wp:positionH>
                  <wp:positionV relativeFrom="paragraph">
                    <wp:posOffset>1796415</wp:posOffset>
                  </wp:positionV>
                  <wp:extent cx="76200" cy="76200"/>
                  <wp:effectExtent l="0" t="0" r="0" b="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76200" cy="76200"/>
                          </a:xfrm>
                          <a:prstGeom prst="rect">
                            <a:avLst/>
                          </a:prstGeom>
                          <a:noFill/>
                          <a:ln>
                            <a:noFill/>
                          </a:ln>
                        </pic:spPr>
                      </pic:pic>
                    </a:graphicData>
                  </a:graphic>
                </wp:anchor>
              </w:drawing>
            </w:r>
            <w:r>
              <w:drawing>
                <wp:inline distT="0" distB="0" distL="114300" distR="114300">
                  <wp:extent cx="7545070" cy="3372485"/>
                  <wp:effectExtent l="0" t="0" r="1778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7545070" cy="3372485"/>
                          </a:xfrm>
                          <a:prstGeom prst="rect">
                            <a:avLst/>
                          </a:prstGeom>
                          <a:noFill/>
                          <a:ln>
                            <a:noFill/>
                          </a:ln>
                        </pic:spPr>
                      </pic:pic>
                    </a:graphicData>
                  </a:graphic>
                </wp:inline>
              </w:drawing>
            </w:r>
          </w:p>
          <w:p w14:paraId="515F25A3">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图1-1  三线一单管控图</w:t>
            </w:r>
          </w:p>
          <w:p w14:paraId="77FBD434">
            <w:pPr>
              <w:pStyle w:val="36"/>
              <w:keepNext/>
              <w:keepLines w:val="0"/>
              <w:pageBreakBefore w:val="0"/>
              <w:widowControl w:val="0"/>
              <w:kinsoku/>
              <w:wordWrap/>
              <w:overflowPunct/>
              <w:topLinePunct w:val="0"/>
              <w:autoSpaceDE/>
              <w:autoSpaceDN/>
              <w:bidi w:val="0"/>
              <w:adjustRightInd/>
              <w:snapToGrid/>
              <w:spacing w:line="360" w:lineRule="auto"/>
              <w:textAlignment w:val="auto"/>
              <w:rPr>
                <w:color w:val="auto"/>
              </w:rPr>
            </w:pPr>
          </w:p>
          <w:p w14:paraId="1C454AB0">
            <w:pPr>
              <w:pStyle w:val="36"/>
              <w:keepNext/>
              <w:keepLines w:val="0"/>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表1-</w:t>
            </w:r>
            <w:r>
              <w:rPr>
                <w:rFonts w:hint="eastAsia"/>
                <w:color w:val="auto"/>
                <w:lang w:val="en-US" w:eastAsia="zh-CN"/>
              </w:rPr>
              <w:t xml:space="preserve">3  </w:t>
            </w:r>
            <w:r>
              <w:rPr>
                <w:color w:val="auto"/>
              </w:rPr>
              <w:t>环境准入负面清单分析对照</w:t>
            </w:r>
          </w:p>
          <w:tbl>
            <w:tblPr>
              <w:tblStyle w:val="24"/>
              <w:tblW w:w="11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59"/>
              <w:gridCol w:w="941"/>
              <w:gridCol w:w="571"/>
              <w:gridCol w:w="3641"/>
              <w:gridCol w:w="3675"/>
              <w:gridCol w:w="733"/>
            </w:tblGrid>
            <w:tr w14:paraId="52FE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0" w:type="dxa"/>
                  <w:vAlign w:val="center"/>
                </w:tcPr>
                <w:p w14:paraId="38633069">
                  <w:pPr>
                    <w:jc w:val="center"/>
                    <w:rPr>
                      <w:rFonts w:ascii="Times New Roman" w:hAnsi="Times New Roman"/>
                      <w:b/>
                      <w:bCs/>
                      <w:color w:val="auto"/>
                      <w:sz w:val="21"/>
                      <w:szCs w:val="21"/>
                      <w:highlight w:val="none"/>
                      <w:lang w:val="zh-CN"/>
                    </w:rPr>
                  </w:pPr>
                  <w:r>
                    <w:rPr>
                      <w:rFonts w:hint="eastAsia" w:ascii="Times New Roman" w:hAnsi="Times New Roman"/>
                      <w:b/>
                      <w:bCs/>
                      <w:color w:val="auto"/>
                      <w:sz w:val="21"/>
                      <w:szCs w:val="21"/>
                      <w:highlight w:val="none"/>
                      <w:lang w:val="zh-CN"/>
                    </w:rPr>
                    <w:t>环境管控单元编码</w:t>
                  </w:r>
                </w:p>
              </w:tc>
              <w:tc>
                <w:tcPr>
                  <w:tcW w:w="959" w:type="dxa"/>
                  <w:vAlign w:val="center"/>
                </w:tcPr>
                <w:p w14:paraId="2CA7A6E5">
                  <w:pPr>
                    <w:jc w:val="center"/>
                    <w:rPr>
                      <w:rFonts w:ascii="Times New Roman" w:hAnsi="Times New Roman"/>
                      <w:b/>
                      <w:bCs/>
                      <w:color w:val="auto"/>
                      <w:sz w:val="21"/>
                      <w:szCs w:val="21"/>
                      <w:highlight w:val="none"/>
                      <w:lang w:val="zh-CN"/>
                    </w:rPr>
                  </w:pPr>
                  <w:r>
                    <w:rPr>
                      <w:rFonts w:hint="eastAsia" w:ascii="Times New Roman" w:hAnsi="Times New Roman"/>
                      <w:b/>
                      <w:bCs/>
                      <w:color w:val="auto"/>
                      <w:sz w:val="21"/>
                      <w:szCs w:val="21"/>
                      <w:highlight w:val="none"/>
                      <w:lang w:val="zh-CN"/>
                    </w:rPr>
                    <w:t>环境管控单元名称</w:t>
                  </w:r>
                </w:p>
              </w:tc>
              <w:tc>
                <w:tcPr>
                  <w:tcW w:w="941" w:type="dxa"/>
                  <w:vAlign w:val="center"/>
                </w:tcPr>
                <w:p w14:paraId="5C1A9A50">
                  <w:pPr>
                    <w:jc w:val="center"/>
                    <w:rPr>
                      <w:rFonts w:ascii="Times New Roman" w:hAnsi="Times New Roman"/>
                      <w:b/>
                      <w:bCs/>
                      <w:color w:val="auto"/>
                      <w:sz w:val="21"/>
                      <w:szCs w:val="21"/>
                      <w:highlight w:val="none"/>
                      <w:lang w:val="zh-CN"/>
                    </w:rPr>
                  </w:pPr>
                  <w:r>
                    <w:rPr>
                      <w:rFonts w:hint="eastAsia" w:ascii="Times New Roman" w:hAnsi="Times New Roman"/>
                      <w:b/>
                      <w:bCs/>
                      <w:color w:val="auto"/>
                      <w:sz w:val="21"/>
                      <w:szCs w:val="21"/>
                      <w:highlight w:val="none"/>
                      <w:lang w:val="zh-CN"/>
                    </w:rPr>
                    <w:t>环境管控单元分类</w:t>
                  </w:r>
                </w:p>
              </w:tc>
              <w:tc>
                <w:tcPr>
                  <w:tcW w:w="571" w:type="dxa"/>
                  <w:vAlign w:val="center"/>
                </w:tcPr>
                <w:p w14:paraId="777E2708">
                  <w:pPr>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管控类别</w:t>
                  </w:r>
                </w:p>
              </w:tc>
              <w:tc>
                <w:tcPr>
                  <w:tcW w:w="3641" w:type="dxa"/>
                  <w:vAlign w:val="center"/>
                </w:tcPr>
                <w:p w14:paraId="0929FCC0">
                  <w:pPr>
                    <w:jc w:val="center"/>
                    <w:rPr>
                      <w:rFonts w:ascii="Times New Roman" w:hAnsi="Times New Roman"/>
                      <w:b/>
                      <w:bCs/>
                      <w:color w:val="auto"/>
                      <w:sz w:val="21"/>
                      <w:szCs w:val="21"/>
                      <w:highlight w:val="none"/>
                      <w:lang w:val="zh-CN"/>
                    </w:rPr>
                  </w:pPr>
                  <w:r>
                    <w:rPr>
                      <w:rFonts w:hint="eastAsia" w:ascii="Times New Roman" w:hAnsi="Times New Roman"/>
                      <w:b/>
                      <w:bCs/>
                      <w:color w:val="auto"/>
                      <w:sz w:val="21"/>
                      <w:szCs w:val="21"/>
                      <w:highlight w:val="none"/>
                      <w:lang w:val="zh-CN"/>
                    </w:rPr>
                    <w:t>管控要求</w:t>
                  </w:r>
                </w:p>
              </w:tc>
              <w:tc>
                <w:tcPr>
                  <w:tcW w:w="3675" w:type="dxa"/>
                  <w:vAlign w:val="center"/>
                </w:tcPr>
                <w:p w14:paraId="40F297BE">
                  <w:pPr>
                    <w:jc w:val="center"/>
                    <w:rPr>
                      <w:rFonts w:ascii="Times New Roman" w:hAnsi="Times New Roman"/>
                      <w:b/>
                      <w:bCs/>
                      <w:color w:val="auto"/>
                      <w:sz w:val="21"/>
                      <w:szCs w:val="21"/>
                      <w:highlight w:val="none"/>
                      <w:lang w:val="zh-CN"/>
                    </w:rPr>
                  </w:pPr>
                  <w:r>
                    <w:rPr>
                      <w:rFonts w:hint="eastAsia" w:ascii="Times New Roman" w:hAnsi="Times New Roman"/>
                      <w:b/>
                      <w:bCs/>
                      <w:color w:val="auto"/>
                      <w:sz w:val="21"/>
                      <w:szCs w:val="21"/>
                      <w:highlight w:val="none"/>
                      <w:lang w:val="zh-CN"/>
                    </w:rPr>
                    <w:t>本项目情况</w:t>
                  </w:r>
                </w:p>
              </w:tc>
              <w:tc>
                <w:tcPr>
                  <w:tcW w:w="733" w:type="dxa"/>
                  <w:vAlign w:val="center"/>
                </w:tcPr>
                <w:p w14:paraId="012AFD0C">
                  <w:pPr>
                    <w:jc w:val="center"/>
                    <w:rPr>
                      <w:rFonts w:ascii="Times New Roman" w:hAnsi="Times New Roman"/>
                      <w:b/>
                      <w:bCs/>
                      <w:color w:val="auto"/>
                      <w:sz w:val="21"/>
                      <w:szCs w:val="21"/>
                      <w:highlight w:val="none"/>
                      <w:lang w:val="zh-CN"/>
                    </w:rPr>
                  </w:pPr>
                  <w:r>
                    <w:rPr>
                      <w:rFonts w:hint="eastAsia" w:ascii="Times New Roman" w:hAnsi="Times New Roman"/>
                      <w:b/>
                      <w:bCs/>
                      <w:color w:val="auto"/>
                      <w:sz w:val="21"/>
                      <w:szCs w:val="21"/>
                      <w:highlight w:val="none"/>
                      <w:lang w:val="zh-CN"/>
                    </w:rPr>
                    <w:t>符合性分析</w:t>
                  </w:r>
                </w:p>
              </w:tc>
            </w:tr>
            <w:tr w14:paraId="21B7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0" w:type="dxa"/>
                  <w:vMerge w:val="restart"/>
                  <w:vAlign w:val="center"/>
                </w:tcPr>
                <w:p w14:paraId="5933BA24">
                  <w:pPr>
                    <w:jc w:val="center"/>
                    <w:rPr>
                      <w:rFonts w:ascii="Times New Roman" w:hAnsi="Times New Roman"/>
                      <w:color w:val="auto"/>
                      <w:sz w:val="21"/>
                      <w:szCs w:val="21"/>
                      <w:highlight w:val="none"/>
                      <w:lang w:val="zh-CN"/>
                    </w:rPr>
                  </w:pPr>
                  <w:r>
                    <w:rPr>
                      <w:rFonts w:hint="eastAsia" w:ascii="Times New Roman" w:hAnsi="Times New Roman"/>
                      <w:color w:val="auto"/>
                      <w:sz w:val="21"/>
                      <w:szCs w:val="21"/>
                      <w:highlight w:val="none"/>
                      <w:lang w:val="zh-CN"/>
                    </w:rPr>
                    <w:t>ZH340</w:t>
                  </w:r>
                  <w:r>
                    <w:rPr>
                      <w:rFonts w:hint="eastAsia" w:ascii="Times New Roman" w:hAnsi="Times New Roman"/>
                      <w:color w:val="auto"/>
                      <w:sz w:val="21"/>
                      <w:szCs w:val="21"/>
                      <w:highlight w:val="none"/>
                    </w:rPr>
                    <w:t>406</w:t>
                  </w:r>
                  <w:r>
                    <w:rPr>
                      <w:rFonts w:hint="eastAsia" w:ascii="Times New Roman" w:hAnsi="Times New Roman"/>
                      <w:color w:val="auto"/>
                      <w:sz w:val="21"/>
                      <w:szCs w:val="21"/>
                      <w:highlight w:val="none"/>
                      <w:lang w:val="zh-CN"/>
                    </w:rPr>
                    <w:t>3000</w:t>
                  </w:r>
                  <w:r>
                    <w:rPr>
                      <w:rFonts w:hint="eastAsia" w:ascii="Times New Roman" w:hAnsi="Times New Roman"/>
                      <w:color w:val="auto"/>
                      <w:sz w:val="21"/>
                      <w:szCs w:val="21"/>
                      <w:highlight w:val="none"/>
                    </w:rPr>
                    <w:t>4</w:t>
                  </w:r>
                </w:p>
              </w:tc>
              <w:tc>
                <w:tcPr>
                  <w:tcW w:w="959" w:type="dxa"/>
                  <w:vMerge w:val="restart"/>
                  <w:vAlign w:val="center"/>
                </w:tcPr>
                <w:p w14:paraId="7C9E1851">
                  <w:pPr>
                    <w:jc w:val="center"/>
                    <w:rPr>
                      <w:rFonts w:ascii="Times New Roman" w:hAnsi="Times New Roman"/>
                      <w:color w:val="auto"/>
                      <w:sz w:val="21"/>
                      <w:szCs w:val="21"/>
                      <w:highlight w:val="none"/>
                      <w:lang w:val="zh-CN"/>
                    </w:rPr>
                  </w:pPr>
                  <w:r>
                    <w:rPr>
                      <w:rFonts w:hint="eastAsia" w:ascii="Times New Roman" w:hAnsi="Times New Roman"/>
                      <w:color w:val="auto"/>
                      <w:sz w:val="21"/>
                      <w:szCs w:val="21"/>
                      <w:highlight w:val="none"/>
                      <w:lang w:val="zh-CN"/>
                    </w:rPr>
                    <w:t>一般管控单元</w:t>
                  </w:r>
                  <w:r>
                    <w:rPr>
                      <w:rFonts w:hint="eastAsia" w:ascii="Times New Roman" w:hAnsi="Times New Roman"/>
                      <w:color w:val="auto"/>
                      <w:sz w:val="21"/>
                      <w:szCs w:val="21"/>
                      <w:highlight w:val="none"/>
                    </w:rPr>
                    <w:t>5</w:t>
                  </w:r>
                </w:p>
              </w:tc>
              <w:tc>
                <w:tcPr>
                  <w:tcW w:w="941" w:type="dxa"/>
                  <w:vMerge w:val="restart"/>
                  <w:vAlign w:val="center"/>
                </w:tcPr>
                <w:p w14:paraId="37EBBB3A">
                  <w:pPr>
                    <w:jc w:val="center"/>
                    <w:rPr>
                      <w:rFonts w:ascii="Times New Roman" w:hAnsi="Times New Roman"/>
                      <w:color w:val="auto"/>
                      <w:sz w:val="21"/>
                      <w:szCs w:val="21"/>
                      <w:highlight w:val="none"/>
                      <w:lang w:val="zh-CN"/>
                    </w:rPr>
                  </w:pPr>
                  <w:r>
                    <w:rPr>
                      <w:rFonts w:hint="eastAsia" w:ascii="Times New Roman" w:hAnsi="Times New Roman"/>
                      <w:color w:val="auto"/>
                      <w:sz w:val="21"/>
                      <w:szCs w:val="21"/>
                      <w:highlight w:val="none"/>
                      <w:lang w:val="zh-CN"/>
                    </w:rPr>
                    <w:t>一般管控单元</w:t>
                  </w:r>
                </w:p>
              </w:tc>
              <w:tc>
                <w:tcPr>
                  <w:tcW w:w="571" w:type="dxa"/>
                  <w:vAlign w:val="center"/>
                </w:tcPr>
                <w:p w14:paraId="6A8BDEDB">
                  <w:pPr>
                    <w:jc w:val="center"/>
                    <w:rPr>
                      <w:rFonts w:ascii="Times New Roman" w:hAnsi="Times New Roman"/>
                      <w:color w:val="auto"/>
                      <w:sz w:val="21"/>
                      <w:szCs w:val="21"/>
                      <w:highlight w:val="none"/>
                      <w:lang w:val="zh-CN"/>
                    </w:rPr>
                  </w:pPr>
                  <w:r>
                    <w:rPr>
                      <w:rFonts w:hint="eastAsia" w:ascii="Times New Roman" w:hAnsi="Times New Roman"/>
                      <w:color w:val="auto"/>
                      <w:sz w:val="21"/>
                      <w:szCs w:val="21"/>
                      <w:highlight w:val="none"/>
                      <w:lang w:val="zh-CN"/>
                    </w:rPr>
                    <w:t>空间布局约束</w:t>
                  </w:r>
                </w:p>
              </w:tc>
              <w:tc>
                <w:tcPr>
                  <w:tcW w:w="3641" w:type="dxa"/>
                  <w:vAlign w:val="center"/>
                </w:tcPr>
                <w:p w14:paraId="3958F3C7">
                  <w:pPr>
                    <w:jc w:val="center"/>
                    <w:rPr>
                      <w:rFonts w:ascii="Times New Roman" w:hAnsi="Times New Roman"/>
                      <w:color w:val="auto"/>
                      <w:sz w:val="21"/>
                      <w:szCs w:val="21"/>
                      <w:highlight w:val="none"/>
                      <w:lang w:val="zh-CN"/>
                    </w:rPr>
                  </w:pPr>
                  <w:r>
                    <w:rPr>
                      <w:rFonts w:hint="eastAsia" w:ascii="Times New Roman" w:hAnsi="Times New Roman"/>
                      <w:color w:val="auto"/>
                      <w:sz w:val="21"/>
                      <w:szCs w:val="21"/>
                      <w:highlight w:val="none"/>
                      <w:lang w:val="zh-CN"/>
                    </w:rPr>
                    <w:t>1、禁止任何单位和个人在基本农田保护区内建窑、建房、建坟、挖砂、采石、采矿、取土、堆放固体废弃物或者进行其他破坏基本农田的活动；2、在永久基本农田集中区域，不得规划新建可能造成土壤污染的建设项目；3、实行耕地保护补偿激励制度，具体按照国家和省有关规定执行。加大优先保护类耕地保护力度，综合采取占补数量和质量平衡、高标准农田建设、周边污染企业搬迁整治等措施；4、优先保护类耕地集中区域现有可能造成土壤污染的相关行业企业应当按照有关规定采取措施，防止对耕地造成污染。</w:t>
                  </w:r>
                </w:p>
              </w:tc>
              <w:tc>
                <w:tcPr>
                  <w:tcW w:w="3675" w:type="dxa"/>
                  <w:vAlign w:val="center"/>
                </w:tcPr>
                <w:p w14:paraId="034B227A">
                  <w:pPr>
                    <w:pStyle w:val="55"/>
                    <w:spacing w:line="240" w:lineRule="auto"/>
                    <w:ind w:firstLine="0" w:firstLineChars="0"/>
                    <w:jc w:val="center"/>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根据淮南市生态保护红线图</w:t>
                  </w:r>
                  <w:r>
                    <w:rPr>
                      <w:rFonts w:hint="eastAsia"/>
                      <w:color w:val="auto"/>
                      <w:sz w:val="21"/>
                      <w:szCs w:val="21"/>
                      <w:highlight w:val="none"/>
                    </w:rPr>
                    <w:t>，本项目</w:t>
                  </w:r>
                  <w:r>
                    <w:rPr>
                      <w:rFonts w:hint="eastAsia"/>
                      <w:color w:val="auto"/>
                      <w:sz w:val="21"/>
                      <w:szCs w:val="21"/>
                      <w:highlight w:val="none"/>
                      <w:lang w:val="en-US" w:eastAsia="zh-CN"/>
                    </w:rPr>
                    <w:t>评价区域</w:t>
                  </w:r>
                  <w:r>
                    <w:rPr>
                      <w:rFonts w:hint="eastAsia"/>
                      <w:color w:val="auto"/>
                      <w:sz w:val="21"/>
                      <w:szCs w:val="21"/>
                      <w:highlight w:val="none"/>
                    </w:rPr>
                    <w:t>不涉及生态</w:t>
                  </w:r>
                  <w:r>
                    <w:rPr>
                      <w:rFonts w:hint="eastAsia"/>
                      <w:color w:val="auto"/>
                      <w:sz w:val="21"/>
                      <w:szCs w:val="21"/>
                      <w:highlight w:val="none"/>
                      <w:lang w:val="en-US" w:eastAsia="zh-CN"/>
                    </w:rPr>
                    <w:t>保护</w:t>
                  </w:r>
                  <w:r>
                    <w:rPr>
                      <w:rFonts w:hint="eastAsia"/>
                      <w:color w:val="auto"/>
                      <w:sz w:val="21"/>
                      <w:szCs w:val="21"/>
                      <w:highlight w:val="none"/>
                    </w:rPr>
                    <w:t>红线</w:t>
                  </w:r>
                  <w:r>
                    <w:rPr>
                      <w:rFonts w:hint="eastAsia"/>
                      <w:color w:val="auto"/>
                      <w:sz w:val="21"/>
                      <w:szCs w:val="21"/>
                      <w:highlight w:val="none"/>
                      <w:lang w:val="zh-CN"/>
                    </w:rPr>
                    <w:t>；</w:t>
                  </w:r>
                  <w:r>
                    <w:rPr>
                      <w:rFonts w:hint="eastAsia"/>
                      <w:color w:val="auto"/>
                      <w:sz w:val="21"/>
                      <w:szCs w:val="21"/>
                      <w:highlight w:val="none"/>
                    </w:rPr>
                    <w:t>2、</w:t>
                  </w:r>
                  <w:r>
                    <w:rPr>
                      <w:rFonts w:ascii="Times New Roman" w:hAnsi="Times New Roman"/>
                      <w:color w:val="auto"/>
                      <w:sz w:val="21"/>
                      <w:szCs w:val="21"/>
                      <w:highlight w:val="none"/>
                    </w:rPr>
                    <w:t>本项目</w:t>
                  </w:r>
                  <w:r>
                    <w:rPr>
                      <w:rFonts w:hint="eastAsia"/>
                      <w:color w:val="auto"/>
                      <w:sz w:val="21"/>
                      <w:szCs w:val="21"/>
                      <w:highlight w:val="none"/>
                      <w:lang w:val="en-US" w:eastAsia="zh-CN"/>
                    </w:rPr>
                    <w:t>3</w:t>
                  </w:r>
                  <w:r>
                    <w:rPr>
                      <w:rFonts w:hint="eastAsia" w:ascii="Times New Roman" w:hAnsi="Times New Roman"/>
                      <w:color w:val="auto"/>
                      <w:sz w:val="21"/>
                      <w:szCs w:val="21"/>
                      <w:highlight w:val="none"/>
                      <w:lang w:val="en-US" w:eastAsia="zh-CN"/>
                    </w:rPr>
                    <w:t>个井场均</w:t>
                  </w:r>
                  <w:r>
                    <w:rPr>
                      <w:rFonts w:ascii="Times New Roman" w:hAnsi="Times New Roman"/>
                      <w:color w:val="auto"/>
                      <w:sz w:val="21"/>
                      <w:szCs w:val="21"/>
                      <w:highlight w:val="none"/>
                    </w:rPr>
                    <w:t>涉及基本农田</w:t>
                  </w:r>
                  <w:r>
                    <w:rPr>
                      <w:rFonts w:hint="eastAsia"/>
                      <w:color w:val="auto"/>
                      <w:sz w:val="21"/>
                      <w:szCs w:val="21"/>
                      <w:highlight w:val="none"/>
                      <w:lang w:eastAsia="zh-CN"/>
                    </w:rPr>
                    <w:t>，</w:t>
                  </w:r>
                  <w:r>
                    <w:rPr>
                      <w:rFonts w:hint="eastAsia"/>
                      <w:color w:val="auto"/>
                      <w:sz w:val="21"/>
                      <w:szCs w:val="21"/>
                      <w:highlight w:val="none"/>
                      <w:lang w:val="en-US" w:eastAsia="zh-CN"/>
                    </w:rPr>
                    <w:t>总占用面积约</w:t>
                  </w:r>
                  <w:r>
                    <w:rPr>
                      <w:rFonts w:hint="eastAsia" w:cs="Times New Roman"/>
                      <w:color w:val="auto"/>
                      <w:sz w:val="21"/>
                      <w:szCs w:val="21"/>
                      <w:highlight w:val="none"/>
                      <w:lang w:val="en-US" w:eastAsia="zh-CN"/>
                    </w:rPr>
                    <w:t>2949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ascii="Times New Roman" w:hAnsi="Times New Roman"/>
                      <w:color w:val="auto"/>
                      <w:sz w:val="21"/>
                      <w:szCs w:val="21"/>
                      <w:highlight w:val="none"/>
                    </w:rPr>
                    <w:t>，但</w:t>
                  </w:r>
                  <w:r>
                    <w:rPr>
                      <w:rFonts w:hint="eastAsia" w:ascii="Times New Roman" w:hAnsi="Times New Roman"/>
                      <w:color w:val="auto"/>
                      <w:sz w:val="21"/>
                      <w:szCs w:val="21"/>
                      <w:highlight w:val="none"/>
                      <w:lang w:val="en-US" w:eastAsia="zh-CN"/>
                    </w:rPr>
                    <w:t>均</w:t>
                  </w:r>
                  <w:r>
                    <w:rPr>
                      <w:rFonts w:ascii="Times New Roman" w:hAnsi="Times New Roman"/>
                      <w:color w:val="auto"/>
                      <w:sz w:val="21"/>
                      <w:szCs w:val="21"/>
                      <w:highlight w:val="none"/>
                    </w:rPr>
                    <w:t>不是长期永久占用，本项目施工前需进行表土剥离工作，将表土放在专门的表土堆放区，表土堆放区应设置拦挡、苫盖等措施，同时本项目已编制完成复垦方案，施工结束后按照复垦方案对临时占地进行复垦，剥离的表土回填，恢复原有生态环境功能</w:t>
                  </w:r>
                  <w:r>
                    <w:rPr>
                      <w:rFonts w:hint="eastAsia"/>
                      <w:color w:val="auto"/>
                      <w:sz w:val="21"/>
                      <w:szCs w:val="21"/>
                      <w:highlight w:val="none"/>
                      <w:lang w:val="zh-CN"/>
                    </w:rPr>
                    <w:t>；</w:t>
                  </w:r>
                  <w:r>
                    <w:rPr>
                      <w:rFonts w:hint="eastAsia"/>
                      <w:color w:val="auto"/>
                      <w:sz w:val="21"/>
                      <w:szCs w:val="21"/>
                      <w:highlight w:val="none"/>
                    </w:rPr>
                    <w:t>3、</w:t>
                  </w:r>
                  <w:r>
                    <w:rPr>
                      <w:rFonts w:hint="eastAsia"/>
                      <w:color w:val="auto"/>
                      <w:sz w:val="21"/>
                      <w:szCs w:val="21"/>
                      <w:highlight w:val="none"/>
                      <w:lang w:val="zh-CN"/>
                    </w:rPr>
                    <w:t>已按照临时用地相关政策要求编制完成复垦方案并取得了淮南市自然资源和规划局潘集分局出具了本项目临时用地初审意见。</w:t>
                  </w:r>
                  <w:r>
                    <w:rPr>
                      <w:rFonts w:hint="eastAsia"/>
                      <w:color w:val="auto"/>
                      <w:sz w:val="21"/>
                      <w:szCs w:val="21"/>
                      <w:highlight w:val="none"/>
                    </w:rPr>
                    <w:t>4、</w:t>
                  </w:r>
                  <w:r>
                    <w:rPr>
                      <w:rFonts w:hint="eastAsia"/>
                      <w:color w:val="auto"/>
                      <w:sz w:val="21"/>
                      <w:szCs w:val="21"/>
                      <w:highlight w:val="none"/>
                      <w:lang w:val="zh-CN"/>
                    </w:rPr>
                    <w:t>本项目施工完成后将按照已批复的土地复垦方案进行土地复垦，及时恢复种植条件。</w:t>
                  </w:r>
                </w:p>
              </w:tc>
              <w:tc>
                <w:tcPr>
                  <w:tcW w:w="733" w:type="dxa"/>
                  <w:vAlign w:val="center"/>
                </w:tcPr>
                <w:p w14:paraId="4071DEA7">
                  <w:pPr>
                    <w:pStyle w:val="55"/>
                    <w:spacing w:line="240" w:lineRule="auto"/>
                    <w:ind w:firstLine="0" w:firstLineChars="0"/>
                    <w:jc w:val="center"/>
                    <w:rPr>
                      <w:color w:val="auto"/>
                      <w:sz w:val="21"/>
                      <w:szCs w:val="21"/>
                      <w:highlight w:val="none"/>
                    </w:rPr>
                  </w:pPr>
                  <w:r>
                    <w:rPr>
                      <w:rFonts w:hint="eastAsia"/>
                      <w:color w:val="auto"/>
                      <w:sz w:val="21"/>
                      <w:szCs w:val="21"/>
                      <w:highlight w:val="none"/>
                    </w:rPr>
                    <w:t>符合</w:t>
                  </w:r>
                </w:p>
              </w:tc>
            </w:tr>
            <w:tr w14:paraId="11C7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0" w:type="dxa"/>
                  <w:vMerge w:val="continue"/>
                  <w:tcBorders/>
                  <w:vAlign w:val="center"/>
                </w:tcPr>
                <w:p w14:paraId="4D0F85EE">
                  <w:pPr>
                    <w:jc w:val="center"/>
                    <w:rPr>
                      <w:color w:val="auto"/>
                      <w:sz w:val="21"/>
                      <w:szCs w:val="21"/>
                      <w:highlight w:val="none"/>
                    </w:rPr>
                  </w:pPr>
                </w:p>
              </w:tc>
              <w:tc>
                <w:tcPr>
                  <w:tcW w:w="959" w:type="dxa"/>
                  <w:vMerge w:val="continue"/>
                  <w:tcBorders/>
                  <w:vAlign w:val="center"/>
                </w:tcPr>
                <w:p w14:paraId="4E000DFB">
                  <w:pPr>
                    <w:jc w:val="center"/>
                    <w:rPr>
                      <w:rFonts w:ascii="Times New Roman" w:hAnsi="Times New Roman"/>
                      <w:color w:val="auto"/>
                      <w:sz w:val="21"/>
                      <w:szCs w:val="21"/>
                      <w:highlight w:val="none"/>
                      <w:lang w:val="zh-CN"/>
                    </w:rPr>
                  </w:pPr>
                </w:p>
              </w:tc>
              <w:tc>
                <w:tcPr>
                  <w:tcW w:w="941" w:type="dxa"/>
                  <w:vMerge w:val="continue"/>
                  <w:tcBorders/>
                  <w:vAlign w:val="center"/>
                </w:tcPr>
                <w:p w14:paraId="26266353">
                  <w:pPr>
                    <w:jc w:val="center"/>
                    <w:rPr>
                      <w:rFonts w:ascii="Times New Roman" w:hAnsi="Times New Roman"/>
                      <w:color w:val="auto"/>
                      <w:sz w:val="21"/>
                      <w:szCs w:val="21"/>
                      <w:highlight w:val="none"/>
                      <w:lang w:val="zh-CN"/>
                    </w:rPr>
                  </w:pPr>
                </w:p>
              </w:tc>
              <w:tc>
                <w:tcPr>
                  <w:tcW w:w="571" w:type="dxa"/>
                  <w:vAlign w:val="center"/>
                </w:tcPr>
                <w:p w14:paraId="46C87292">
                  <w:pPr>
                    <w:jc w:val="center"/>
                    <w:rPr>
                      <w:rFonts w:ascii="Times New Roman" w:hAnsi="Times New Roman"/>
                      <w:color w:val="auto"/>
                      <w:sz w:val="21"/>
                      <w:szCs w:val="21"/>
                      <w:highlight w:val="none"/>
                    </w:rPr>
                  </w:pPr>
                  <w:r>
                    <w:rPr>
                      <w:rFonts w:ascii="Times New Roman" w:hAnsi="Times New Roman"/>
                      <w:color w:val="auto"/>
                      <w:sz w:val="21"/>
                      <w:szCs w:val="21"/>
                      <w:highlight w:val="none"/>
                    </w:rPr>
                    <w:t>资源开发效率要求</w:t>
                  </w:r>
                </w:p>
              </w:tc>
              <w:tc>
                <w:tcPr>
                  <w:tcW w:w="3641" w:type="dxa"/>
                  <w:vAlign w:val="center"/>
                </w:tcPr>
                <w:p w14:paraId="670609C0">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1、上年度PM</w:t>
                  </w:r>
                  <w:r>
                    <w:rPr>
                      <w:rFonts w:hint="eastAsia" w:ascii="Times New Roman" w:hAnsi="Times New Roman"/>
                      <w:color w:val="auto"/>
                      <w:sz w:val="21"/>
                      <w:szCs w:val="21"/>
                      <w:highlight w:val="none"/>
                      <w:vertAlign w:val="subscript"/>
                    </w:rPr>
                    <w:t>2.5</w:t>
                  </w:r>
                  <w:r>
                    <w:rPr>
                      <w:rFonts w:hint="eastAsia" w:ascii="Times New Roman" w:hAnsi="Times New Roman"/>
                      <w:color w:val="auto"/>
                      <w:sz w:val="21"/>
                      <w:szCs w:val="21"/>
                      <w:highlight w:val="none"/>
                    </w:rPr>
                    <w:t>不达标城市新建、改建和扩建项目大气污染物实施</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倍量替代</w:t>
                  </w:r>
                  <w:r>
                    <w:rPr>
                      <w:rFonts w:hint="eastAsia" w:ascii="Times New Roman" w:hAnsi="Times New Roman"/>
                      <w:color w:val="auto"/>
                      <w:sz w:val="21"/>
                      <w:szCs w:val="21"/>
                      <w:highlight w:val="none"/>
                      <w:lang w:eastAsia="zh-CN"/>
                    </w:rPr>
                    <w:t>”，对</w:t>
                  </w:r>
                  <w:r>
                    <w:rPr>
                      <w:rFonts w:hint="eastAsia" w:ascii="Times New Roman" w:hAnsi="Times New Roman"/>
                      <w:color w:val="auto"/>
                      <w:sz w:val="21"/>
                      <w:szCs w:val="21"/>
                      <w:highlight w:val="none"/>
                    </w:rPr>
                    <w:t>执行特别排放标准的行业实施提标升级改造；2、资源利用部分落实《安徽省煤炭消费减量替代工作方案（2018-2020年）》要求；3、水环境部分依据《中华人民共和国水污染防治法》《水污染防治行动计划》《安徽省水污染防治工作方案》及各市水污染防治工作方案对一般管控区实施管控；4、土壤环境部分依据《中华人民共和国土壤污染防治法》《土壤污染防治行动计划》《安徽省土壤污染防治工作方案》等要求及各市土壤污染防治工作方案对一般管控区实施管控。</w:t>
                  </w:r>
                </w:p>
              </w:tc>
              <w:tc>
                <w:tcPr>
                  <w:tcW w:w="3675" w:type="dxa"/>
                  <w:vAlign w:val="center"/>
                </w:tcPr>
                <w:p w14:paraId="1ED4174F">
                  <w:pPr>
                    <w:pStyle w:val="55"/>
                    <w:spacing w:line="240" w:lineRule="auto"/>
                    <w:ind w:firstLine="0" w:firstLineChars="0"/>
                    <w:jc w:val="center"/>
                    <w:rPr>
                      <w:color w:val="auto"/>
                      <w:sz w:val="21"/>
                      <w:szCs w:val="21"/>
                      <w:highlight w:val="none"/>
                    </w:rPr>
                  </w:pPr>
                  <w:r>
                    <w:rPr>
                      <w:rFonts w:hint="eastAsia"/>
                      <w:color w:val="auto"/>
                      <w:sz w:val="21"/>
                      <w:szCs w:val="21"/>
                      <w:highlight w:val="none"/>
                    </w:rPr>
                    <w:t>1、项目位于淮南市潘集区，所在评价区域为不达标区，本项目仅施工期废气，施工期影响主要为施工扬尘、机械尾气等。通过加强施工机械、车辆管理，进行物料覆盖，对施工道路进行固化、洒水处理等措施，施工期结束后环境污染立即消失对大气环境影响较小；2、本项目属于M7475地质勘查技术服务，不涉及煤炭资源使用；3、项目水环境严格按照《中华人民共和国水污染防治法》《水污染防治行动计划》《安徽省水污染防治工作方案》要求落实；4、项目土壤环境严格按照《中华人民共和国土壤污染防治法》《土壤污染防治行动计划》《安徽省土壤污染防治工作方案》等要求落实。</w:t>
                  </w:r>
                </w:p>
              </w:tc>
              <w:tc>
                <w:tcPr>
                  <w:tcW w:w="733" w:type="dxa"/>
                  <w:vAlign w:val="center"/>
                </w:tcPr>
                <w:p w14:paraId="3793563B">
                  <w:pPr>
                    <w:pStyle w:val="55"/>
                    <w:spacing w:line="240" w:lineRule="auto"/>
                    <w:ind w:firstLine="0" w:firstLineChars="0"/>
                    <w:jc w:val="center"/>
                    <w:rPr>
                      <w:color w:val="auto"/>
                      <w:sz w:val="21"/>
                      <w:szCs w:val="21"/>
                      <w:highlight w:val="none"/>
                    </w:rPr>
                  </w:pPr>
                  <w:r>
                    <w:rPr>
                      <w:rFonts w:hint="eastAsia"/>
                      <w:color w:val="auto"/>
                      <w:sz w:val="21"/>
                      <w:szCs w:val="21"/>
                      <w:highlight w:val="none"/>
                    </w:rPr>
                    <w:t>符合</w:t>
                  </w:r>
                </w:p>
              </w:tc>
            </w:tr>
            <w:tr w14:paraId="72D0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0" w:type="dxa"/>
                  <w:vMerge w:val="continue"/>
                  <w:tcBorders/>
                  <w:vAlign w:val="center"/>
                </w:tcPr>
                <w:p w14:paraId="572B2973">
                  <w:pPr>
                    <w:jc w:val="center"/>
                    <w:rPr>
                      <w:color w:val="auto"/>
                      <w:sz w:val="21"/>
                      <w:szCs w:val="21"/>
                      <w:highlight w:val="none"/>
                    </w:rPr>
                  </w:pPr>
                </w:p>
              </w:tc>
              <w:tc>
                <w:tcPr>
                  <w:tcW w:w="959" w:type="dxa"/>
                  <w:vMerge w:val="continue"/>
                  <w:tcBorders/>
                  <w:vAlign w:val="center"/>
                </w:tcPr>
                <w:p w14:paraId="4B15875F">
                  <w:pPr>
                    <w:jc w:val="center"/>
                    <w:rPr>
                      <w:rFonts w:ascii="Times New Roman" w:hAnsi="Times New Roman"/>
                      <w:color w:val="auto"/>
                      <w:sz w:val="21"/>
                      <w:szCs w:val="21"/>
                      <w:highlight w:val="none"/>
                      <w:lang w:val="zh-CN"/>
                    </w:rPr>
                  </w:pPr>
                </w:p>
              </w:tc>
              <w:tc>
                <w:tcPr>
                  <w:tcW w:w="941" w:type="dxa"/>
                  <w:vMerge w:val="continue"/>
                  <w:tcBorders/>
                  <w:vAlign w:val="center"/>
                </w:tcPr>
                <w:p w14:paraId="3473610A">
                  <w:pPr>
                    <w:jc w:val="center"/>
                    <w:rPr>
                      <w:rFonts w:ascii="Times New Roman" w:hAnsi="Times New Roman"/>
                      <w:color w:val="auto"/>
                      <w:sz w:val="21"/>
                      <w:szCs w:val="21"/>
                      <w:highlight w:val="none"/>
                      <w:lang w:val="zh-CN"/>
                    </w:rPr>
                  </w:pPr>
                </w:p>
              </w:tc>
              <w:tc>
                <w:tcPr>
                  <w:tcW w:w="571" w:type="dxa"/>
                  <w:vAlign w:val="center"/>
                </w:tcPr>
                <w:p w14:paraId="576E61C2">
                  <w:pPr>
                    <w:jc w:val="center"/>
                    <w:rPr>
                      <w:rFonts w:ascii="Times New Roman" w:hAnsi="Times New Roman"/>
                      <w:color w:val="auto"/>
                      <w:sz w:val="21"/>
                      <w:szCs w:val="21"/>
                      <w:highlight w:val="none"/>
                    </w:rPr>
                  </w:pPr>
                  <w:r>
                    <w:rPr>
                      <w:rFonts w:ascii="Times New Roman" w:hAnsi="Times New Roman" w:eastAsia="宋体" w:cs="Times New Roman"/>
                      <w:sz w:val="21"/>
                      <w:szCs w:val="21"/>
                    </w:rPr>
                    <w:t>污染物排放管控</w:t>
                  </w:r>
                </w:p>
              </w:tc>
              <w:tc>
                <w:tcPr>
                  <w:tcW w:w="3641" w:type="dxa"/>
                  <w:vAlign w:val="center"/>
                </w:tcPr>
                <w:p w14:paraId="0EF8574F">
                  <w:pPr>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675" w:type="dxa"/>
                  <w:vAlign w:val="center"/>
                </w:tcPr>
                <w:p w14:paraId="24CCBC36">
                  <w:pPr>
                    <w:pStyle w:val="55"/>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33" w:type="dxa"/>
                  <w:vAlign w:val="center"/>
                </w:tcPr>
                <w:p w14:paraId="451B96DF">
                  <w:pPr>
                    <w:pStyle w:val="55"/>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bl>
          <w:p w14:paraId="32C9947A">
            <w:pPr>
              <w:autoSpaceDE w:val="0"/>
              <w:autoSpaceDN w:val="0"/>
              <w:adjustRightInd w:val="0"/>
              <w:snapToGrid w:val="0"/>
              <w:jc w:val="center"/>
              <w:rPr>
                <w:rFonts w:ascii="Times New Roman" w:hAnsi="Times New Roman"/>
                <w:color w:val="auto"/>
                <w:kern w:val="0"/>
                <w:sz w:val="24"/>
                <w:vertAlign w:val="baseline"/>
              </w:rPr>
            </w:pPr>
          </w:p>
        </w:tc>
      </w:tr>
    </w:tbl>
    <w:p w14:paraId="58BC78F6">
      <w:pPr>
        <w:autoSpaceDE w:val="0"/>
        <w:autoSpaceDN w:val="0"/>
        <w:adjustRightInd w:val="0"/>
        <w:snapToGrid w:val="0"/>
        <w:jc w:val="center"/>
        <w:rPr>
          <w:rFonts w:ascii="Times New Roman" w:hAnsi="Times New Roman"/>
          <w:color w:val="auto"/>
          <w:kern w:val="0"/>
          <w:sz w:val="24"/>
        </w:rPr>
      </w:pPr>
    </w:p>
    <w:p w14:paraId="3FE2827F">
      <w:pPr>
        <w:autoSpaceDE w:val="0"/>
        <w:autoSpaceDN w:val="0"/>
        <w:adjustRightInd w:val="0"/>
        <w:snapToGrid w:val="0"/>
        <w:jc w:val="center"/>
        <w:rPr>
          <w:rFonts w:ascii="Times New Roman" w:hAnsi="Times New Roman"/>
          <w:color w:val="auto"/>
          <w:kern w:val="0"/>
          <w:sz w:val="24"/>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8426"/>
      </w:tblGrid>
      <w:tr w14:paraId="4406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tcPr>
          <w:p w14:paraId="1B1AEDEC">
            <w:pPr>
              <w:spacing w:line="360" w:lineRule="auto"/>
              <w:outlineLvl w:val="0"/>
              <w:rPr>
                <w:rFonts w:ascii="Times New Roman" w:hAnsi="Times New Roman" w:eastAsia="黑体"/>
                <w:color w:val="auto"/>
                <w:sz w:val="30"/>
                <w:vertAlign w:val="baseline"/>
              </w:rPr>
            </w:pPr>
          </w:p>
        </w:tc>
        <w:tc>
          <w:tcPr>
            <w:tcW w:w="8426" w:type="dxa"/>
          </w:tcPr>
          <w:p w14:paraId="774452F4">
            <w:pPr>
              <w:pStyle w:val="10"/>
              <w:snapToGrid/>
              <w:spacing w:before="0" w:after="0" w:line="360" w:lineRule="auto"/>
              <w:ind w:right="0"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对照《市场准入负面清单（202</w:t>
            </w:r>
            <w:r>
              <w:rPr>
                <w:rFonts w:hint="eastAsia" w:ascii="Times New Roman" w:hAnsi="Times New Roman"/>
                <w:color w:val="auto"/>
                <w:sz w:val="24"/>
                <w:szCs w:val="24"/>
                <w:highlight w:val="none"/>
              </w:rPr>
              <w:t>5</w:t>
            </w:r>
            <w:r>
              <w:rPr>
                <w:rFonts w:ascii="Times New Roman" w:hAnsi="Times New Roman"/>
                <w:color w:val="auto"/>
                <w:sz w:val="24"/>
                <w:szCs w:val="24"/>
                <w:highlight w:val="none"/>
              </w:rPr>
              <w:t>年版）》（发改体改规〔2025〕466号）相关文件的相符性进行分析，经对照分析，本项目不属于负面清单中所禁止或限制类的项目，符合相关准入要求。</w:t>
            </w:r>
          </w:p>
          <w:p w14:paraId="5A38BDA6">
            <w:pPr>
              <w:pStyle w:val="36"/>
              <w:spacing w:line="360" w:lineRule="auto"/>
              <w:rPr>
                <w:color w:val="auto"/>
                <w:highlight w:val="none"/>
              </w:rPr>
            </w:pPr>
            <w:r>
              <w:rPr>
                <w:color w:val="auto"/>
                <w:highlight w:val="none"/>
              </w:rPr>
              <w:t>表1-</w:t>
            </w:r>
            <w:r>
              <w:rPr>
                <w:rFonts w:hint="eastAsia"/>
                <w:color w:val="auto"/>
                <w:highlight w:val="none"/>
                <w:lang w:val="en-US" w:eastAsia="zh-CN"/>
              </w:rPr>
              <w:t>4</w:t>
            </w:r>
            <w:r>
              <w:rPr>
                <w:color w:val="auto"/>
                <w:highlight w:val="none"/>
              </w:rPr>
              <w:t xml:space="preserve"> </w:t>
            </w:r>
            <w:r>
              <w:rPr>
                <w:rFonts w:hint="eastAsia"/>
                <w:color w:val="auto"/>
                <w:highlight w:val="none"/>
                <w:lang w:val="en-US" w:eastAsia="zh-CN"/>
              </w:rPr>
              <w:t xml:space="preserve"> </w:t>
            </w:r>
            <w:r>
              <w:rPr>
                <w:color w:val="auto"/>
                <w:highlight w:val="none"/>
              </w:rPr>
              <w:t>环境准入负面清单分析对照表</w:t>
            </w:r>
          </w:p>
          <w:tbl>
            <w:tblPr>
              <w:tblStyle w:val="23"/>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6"/>
              <w:gridCol w:w="4599"/>
              <w:gridCol w:w="2871"/>
            </w:tblGrid>
            <w:tr w14:paraId="32095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7" w:type="pct"/>
                  <w:noWrap/>
                  <w:vAlign w:val="center"/>
                </w:tcPr>
                <w:p w14:paraId="490DD2FC">
                  <w:pPr>
                    <w:pStyle w:val="37"/>
                    <w:spacing w:before="0"/>
                    <w:rPr>
                      <w:rFonts w:cs="Times New Roman"/>
                      <w:b/>
                      <w:bCs/>
                      <w:color w:val="auto"/>
                      <w:sz w:val="21"/>
                      <w:highlight w:val="none"/>
                    </w:rPr>
                  </w:pPr>
                  <w:r>
                    <w:rPr>
                      <w:rFonts w:cs="Times New Roman"/>
                      <w:b/>
                      <w:bCs/>
                      <w:color w:val="auto"/>
                      <w:sz w:val="21"/>
                      <w:highlight w:val="none"/>
                    </w:rPr>
                    <w:t>序号</w:t>
                  </w:r>
                </w:p>
              </w:tc>
              <w:tc>
                <w:tcPr>
                  <w:tcW w:w="2808" w:type="pct"/>
                  <w:noWrap/>
                  <w:vAlign w:val="center"/>
                </w:tcPr>
                <w:p w14:paraId="324757C8">
                  <w:pPr>
                    <w:pStyle w:val="37"/>
                    <w:spacing w:before="0"/>
                    <w:rPr>
                      <w:rFonts w:cs="Times New Roman"/>
                      <w:b/>
                      <w:bCs/>
                      <w:color w:val="auto"/>
                      <w:sz w:val="21"/>
                      <w:highlight w:val="none"/>
                    </w:rPr>
                  </w:pPr>
                  <w:r>
                    <w:rPr>
                      <w:rFonts w:cs="Times New Roman"/>
                      <w:b/>
                      <w:bCs/>
                      <w:color w:val="auto"/>
                      <w:sz w:val="21"/>
                      <w:highlight w:val="none"/>
                    </w:rPr>
                    <w:t>文件</w:t>
                  </w:r>
                </w:p>
              </w:tc>
              <w:tc>
                <w:tcPr>
                  <w:tcW w:w="1753" w:type="pct"/>
                  <w:noWrap/>
                  <w:vAlign w:val="center"/>
                </w:tcPr>
                <w:p w14:paraId="30842047">
                  <w:pPr>
                    <w:pStyle w:val="37"/>
                    <w:spacing w:before="0"/>
                    <w:rPr>
                      <w:rFonts w:cs="Times New Roman"/>
                      <w:b/>
                      <w:bCs/>
                      <w:color w:val="auto"/>
                      <w:sz w:val="21"/>
                      <w:highlight w:val="none"/>
                    </w:rPr>
                  </w:pPr>
                  <w:r>
                    <w:rPr>
                      <w:rFonts w:cs="Times New Roman"/>
                      <w:b/>
                      <w:bCs/>
                      <w:color w:val="auto"/>
                      <w:sz w:val="21"/>
                      <w:highlight w:val="none"/>
                    </w:rPr>
                    <w:t>相符性分析</w:t>
                  </w:r>
                </w:p>
              </w:tc>
            </w:tr>
            <w:tr w14:paraId="603E1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7" w:type="pct"/>
                  <w:noWrap/>
                  <w:vAlign w:val="center"/>
                </w:tcPr>
                <w:p w14:paraId="7CD1B1A2">
                  <w:pPr>
                    <w:pStyle w:val="37"/>
                    <w:spacing w:before="0"/>
                    <w:rPr>
                      <w:rFonts w:cs="Times New Roman"/>
                      <w:color w:val="auto"/>
                      <w:sz w:val="21"/>
                      <w:highlight w:val="none"/>
                    </w:rPr>
                  </w:pPr>
                  <w:r>
                    <w:rPr>
                      <w:rFonts w:cs="Times New Roman"/>
                      <w:color w:val="auto"/>
                      <w:sz w:val="21"/>
                      <w:highlight w:val="none"/>
                    </w:rPr>
                    <w:t>1</w:t>
                  </w:r>
                </w:p>
              </w:tc>
              <w:tc>
                <w:tcPr>
                  <w:tcW w:w="2808" w:type="pct"/>
                  <w:noWrap/>
                  <w:vAlign w:val="center"/>
                </w:tcPr>
                <w:p w14:paraId="33C0F13D">
                  <w:pPr>
                    <w:pStyle w:val="37"/>
                    <w:spacing w:before="0"/>
                    <w:rPr>
                      <w:rFonts w:cs="Times New Roman"/>
                      <w:color w:val="auto"/>
                      <w:sz w:val="21"/>
                      <w:highlight w:val="none"/>
                    </w:rPr>
                  </w:pPr>
                  <w:r>
                    <w:rPr>
                      <w:rFonts w:cs="Times New Roman"/>
                      <w:color w:val="auto"/>
                      <w:sz w:val="21"/>
                      <w:highlight w:val="none"/>
                    </w:rPr>
                    <w:t>《市场准入负面清单》（202</w:t>
                  </w:r>
                  <w:r>
                    <w:rPr>
                      <w:rFonts w:hint="eastAsia" w:cs="Times New Roman"/>
                      <w:color w:val="auto"/>
                      <w:sz w:val="21"/>
                      <w:highlight w:val="none"/>
                    </w:rPr>
                    <w:t>5</w:t>
                  </w:r>
                  <w:r>
                    <w:rPr>
                      <w:rFonts w:cs="Times New Roman"/>
                      <w:color w:val="auto"/>
                      <w:sz w:val="21"/>
                      <w:highlight w:val="none"/>
                    </w:rPr>
                    <w:t>年版）</w:t>
                  </w:r>
                </w:p>
              </w:tc>
              <w:tc>
                <w:tcPr>
                  <w:tcW w:w="1753" w:type="pct"/>
                  <w:noWrap/>
                  <w:vAlign w:val="center"/>
                </w:tcPr>
                <w:p w14:paraId="28BB88DD">
                  <w:pPr>
                    <w:widowControl/>
                    <w:jc w:val="left"/>
                    <w:rPr>
                      <w:rFonts w:ascii="Times New Roman" w:hAnsi="Times New Roman"/>
                      <w:color w:val="auto"/>
                      <w:szCs w:val="21"/>
                      <w:highlight w:val="none"/>
                    </w:rPr>
                  </w:pPr>
                  <w:r>
                    <w:rPr>
                      <w:rFonts w:ascii="Times New Roman" w:hAnsi="Times New Roman"/>
                      <w:color w:val="auto"/>
                      <w:szCs w:val="21"/>
                      <w:highlight w:val="none"/>
                    </w:rPr>
                    <w:t>不属于禁止准入类项目</w:t>
                  </w:r>
                </w:p>
              </w:tc>
            </w:tr>
            <w:tr w14:paraId="37036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7" w:type="pct"/>
                  <w:noWrap/>
                  <w:vAlign w:val="center"/>
                </w:tcPr>
                <w:p w14:paraId="394F4EF3">
                  <w:pPr>
                    <w:pStyle w:val="37"/>
                    <w:spacing w:before="0"/>
                    <w:rPr>
                      <w:rFonts w:cs="Times New Roman"/>
                      <w:color w:val="auto"/>
                      <w:sz w:val="21"/>
                      <w:highlight w:val="none"/>
                    </w:rPr>
                  </w:pPr>
                  <w:r>
                    <w:rPr>
                      <w:rFonts w:cs="Times New Roman"/>
                      <w:color w:val="auto"/>
                      <w:sz w:val="21"/>
                      <w:highlight w:val="none"/>
                    </w:rPr>
                    <w:t>2</w:t>
                  </w:r>
                </w:p>
              </w:tc>
              <w:tc>
                <w:tcPr>
                  <w:tcW w:w="2808" w:type="pct"/>
                  <w:noWrap/>
                  <w:vAlign w:val="center"/>
                </w:tcPr>
                <w:p w14:paraId="0ABAAAA8">
                  <w:pPr>
                    <w:widowControl/>
                    <w:jc w:val="center"/>
                    <w:rPr>
                      <w:rFonts w:ascii="Times New Roman" w:hAnsi="Times New Roman"/>
                      <w:color w:val="auto"/>
                      <w:szCs w:val="21"/>
                      <w:highlight w:val="none"/>
                    </w:rPr>
                  </w:pPr>
                  <w:r>
                    <w:rPr>
                      <w:rFonts w:ascii="Times New Roman" w:hAnsi="Times New Roman"/>
                      <w:color w:val="auto"/>
                      <w:szCs w:val="21"/>
                      <w:highlight w:val="none"/>
                    </w:rPr>
                    <w:t>《产业结构调整指导目录（2024年本）》</w:t>
                  </w:r>
                </w:p>
              </w:tc>
              <w:tc>
                <w:tcPr>
                  <w:tcW w:w="1753" w:type="pct"/>
                  <w:noWrap/>
                  <w:vAlign w:val="center"/>
                </w:tcPr>
                <w:p w14:paraId="375006AD">
                  <w:pPr>
                    <w:widowControl/>
                    <w:jc w:val="left"/>
                    <w:rPr>
                      <w:rFonts w:ascii="Times New Roman" w:hAnsi="Times New Roman"/>
                      <w:color w:val="auto"/>
                      <w:szCs w:val="21"/>
                      <w:highlight w:val="none"/>
                    </w:rPr>
                  </w:pPr>
                  <w:r>
                    <w:rPr>
                      <w:rFonts w:ascii="Times New Roman" w:hAnsi="Times New Roman"/>
                      <w:color w:val="auto"/>
                      <w:szCs w:val="21"/>
                      <w:highlight w:val="none"/>
                    </w:rPr>
                    <w:t>不属于限制类和淘汰类项目</w:t>
                  </w:r>
                </w:p>
              </w:tc>
            </w:tr>
            <w:tr w14:paraId="31CEA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7" w:type="pct"/>
                  <w:noWrap/>
                  <w:vAlign w:val="center"/>
                </w:tcPr>
                <w:p w14:paraId="5D5F2B64">
                  <w:pPr>
                    <w:pStyle w:val="37"/>
                    <w:spacing w:before="0"/>
                    <w:rPr>
                      <w:rFonts w:cs="Times New Roman"/>
                      <w:color w:val="auto"/>
                      <w:sz w:val="21"/>
                      <w:highlight w:val="none"/>
                    </w:rPr>
                  </w:pPr>
                  <w:r>
                    <w:rPr>
                      <w:rFonts w:cs="Times New Roman"/>
                      <w:color w:val="auto"/>
                      <w:sz w:val="21"/>
                      <w:highlight w:val="none"/>
                    </w:rPr>
                    <w:t>3</w:t>
                  </w:r>
                </w:p>
              </w:tc>
              <w:tc>
                <w:tcPr>
                  <w:tcW w:w="2808" w:type="pct"/>
                  <w:noWrap/>
                  <w:vAlign w:val="center"/>
                </w:tcPr>
                <w:p w14:paraId="4D2B9369">
                  <w:pPr>
                    <w:widowControl/>
                    <w:jc w:val="center"/>
                    <w:rPr>
                      <w:rFonts w:ascii="Times New Roman" w:hAnsi="Times New Roman"/>
                      <w:color w:val="auto"/>
                      <w:szCs w:val="21"/>
                      <w:highlight w:val="none"/>
                    </w:rPr>
                  </w:pPr>
                  <w:r>
                    <w:rPr>
                      <w:rFonts w:hint="eastAsia" w:ascii="Times New Roman" w:hAnsi="Times New Roman"/>
                      <w:color w:val="auto"/>
                      <w:szCs w:val="21"/>
                      <w:highlight w:val="none"/>
                    </w:rPr>
                    <w:t>《自然资源要素支撑产业高质量发展指导目录</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2024年本</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w:t>
                  </w:r>
                </w:p>
              </w:tc>
              <w:tc>
                <w:tcPr>
                  <w:tcW w:w="1753" w:type="pct"/>
                  <w:noWrap/>
                  <w:vAlign w:val="center"/>
                </w:tcPr>
                <w:p w14:paraId="7DAB2331">
                  <w:pPr>
                    <w:widowControl/>
                    <w:jc w:val="left"/>
                    <w:rPr>
                      <w:rFonts w:ascii="Times New Roman" w:hAnsi="Times New Roman"/>
                      <w:color w:val="auto"/>
                      <w:szCs w:val="21"/>
                      <w:highlight w:val="none"/>
                    </w:rPr>
                  </w:pPr>
                  <w:r>
                    <w:rPr>
                      <w:rFonts w:ascii="Times New Roman" w:hAnsi="Times New Roman"/>
                      <w:color w:val="auto"/>
                      <w:szCs w:val="21"/>
                      <w:highlight w:val="none"/>
                    </w:rPr>
                    <w:t>不属于限制和禁止用地</w:t>
                  </w:r>
                </w:p>
              </w:tc>
            </w:tr>
          </w:tbl>
          <w:p w14:paraId="7A8DAE3B">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综上，本项目符合《关于以改善环境质量为核心加强环境影响评价管理的通知》（环环评〔20</w:t>
            </w:r>
            <w:r>
              <w:rPr>
                <w:rFonts w:hint="eastAsia" w:ascii="Times New Roman" w:hAnsi="Times New Roman"/>
                <w:color w:val="auto"/>
                <w:sz w:val="24"/>
                <w:highlight w:val="none"/>
              </w:rPr>
              <w:t>16</w:t>
            </w:r>
            <w:r>
              <w:rPr>
                <w:rFonts w:ascii="Times New Roman" w:hAnsi="Times New Roman"/>
                <w:color w:val="auto"/>
                <w:sz w:val="24"/>
                <w:highlight w:val="none"/>
              </w:rPr>
              <w:t>〕150号）中</w:t>
            </w:r>
            <w:r>
              <w:rPr>
                <w:rFonts w:hint="eastAsia" w:ascii="Times New Roman" w:hAnsi="Times New Roman"/>
                <w:color w:val="auto"/>
                <w:sz w:val="24"/>
                <w:highlight w:val="none"/>
                <w:lang w:eastAsia="zh-CN"/>
              </w:rPr>
              <w:t>“</w:t>
            </w:r>
            <w:r>
              <w:rPr>
                <w:rFonts w:ascii="Times New Roman" w:hAnsi="Times New Roman"/>
                <w:color w:val="auto"/>
                <w:sz w:val="24"/>
                <w:highlight w:val="none"/>
              </w:rPr>
              <w:t>三线一单</w:t>
            </w:r>
            <w:r>
              <w:rPr>
                <w:rFonts w:hint="eastAsia" w:ascii="Times New Roman" w:hAnsi="Times New Roman"/>
                <w:color w:val="auto"/>
                <w:sz w:val="24"/>
                <w:highlight w:val="none"/>
                <w:lang w:eastAsia="zh-CN"/>
              </w:rPr>
              <w:t>”</w:t>
            </w:r>
            <w:r>
              <w:rPr>
                <w:rFonts w:ascii="Times New Roman" w:hAnsi="Times New Roman"/>
                <w:color w:val="auto"/>
                <w:sz w:val="24"/>
                <w:highlight w:val="none"/>
              </w:rPr>
              <w:t>相关要求。</w:t>
            </w:r>
          </w:p>
          <w:p w14:paraId="1E7FF6ED">
            <w:pPr>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lang w:val="en-US" w:eastAsia="zh-CN"/>
              </w:rPr>
              <w:t>4</w:t>
            </w:r>
            <w:r>
              <w:rPr>
                <w:rFonts w:ascii="Times New Roman" w:hAnsi="Times New Roman"/>
                <w:b/>
                <w:bCs/>
                <w:color w:val="auto"/>
                <w:sz w:val="24"/>
                <w:highlight w:val="none"/>
              </w:rPr>
              <w:t>、与《安徽省淮河流域水污染防治条例》符合性分析</w:t>
            </w:r>
          </w:p>
          <w:p w14:paraId="513C3CB6">
            <w:pPr>
              <w:pStyle w:val="21"/>
              <w:spacing w:before="0" w:beforeAutospacing="0" w:after="0" w:afterAutospacing="0" w:line="360" w:lineRule="auto"/>
              <w:ind w:firstLine="480" w:firstLineChars="200"/>
              <w:jc w:val="both"/>
              <w:rPr>
                <w:rFonts w:ascii="Times New Roman" w:hAnsi="Times New Roman"/>
                <w:color w:val="auto"/>
                <w:szCs w:val="24"/>
                <w:highlight w:val="none"/>
              </w:rPr>
            </w:pPr>
            <w:r>
              <w:rPr>
                <w:rFonts w:ascii="Times New Roman" w:hAnsi="Times New Roman"/>
                <w:color w:val="auto"/>
                <w:szCs w:val="24"/>
                <w:highlight w:val="none"/>
              </w:rPr>
              <w:t>根据《</w:t>
            </w:r>
            <w:r>
              <w:rPr>
                <w:rFonts w:ascii="Times New Roman" w:hAnsi="Times New Roman"/>
                <w:bCs/>
                <w:color w:val="auto"/>
                <w:szCs w:val="24"/>
                <w:highlight w:val="none"/>
              </w:rPr>
              <w:t>安徽省淮河流域水污染防治条例</w:t>
            </w:r>
            <w:r>
              <w:rPr>
                <w:rFonts w:ascii="Times New Roman" w:hAnsi="Times New Roman"/>
                <w:color w:val="auto"/>
                <w:szCs w:val="24"/>
                <w:highlight w:val="none"/>
              </w:rPr>
              <w:t>》中相关内容，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禁止和严格限制的产业、产品名录，由国务院环境保护行政主管部门商国务院有关行业主管部门拟订，经领导小组审核同意，报国务院批准后公布施行。</w:t>
            </w:r>
          </w:p>
          <w:p w14:paraId="310DD6C5">
            <w:pPr>
              <w:pStyle w:val="31"/>
              <w:spacing w:line="360" w:lineRule="auto"/>
              <w:ind w:firstLine="480" w:firstLineChars="200"/>
              <w:jc w:val="both"/>
              <w:rPr>
                <w:rFonts w:ascii="Times New Roman" w:hAnsi="Times New Roman"/>
                <w:color w:val="auto"/>
              </w:rPr>
            </w:pPr>
            <w:r>
              <w:rPr>
                <w:rFonts w:ascii="Times New Roman" w:hAnsi="Times New Roman"/>
                <w:color w:val="auto"/>
                <w:highlight w:val="none"/>
              </w:rPr>
              <w:t>综上分析，项目建设地点位于安徽省淮南市潘集区贺疃镇境内，</w:t>
            </w:r>
            <w:r>
              <w:rPr>
                <w:rFonts w:hint="eastAsia" w:ascii="Times New Roman" w:hAnsi="Times New Roman"/>
                <w:color w:val="auto"/>
                <w:highlight w:val="none"/>
              </w:rPr>
              <w:t>本项目补勘钻孔工程主要是探查控制一采区边界断层FD10逆断层和FD45逆断层摆动情况，为后需开采提供基础资料，降低地质风险；长观钻孔工程主要是监测奥灰含水层水位变化情况，为后期开采工作保障矿井生产安全</w:t>
            </w:r>
            <w:r>
              <w:rPr>
                <w:rFonts w:ascii="Times New Roman" w:hAnsi="Times New Roman"/>
                <w:color w:val="auto"/>
                <w:highlight w:val="none"/>
              </w:rPr>
              <w:t>，属于地质勘查技术服务项目，临时用地面积为</w:t>
            </w:r>
            <w:r>
              <w:rPr>
                <w:rFonts w:hint="eastAsia" w:ascii="Times New Roman" w:hAnsi="Times New Roman"/>
                <w:color w:val="auto"/>
                <w:highlight w:val="none"/>
                <w:lang w:val="en-US" w:eastAsia="zh-CN"/>
              </w:rPr>
              <w:t>2949</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w:t>
            </w:r>
            <w:r>
              <w:rPr>
                <w:rFonts w:hint="eastAsia" w:ascii="Times New Roman" w:hAnsi="Times New Roman"/>
                <w:color w:val="auto"/>
                <w:highlight w:val="none"/>
                <w:lang w:val="en-US" w:eastAsia="zh-CN"/>
              </w:rPr>
              <w:t>用地时长预计约6个月，已办理相关用地手续</w:t>
            </w:r>
            <w:r>
              <w:rPr>
                <w:rFonts w:ascii="Times New Roman" w:hAnsi="Times New Roman"/>
                <w:color w:val="auto"/>
                <w:highlight w:val="none"/>
              </w:rPr>
              <w:t>。项目距离</w:t>
            </w:r>
            <w:r>
              <w:rPr>
                <w:rFonts w:hint="eastAsia" w:ascii="Times New Roman" w:hAnsi="Times New Roman"/>
                <w:color w:val="auto"/>
                <w:highlight w:val="none"/>
                <w:lang w:val="en-US" w:eastAsia="zh-CN"/>
              </w:rPr>
              <w:t>淮河</w:t>
            </w:r>
            <w:r>
              <w:rPr>
                <w:rFonts w:ascii="Times New Roman" w:hAnsi="Times New Roman"/>
                <w:color w:val="auto"/>
                <w:highlight w:val="none"/>
              </w:rPr>
              <w:t>岸线</w:t>
            </w:r>
            <w:r>
              <w:rPr>
                <w:rFonts w:hint="eastAsia" w:ascii="Times New Roman" w:hAnsi="Times New Roman"/>
                <w:color w:val="auto"/>
                <w:highlight w:val="none"/>
                <w:lang w:val="en-US" w:eastAsia="zh-CN"/>
              </w:rPr>
              <w:t>17.411</w:t>
            </w:r>
            <w:r>
              <w:rPr>
                <w:rFonts w:ascii="Times New Roman" w:hAnsi="Times New Roman"/>
                <w:color w:val="auto"/>
                <w:highlight w:val="none"/>
              </w:rPr>
              <w:t>km，不在淮河岸线1公里范围内。项目不属于中华人民共和国国家发展和改革委员会颁布的《产业结构调整指导目录》</w:t>
            </w:r>
            <w:r>
              <w:rPr>
                <w:rFonts w:hint="eastAsia" w:ascii="Times New Roman" w:hAnsi="Times New Roman"/>
                <w:color w:val="auto"/>
                <w:highlight w:val="none"/>
                <w:lang w:eastAsia="zh-CN"/>
              </w:rPr>
              <w:t>（</w:t>
            </w:r>
            <w:r>
              <w:rPr>
                <w:rFonts w:ascii="Times New Roman" w:hAnsi="Times New Roman"/>
                <w:color w:val="auto"/>
                <w:highlight w:val="none"/>
              </w:rPr>
              <w:t>20</w:t>
            </w:r>
            <w:r>
              <w:rPr>
                <w:rFonts w:hint="eastAsia" w:ascii="Times New Roman" w:hAnsi="Times New Roman"/>
                <w:color w:val="auto"/>
                <w:highlight w:val="none"/>
              </w:rPr>
              <w:t>24</w:t>
            </w:r>
            <w:r>
              <w:rPr>
                <w:rFonts w:ascii="Times New Roman" w:hAnsi="Times New Roman"/>
                <w:color w:val="auto"/>
                <w:highlight w:val="none"/>
              </w:rPr>
              <w:t>年本</w:t>
            </w:r>
            <w:r>
              <w:rPr>
                <w:rFonts w:hint="eastAsia" w:ascii="Times New Roman" w:hAnsi="Times New Roman"/>
                <w:color w:val="auto"/>
                <w:highlight w:val="none"/>
                <w:lang w:eastAsia="zh-CN"/>
              </w:rPr>
              <w:t>）</w:t>
            </w:r>
            <w:r>
              <w:rPr>
                <w:rFonts w:ascii="Times New Roman" w:hAnsi="Times New Roman"/>
                <w:color w:val="auto"/>
                <w:highlight w:val="none"/>
              </w:rPr>
              <w:t>中限制</w:t>
            </w:r>
            <w:r>
              <w:rPr>
                <w:rFonts w:ascii="Times New Roman" w:hAnsi="Times New Roman"/>
                <w:color w:val="auto"/>
              </w:rPr>
              <w:t>类和淘汰类项目；不属于环境保护部发布《环境保护综合目录（20</w:t>
            </w:r>
            <w:r>
              <w:rPr>
                <w:rFonts w:hint="eastAsia" w:ascii="Times New Roman" w:hAnsi="Times New Roman"/>
                <w:color w:val="auto"/>
              </w:rPr>
              <w:t>21</w:t>
            </w:r>
            <w:r>
              <w:rPr>
                <w:rFonts w:ascii="Times New Roman" w:hAnsi="Times New Roman"/>
                <w:color w:val="auto"/>
              </w:rPr>
              <w:t>年版）》中高污染、高环境风险产品。项目符合《</w:t>
            </w:r>
            <w:r>
              <w:rPr>
                <w:rFonts w:ascii="Times New Roman" w:hAnsi="Times New Roman"/>
                <w:bCs/>
                <w:color w:val="auto"/>
              </w:rPr>
              <w:t>安徽省淮河流域水污染防治条例</w:t>
            </w:r>
            <w:r>
              <w:rPr>
                <w:rFonts w:ascii="Times New Roman" w:hAnsi="Times New Roman"/>
                <w:color w:val="auto"/>
              </w:rPr>
              <w:t>》中的相关要求。</w:t>
            </w:r>
          </w:p>
          <w:p w14:paraId="5D7838C2">
            <w:pPr>
              <w:pStyle w:val="31"/>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lang w:val="en-US" w:eastAsia="zh-CN"/>
              </w:rPr>
              <w:t>5</w:t>
            </w:r>
            <w:r>
              <w:rPr>
                <w:rFonts w:ascii="Times New Roman" w:hAnsi="Times New Roman"/>
                <w:b/>
                <w:bCs/>
                <w:color w:val="auto"/>
              </w:rPr>
              <w:t>、与《基本农田保护条例》符合性分析</w:t>
            </w:r>
          </w:p>
          <w:p w14:paraId="5D9F1452">
            <w:pPr>
              <w:pStyle w:val="31"/>
              <w:adjustRightInd/>
              <w:spacing w:line="360" w:lineRule="auto"/>
              <w:ind w:firstLine="480" w:firstLineChars="200"/>
              <w:jc w:val="both"/>
              <w:rPr>
                <w:rFonts w:ascii="Times New Roman" w:hAnsi="Times New Roman"/>
                <w:color w:val="auto"/>
              </w:rPr>
            </w:pPr>
            <w:r>
              <w:rPr>
                <w:rFonts w:ascii="Times New Roman" w:hAnsi="Times New Roman"/>
                <w:color w:val="auto"/>
              </w:rPr>
              <w:t>《基本农田保护条例》（国务院第257号）中第十五条提到，基本农田保护区经依法划定后，任何单位和个人不得改变或者占用。国家能源、交通、水利、军事设施等重点建设项目选址确实无法避开基本农田，需要占用基本农田，涉及用地转用或者征收土地的，必须经国务院批准。</w:t>
            </w:r>
            <w:r>
              <w:rPr>
                <w:rFonts w:hint="eastAsia" w:ascii="Times New Roman" w:hAnsi="Times New Roman"/>
                <w:color w:val="auto"/>
              </w:rPr>
              <w:t>其中第十六条规定：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w:t>
            </w:r>
            <w:r>
              <w:rPr>
                <w:rFonts w:hint="eastAsia" w:ascii="Times New Roman" w:hAnsi="Times New Roman"/>
                <w:color w:val="auto"/>
                <w:lang w:eastAsia="zh-CN"/>
              </w:rPr>
              <w:t>；</w:t>
            </w:r>
            <w:r>
              <w:rPr>
                <w:rFonts w:hint="eastAsia" w:ascii="Times New Roman" w:hAnsi="Times New Roman"/>
                <w:color w:val="auto"/>
              </w:rPr>
              <w:t>没有条件开垦或者开垦的耕地不符合要求的，应当按照省、自治区、直辖市的规定缴纳耕地开垦费，专款用于开垦新的耕地。</w:t>
            </w:r>
            <w:r>
              <w:rPr>
                <w:rFonts w:ascii="Times New Roman" w:hAnsi="Times New Roman"/>
                <w:color w:val="auto"/>
              </w:rPr>
              <w:t>占用基本农田的单位应当按照县级以上地方人民政府的要求，将所占用基本农田耕作层的土壤用于新开垦耕地劣质地或者其他耕地的土壤改良。</w:t>
            </w:r>
          </w:p>
          <w:p w14:paraId="3B2646D1">
            <w:pPr>
              <w:pStyle w:val="31"/>
              <w:adjustRightInd/>
              <w:spacing w:line="360" w:lineRule="auto"/>
              <w:ind w:firstLine="480" w:firstLineChars="200"/>
              <w:jc w:val="both"/>
              <w:rPr>
                <w:rFonts w:hint="eastAsia" w:ascii="Times New Roman" w:hAnsi="Times New Roman"/>
                <w:color w:val="auto"/>
                <w:highlight w:val="none"/>
              </w:rPr>
            </w:pPr>
            <w:r>
              <w:rPr>
                <w:rFonts w:hint="eastAsia" w:ascii="Times New Roman" w:hAnsi="Times New Roman"/>
                <w:color w:val="auto"/>
                <w:highlight w:val="none"/>
              </w:rPr>
              <w:t>本项目</w:t>
            </w:r>
            <w:r>
              <w:rPr>
                <w:rFonts w:ascii="Times New Roman" w:hAnsi="Times New Roman"/>
                <w:color w:val="auto"/>
                <w:highlight w:val="none"/>
              </w:rPr>
              <w:t>临时用地面积为</w:t>
            </w:r>
            <w:r>
              <w:rPr>
                <w:rFonts w:hint="eastAsia" w:ascii="Times New Roman" w:hAnsi="Times New Roman"/>
                <w:color w:val="auto"/>
                <w:highlight w:val="none"/>
                <w:lang w:val="en-US" w:eastAsia="zh-CN"/>
              </w:rPr>
              <w:t>2949</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w:t>
            </w:r>
            <w:r>
              <w:rPr>
                <w:rFonts w:hint="eastAsia" w:ascii="Times New Roman" w:hAnsi="Times New Roman"/>
                <w:color w:val="auto"/>
                <w:highlight w:val="none"/>
              </w:rPr>
              <w:t>占地类型为农用地，</w:t>
            </w:r>
            <w:r>
              <w:rPr>
                <w:rFonts w:hint="eastAsia" w:ascii="Times New Roman" w:hAnsi="Times New Roman"/>
                <w:color w:val="auto"/>
                <w:highlight w:val="none"/>
                <w:lang w:val="en-US" w:eastAsia="zh-CN"/>
              </w:rPr>
              <w:t>占地</w:t>
            </w:r>
            <w:r>
              <w:rPr>
                <w:rFonts w:hint="eastAsia" w:ascii="Times New Roman" w:hAnsi="Times New Roman"/>
                <w:color w:val="auto"/>
                <w:kern w:val="21"/>
                <w:highlight w:val="none"/>
              </w:rPr>
              <w:t>已划定永久基本农田</w:t>
            </w:r>
            <w:r>
              <w:rPr>
                <w:rFonts w:hint="eastAsia" w:ascii="Times New Roman" w:hAnsi="Times New Roman"/>
                <w:color w:val="auto"/>
                <w:kern w:val="21"/>
                <w:highlight w:val="none"/>
                <w:lang w:val="en-US" w:eastAsia="zh-CN"/>
              </w:rPr>
              <w:t>2935</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ascii="Times New Roman" w:hAnsi="Times New Roman"/>
                <w:color w:val="auto"/>
                <w:highlight w:val="none"/>
              </w:rPr>
              <w:t>，占地不涉及生态保护红线。本项目为煤矿开采过程中一项辅助性工程，根据井田布局及开采需要项目施工无法避让基本农田，建设单位已按照相关要求取得了淮南市自然资源和规划局潘集分局出具了本项目临时用地初审意见，根据临时用地相关政策要求</w:t>
            </w:r>
            <w:r>
              <w:rPr>
                <w:rFonts w:hint="eastAsia" w:ascii="Times New Roman" w:hAnsi="Times New Roman"/>
                <w:color w:val="auto"/>
                <w:highlight w:val="none"/>
                <w:lang w:eastAsia="zh-CN"/>
              </w:rPr>
              <w:t>，</w:t>
            </w:r>
            <w:r>
              <w:rPr>
                <w:rFonts w:hint="eastAsia" w:ascii="Times New Roman" w:hAnsi="Times New Roman"/>
                <w:color w:val="auto"/>
                <w:highlight w:val="none"/>
              </w:rPr>
              <w:t>本</w:t>
            </w:r>
            <w:r>
              <w:rPr>
                <w:rFonts w:hint="eastAsia" w:ascii="Times New Roman" w:hAnsi="Times New Roman"/>
                <w:color w:val="auto"/>
                <w:highlight w:val="none"/>
                <w:lang w:val="en-US" w:eastAsia="zh-CN"/>
              </w:rPr>
              <w:t>项目用地时长预计约6个月</w:t>
            </w:r>
            <w:r>
              <w:rPr>
                <w:rFonts w:hint="eastAsia" w:ascii="Times New Roman" w:hAnsi="Times New Roman"/>
                <w:color w:val="auto"/>
                <w:highlight w:val="none"/>
              </w:rPr>
              <w:t>。</w:t>
            </w:r>
          </w:p>
          <w:p w14:paraId="0D645E6A">
            <w:pPr>
              <w:pStyle w:val="31"/>
              <w:adjustRightInd/>
              <w:spacing w:line="360" w:lineRule="auto"/>
              <w:ind w:firstLine="480" w:firstLineChars="200"/>
              <w:jc w:val="both"/>
              <w:rPr>
                <w:rFonts w:hint="eastAsia" w:ascii="Times New Roman" w:hAnsi="Times New Roman"/>
                <w:color w:val="auto"/>
                <w:highlight w:val="none"/>
              </w:rPr>
            </w:pPr>
            <w:r>
              <w:rPr>
                <w:rFonts w:hint="eastAsia" w:ascii="Times New Roman" w:hAnsi="Times New Roman"/>
                <w:color w:val="auto"/>
                <w:highlight w:val="none"/>
              </w:rPr>
              <w:t>临时用地使用前，建设单位剥离表土用于复垦覆土。因占用土地以耕地为主、复垦方向亦为耕地，为保障复垦质量，剥离表土经机械运输后集中堆存。堆放期间为防控水土流失、保护土壤肥力，采取以下措施：周边设置袋装土临时拦挡；堆积时尽量压实并覆盖土工布，减少降雨冲刷；周边修建临时排水沟，疏导周边雨水。施工后期拆除袋装土，尽快将表土用于覆土，缩短堆放时间。土壤改良采取增施有机肥、复合肥及翻耕措施：复垦区连续二年每年增施有机质含量≥30%的有机肥，同步连续二年增施复合肥，补充微量营养元素、提升土壤养分；无法剥离表土的地块，有机肥与复合肥用量加倍。翻耕可疏松土壤、加厚耕层，改善土壤水热气状况及营养条件，熟化土壤、提升有效肥力。</w:t>
            </w:r>
          </w:p>
          <w:p w14:paraId="09D7115A">
            <w:pPr>
              <w:pStyle w:val="31"/>
              <w:adjustRightInd/>
              <w:spacing w:line="360" w:lineRule="auto"/>
              <w:ind w:firstLine="480" w:firstLineChars="200"/>
              <w:jc w:val="both"/>
              <w:rPr>
                <w:rFonts w:hint="eastAsia" w:ascii="Times New Roman" w:hAnsi="Times New Roman"/>
                <w:color w:val="auto"/>
                <w:highlight w:val="none"/>
              </w:rPr>
            </w:pPr>
            <w:r>
              <w:rPr>
                <w:rFonts w:hint="eastAsia" w:ascii="Times New Roman" w:hAnsi="Times New Roman"/>
                <w:color w:val="auto"/>
                <w:highlight w:val="none"/>
              </w:rPr>
              <w:t>在采取上述措施后，可以满足《基本农田保护条例》相关要求。</w:t>
            </w:r>
          </w:p>
          <w:p w14:paraId="06FE4F75">
            <w:pPr>
              <w:pStyle w:val="31"/>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highlight w:val="none"/>
                <w:lang w:val="en-US" w:eastAsia="zh-CN"/>
              </w:rPr>
              <w:t>6</w:t>
            </w:r>
            <w:r>
              <w:rPr>
                <w:rFonts w:ascii="Times New Roman" w:hAnsi="Times New Roman"/>
                <w:b/>
                <w:bCs/>
                <w:color w:val="auto"/>
                <w:highlight w:val="none"/>
              </w:rPr>
              <w:t>、</w:t>
            </w:r>
            <w:r>
              <w:rPr>
                <w:rFonts w:hint="eastAsia" w:ascii="Times New Roman" w:hAnsi="Times New Roman"/>
                <w:b/>
                <w:bCs/>
                <w:color w:val="auto"/>
                <w:highlight w:val="none"/>
              </w:rPr>
              <w:t>与《关于加强和改进永久基本农田保护工作的通知》</w:t>
            </w:r>
            <w:r>
              <w:rPr>
                <w:rFonts w:hint="eastAsia" w:ascii="Times New Roman" w:hAnsi="Times New Roman"/>
                <w:b/>
                <w:bCs/>
                <w:color w:val="auto"/>
              </w:rPr>
              <w:t>（自然资规</w:t>
            </w:r>
            <w:r>
              <w:rPr>
                <w:rFonts w:ascii="Times New Roman" w:hAnsi="Times New Roman"/>
                <w:b/>
                <w:bCs/>
                <w:color w:val="auto"/>
              </w:rPr>
              <w:t>〔20</w:t>
            </w:r>
            <w:r>
              <w:rPr>
                <w:rFonts w:hint="eastAsia" w:ascii="Times New Roman" w:hAnsi="Times New Roman"/>
                <w:b/>
                <w:bCs/>
                <w:color w:val="auto"/>
              </w:rPr>
              <w:t>19</w:t>
            </w:r>
            <w:r>
              <w:rPr>
                <w:rFonts w:ascii="Times New Roman" w:hAnsi="Times New Roman"/>
                <w:b/>
                <w:bCs/>
                <w:color w:val="auto"/>
              </w:rPr>
              <w:t>〕</w:t>
            </w:r>
            <w:r>
              <w:rPr>
                <w:rFonts w:hint="eastAsia" w:ascii="Times New Roman" w:hAnsi="Times New Roman"/>
                <w:b/>
                <w:bCs/>
                <w:color w:val="auto"/>
              </w:rPr>
              <w:t>1号）符合性分析</w:t>
            </w:r>
          </w:p>
          <w:p w14:paraId="42D4DEAA">
            <w:pPr>
              <w:pStyle w:val="31"/>
              <w:adjustRightInd/>
              <w:spacing w:line="360" w:lineRule="auto"/>
              <w:ind w:firstLine="480" w:firstLineChars="200"/>
              <w:jc w:val="both"/>
              <w:rPr>
                <w:rFonts w:hint="eastAsia" w:ascii="Times New Roman" w:hAnsi="Times New Roman" w:eastAsia="宋体"/>
                <w:color w:val="auto"/>
                <w:lang w:eastAsia="zh-CN"/>
              </w:rPr>
            </w:pPr>
            <w:r>
              <w:rPr>
                <w:rFonts w:hint="eastAsia" w:ascii="Times New Roman" w:hAnsi="Times New Roman"/>
                <w:color w:val="auto"/>
              </w:rPr>
              <w:t>根据</w:t>
            </w:r>
            <w:r>
              <w:rPr>
                <w:rFonts w:ascii="Times New Roman" w:hAnsi="Times New Roman"/>
                <w:color w:val="auto"/>
              </w:rPr>
              <w:t>自然资源部、农业农村部印发《关于加强和改进永久基本农田保护工作的通知》（自然资规</w:t>
            </w:r>
            <w:r>
              <w:rPr>
                <w:rFonts w:ascii="Times New Roman" w:hAnsi="Times New Roman"/>
                <w:b w:val="0"/>
                <w:bCs w:val="0"/>
                <w:color w:val="auto"/>
              </w:rPr>
              <w:t>〔20</w:t>
            </w:r>
            <w:r>
              <w:rPr>
                <w:rFonts w:hint="eastAsia" w:ascii="Times New Roman" w:hAnsi="Times New Roman"/>
                <w:b w:val="0"/>
                <w:bCs w:val="0"/>
                <w:color w:val="auto"/>
              </w:rPr>
              <w:t>19</w:t>
            </w:r>
            <w:r>
              <w:rPr>
                <w:rFonts w:ascii="Times New Roman" w:hAnsi="Times New Roman"/>
                <w:b w:val="0"/>
                <w:bCs w:val="0"/>
                <w:color w:val="auto"/>
              </w:rPr>
              <w:t>〕</w:t>
            </w:r>
            <w:r>
              <w:rPr>
                <w:rFonts w:hint="eastAsia" w:ascii="Times New Roman" w:hAnsi="Times New Roman"/>
                <w:b w:val="0"/>
                <w:bCs w:val="0"/>
                <w:color w:val="auto"/>
              </w:rPr>
              <w:t>1号</w:t>
            </w:r>
            <w:r>
              <w:rPr>
                <w:rFonts w:ascii="Times New Roman" w:hAnsi="Times New Roman"/>
                <w:b w:val="0"/>
                <w:bCs w:val="0"/>
                <w:color w:val="auto"/>
              </w:rPr>
              <w:t>）中</w:t>
            </w:r>
            <w:r>
              <w:rPr>
                <w:rFonts w:ascii="Times New Roman" w:hAnsi="Times New Roman"/>
                <w:color w:val="auto"/>
              </w:rPr>
              <w:t>相关规定，</w:t>
            </w:r>
            <w:r>
              <w:rPr>
                <w:rFonts w:hint="eastAsia" w:ascii="Times New Roman" w:hAnsi="Times New Roman"/>
                <w:color w:val="auto"/>
                <w:lang w:eastAsia="zh-CN"/>
              </w:rPr>
              <w:t>“</w:t>
            </w:r>
            <w:r>
              <w:rPr>
                <w:rFonts w:ascii="Times New Roman" w:hAnsi="Times New Roman"/>
                <w:color w:val="auto"/>
              </w:rPr>
              <w:t>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临时用地到期后土地使用者应及时复垦恢复原种植条件，自然资源主管部门会同农业农村等相关主管部门开展土地复垦验收，验收合格的，继续按照永久基本农田保护和管理；验收不合格的，责令土地使用者进行整改，经整改仍不合格的，按照《土地复垦条例》规定由自然资源主管部门使用缴纳的土地复垦费代为组织复垦，并由自然资源主管部门会同农业农村等相关主管部门开展土地复垦验收。自然资源主管部门要切实履行职责，对在临时用地上修建永久性建（构）筑物或其他造成无法恢复原种植条件的行为依法进行处理；市级自然资源主管部门负责临时用地使用情况的监督管理，通过日常检查、年度卫片执法检查等，及时发现并纠正临时用地中存在的问题。</w:t>
            </w:r>
            <w:r>
              <w:rPr>
                <w:rFonts w:hint="eastAsia" w:ascii="Times New Roman" w:hAnsi="Times New Roman"/>
                <w:color w:val="auto"/>
                <w:lang w:eastAsia="zh-CN"/>
              </w:rPr>
              <w:t>”</w:t>
            </w:r>
          </w:p>
          <w:p w14:paraId="7D580015">
            <w:pPr>
              <w:pStyle w:val="31"/>
              <w:adjustRightInd/>
              <w:spacing w:line="360" w:lineRule="auto"/>
              <w:ind w:firstLine="480" w:firstLineChars="200"/>
              <w:jc w:val="both"/>
              <w:rPr>
                <w:rFonts w:ascii="Times New Roman" w:hAnsi="Times New Roman"/>
                <w:color w:val="auto"/>
                <w:highlight w:val="none"/>
              </w:rPr>
            </w:pPr>
            <w:r>
              <w:rPr>
                <w:rFonts w:hint="eastAsia" w:ascii="Times New Roman" w:hAnsi="Times New Roman"/>
                <w:color w:val="auto"/>
                <w:highlight w:val="none"/>
              </w:rPr>
              <w:t>本项目补勘钻孔工程主要是探查控制一采区边界断层FD10逆断层和FD45逆断层摆动情况，为后需开采提供基础资料，降低地质风险；长观钻孔工程主要是监测奥灰含水层水位变化情况，为后期开采工作保障矿井生产安全</w:t>
            </w:r>
            <w:r>
              <w:rPr>
                <w:rFonts w:hint="eastAsia" w:ascii="Times New Roman" w:hAnsi="Times New Roman"/>
                <w:color w:val="auto"/>
                <w:highlight w:val="none"/>
                <w:lang w:eastAsia="zh-CN"/>
              </w:rPr>
              <w:t>，</w:t>
            </w:r>
            <w:r>
              <w:rPr>
                <w:rFonts w:ascii="Times New Roman" w:hAnsi="Times New Roman"/>
                <w:color w:val="auto"/>
                <w:highlight w:val="none"/>
              </w:rPr>
              <w:t>属于地质勘查技术服务项目，临时用地面积为</w:t>
            </w:r>
            <w:r>
              <w:rPr>
                <w:rFonts w:hint="eastAsia" w:ascii="Times New Roman" w:hAnsi="Times New Roman"/>
                <w:color w:val="auto"/>
                <w:highlight w:val="none"/>
                <w:lang w:val="en-US" w:eastAsia="zh-CN"/>
              </w:rPr>
              <w:t>2949</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w:t>
            </w:r>
            <w:r>
              <w:rPr>
                <w:rFonts w:hint="eastAsia" w:ascii="Times New Roman" w:hAnsi="Times New Roman"/>
                <w:color w:val="auto"/>
                <w:highlight w:val="none"/>
              </w:rPr>
              <w:t>用地时长</w:t>
            </w:r>
            <w:r>
              <w:rPr>
                <w:rFonts w:hint="eastAsia" w:ascii="Times New Roman" w:hAnsi="Times New Roman"/>
                <w:color w:val="auto"/>
                <w:highlight w:val="none"/>
                <w:lang w:val="en-US" w:eastAsia="zh-CN"/>
              </w:rPr>
              <w:t>预计约6个月，已办理相关用地手续</w:t>
            </w:r>
            <w:r>
              <w:rPr>
                <w:rFonts w:ascii="Times New Roman" w:hAnsi="Times New Roman"/>
                <w:color w:val="auto"/>
                <w:highlight w:val="none"/>
              </w:rPr>
              <w:t>。</w:t>
            </w:r>
          </w:p>
          <w:p w14:paraId="3457F08F">
            <w:pPr>
              <w:pStyle w:val="31"/>
              <w:adjustRightInd/>
              <w:spacing w:line="360" w:lineRule="auto"/>
              <w:ind w:firstLine="482" w:firstLineChars="200"/>
              <w:jc w:val="both"/>
              <w:rPr>
                <w:rFonts w:hint="eastAsia" w:ascii="Times New Roman" w:hAnsi="Times New Roman"/>
                <w:b/>
                <w:bCs/>
                <w:color w:val="auto"/>
                <w:lang w:val="en-US" w:eastAsia="zh-CN"/>
              </w:rPr>
            </w:pPr>
            <w:r>
              <w:rPr>
                <w:rFonts w:hint="eastAsia" w:ascii="Times New Roman" w:hAnsi="Times New Roman"/>
                <w:b/>
                <w:bCs/>
                <w:color w:val="auto"/>
                <w:lang w:val="en-US" w:eastAsia="zh-CN"/>
              </w:rPr>
              <w:t>7、与《永久基本农田保护红线管理办法》相符性分析</w:t>
            </w:r>
          </w:p>
          <w:p w14:paraId="0FA45D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表1-</w:t>
            </w:r>
            <w:r>
              <w:rPr>
                <w:rFonts w:hint="eastAsia" w:ascii="Times New Roman" w:hAnsi="Times New Roman" w:cs="Times New Roman"/>
                <w:b/>
                <w:color w:val="auto"/>
                <w:szCs w:val="21"/>
                <w:lang w:val="en-US" w:eastAsia="zh-CN"/>
              </w:rPr>
              <w:t>5</w:t>
            </w:r>
            <w:r>
              <w:rPr>
                <w:rFonts w:hint="eastAsia" w:ascii="Times New Roman" w:hAnsi="Times New Roman" w:eastAsia="宋体" w:cs="Times New Roman"/>
                <w:b/>
                <w:color w:val="auto"/>
                <w:szCs w:val="21"/>
                <w:lang w:val="en-US" w:eastAsia="zh-CN"/>
              </w:rPr>
              <w:t xml:space="preserve">  本项目与《永久基本农田保护红线管理办法》相符性分析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4"/>
              <w:gridCol w:w="3492"/>
              <w:gridCol w:w="891"/>
            </w:tblGrid>
            <w:tr w14:paraId="7321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pct"/>
                  <w:vAlign w:val="center"/>
                </w:tcPr>
                <w:p w14:paraId="0CBE2F5D">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管理办法</w:t>
                  </w:r>
                </w:p>
              </w:tc>
              <w:tc>
                <w:tcPr>
                  <w:tcW w:w="2129" w:type="pct"/>
                  <w:vAlign w:val="center"/>
                </w:tcPr>
                <w:p w14:paraId="5C0127F3">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本项目</w:t>
                  </w:r>
                </w:p>
              </w:tc>
              <w:tc>
                <w:tcPr>
                  <w:tcW w:w="543" w:type="pct"/>
                  <w:vAlign w:val="center"/>
                </w:tcPr>
                <w:p w14:paraId="3BD12580">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符合性分析</w:t>
                  </w:r>
                </w:p>
              </w:tc>
            </w:tr>
            <w:tr w14:paraId="3510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pct"/>
                  <w:vAlign w:val="center"/>
                </w:tcPr>
                <w:p w14:paraId="4CC84A79">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第六条 禁止占用永久基本农田挖湖造景，建设绿化带，种植草皮等用于绿化装饰的植物，堆放固体废弃物，填埋垃圾，以及法律法规禁止的其他行为。</w:t>
                  </w:r>
                </w:p>
              </w:tc>
              <w:tc>
                <w:tcPr>
                  <w:tcW w:w="2129" w:type="pct"/>
                  <w:vMerge w:val="restart"/>
                  <w:vAlign w:val="center"/>
                </w:tcPr>
                <w:p w14:paraId="693B5EC2">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color w:val="auto"/>
                      <w:sz w:val="21"/>
                      <w:szCs w:val="24"/>
                      <w:lang w:eastAsia="zh-CN"/>
                    </w:rPr>
                    <w:t>本项目补勘钻孔工程主要是探查控制一采区边界断层FD10逆断层和FD45逆断层摆动情况，为后续开采提供基础资料，降低地质风险；长观钻孔工程主要是监测奥灰含水层水位变化情况，为后期开采工作保障矿井生产安全</w:t>
                  </w:r>
                  <w:r>
                    <w:rPr>
                      <w:rFonts w:hint="eastAsia" w:ascii="Times New Roman" w:hAnsi="Times New Roman" w:eastAsia="宋体"/>
                      <w:b w:val="0"/>
                      <w:color w:val="auto"/>
                      <w:sz w:val="21"/>
                      <w:szCs w:val="24"/>
                    </w:rPr>
                    <w:t>。</w:t>
                  </w:r>
                  <w:r>
                    <w:rPr>
                      <w:rFonts w:hint="eastAsia" w:ascii="Times New Roman" w:hAnsi="Times New Roman"/>
                      <w:b w:val="0"/>
                      <w:color w:val="auto"/>
                      <w:sz w:val="21"/>
                      <w:szCs w:val="24"/>
                      <w:lang w:val="en-US" w:eastAsia="zh-CN"/>
                    </w:rPr>
                    <w:t>建设单位</w:t>
                  </w:r>
                  <w:r>
                    <w:rPr>
                      <w:rFonts w:hint="eastAsia"/>
                      <w:color w:val="auto"/>
                      <w:sz w:val="21"/>
                      <w:szCs w:val="21"/>
                      <w:highlight w:val="none"/>
                      <w:lang w:val="zh-CN"/>
                    </w:rPr>
                    <w:t>已按照临时用地相关政策要求编制完成复垦方案并取得了淮南市自然资源和规划局潘集分局出具了本项目临时用地初审意见。本项目施工完成后将按照已批复的土地复垦方案进行土地复垦，及时恢复种植条件。</w:t>
                  </w:r>
                </w:p>
              </w:tc>
              <w:tc>
                <w:tcPr>
                  <w:tcW w:w="543" w:type="pct"/>
                  <w:vAlign w:val="center"/>
                </w:tcPr>
                <w:p w14:paraId="4539C79B">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r w14:paraId="3409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6" w:type="pct"/>
                </w:tcPr>
                <w:p w14:paraId="3A39394E">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第二十二条 全国矿产资源规划明确的战略性矿产，以及地热、矿泉水等不造成永久基本农田损毁的非战略性矿产，允许在永久基本农田上设立矿业权。在永久基本农田划定前已经设立的非战略性矿产矿业权，允许在原矿业权范围内办理延续变更等登记手续，已取得探矿权申请探矿权转采矿权的，允许在落实保护性开采措施前提下，采取井下方式开采。</w:t>
                  </w:r>
                </w:p>
              </w:tc>
              <w:tc>
                <w:tcPr>
                  <w:tcW w:w="2129" w:type="pct"/>
                  <w:vMerge w:val="continue"/>
                </w:tcPr>
                <w:p w14:paraId="389E222A">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p>
              </w:tc>
              <w:tc>
                <w:tcPr>
                  <w:tcW w:w="543" w:type="pct"/>
                  <w:vAlign w:val="center"/>
                </w:tcPr>
                <w:p w14:paraId="49A8BC45">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bl>
          <w:p w14:paraId="652880B5">
            <w:pPr>
              <w:pStyle w:val="31"/>
              <w:adjustRightInd/>
              <w:spacing w:line="360" w:lineRule="auto"/>
              <w:ind w:firstLine="482" w:firstLineChars="200"/>
              <w:jc w:val="both"/>
              <w:rPr>
                <w:rFonts w:hint="default" w:ascii="Times New Roman" w:hAnsi="Times New Roman"/>
                <w:b/>
                <w:bCs/>
                <w:color w:val="auto"/>
                <w:lang w:val="en-US" w:eastAsia="zh-CN"/>
              </w:rPr>
            </w:pPr>
            <w:r>
              <w:rPr>
                <w:rFonts w:hint="eastAsia" w:ascii="Times New Roman" w:hAnsi="Times New Roman"/>
                <w:b/>
                <w:bCs/>
                <w:color w:val="auto"/>
                <w:lang w:val="en-US" w:eastAsia="zh-CN"/>
              </w:rPr>
              <w:t>8、与《安徽省基本农田保护条例》相符性分析</w:t>
            </w:r>
          </w:p>
          <w:p w14:paraId="6D4FFE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表1-</w:t>
            </w:r>
            <w:r>
              <w:rPr>
                <w:rFonts w:hint="eastAsia" w:ascii="Times New Roman" w:hAnsi="Times New Roman" w:cs="Times New Roman"/>
                <w:b/>
                <w:color w:val="auto"/>
                <w:szCs w:val="21"/>
                <w:lang w:val="en-US" w:eastAsia="zh-CN"/>
              </w:rPr>
              <w:t>6</w:t>
            </w:r>
            <w:r>
              <w:rPr>
                <w:rFonts w:hint="eastAsia" w:ascii="Times New Roman" w:hAnsi="Times New Roman" w:eastAsia="宋体" w:cs="Times New Roman"/>
                <w:b/>
                <w:color w:val="auto"/>
                <w:szCs w:val="21"/>
                <w:lang w:val="en-US" w:eastAsia="zh-CN"/>
              </w:rPr>
              <w:t xml:space="preserve">  本项目与《安徽省基本农田保护条例》相符性分析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0"/>
              <w:gridCol w:w="1807"/>
              <w:gridCol w:w="890"/>
            </w:tblGrid>
            <w:tr w14:paraId="5DDC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vAlign w:val="center"/>
                </w:tcPr>
                <w:p w14:paraId="134DE182">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保护条例</w:t>
                  </w:r>
                </w:p>
              </w:tc>
              <w:tc>
                <w:tcPr>
                  <w:tcW w:w="1102" w:type="pct"/>
                  <w:vAlign w:val="center"/>
                </w:tcPr>
                <w:p w14:paraId="7D9C3ED1">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本项目</w:t>
                  </w:r>
                </w:p>
              </w:tc>
              <w:tc>
                <w:tcPr>
                  <w:tcW w:w="543" w:type="pct"/>
                  <w:vAlign w:val="center"/>
                </w:tcPr>
                <w:p w14:paraId="68398348">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符合性分析</w:t>
                  </w:r>
                </w:p>
              </w:tc>
            </w:tr>
            <w:tr w14:paraId="0B43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vAlign w:val="center"/>
                </w:tcPr>
                <w:p w14:paraId="6B26914D">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第十五条 基本农田保护区内禁止下列行为：</w:t>
                  </w:r>
                </w:p>
                <w:p w14:paraId="065B5646">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（一）擅自将耕地改为非耕地；</w:t>
                  </w:r>
                </w:p>
                <w:p w14:paraId="0D4A542C">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（二）闲置、荒芜耕地；</w:t>
                  </w:r>
                </w:p>
                <w:p w14:paraId="39264200">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（三）建窑、建房、建坟；</w:t>
                  </w:r>
                </w:p>
                <w:p w14:paraId="7D104FF2">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（四）擅自挖沙、采石、采矿、取土；</w:t>
                  </w:r>
                </w:p>
                <w:p w14:paraId="1E459305">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（五）排放污染性的废水、废气，堆放固体废弃物；</w:t>
                  </w:r>
                </w:p>
                <w:p w14:paraId="4EFAA88F">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（六）向基本农田提供不符合国家有关标准的肥料、农药；</w:t>
                  </w:r>
                </w:p>
                <w:p w14:paraId="17917EA8">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（七）毁坏水利排灌设施；</w:t>
                  </w:r>
                </w:p>
                <w:p w14:paraId="62CDF348">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（八）擅自砍伐农田防护林和水土保持林；</w:t>
                  </w:r>
                </w:p>
                <w:p w14:paraId="7DC32400">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（九）破坏或擅自改变基本农田保护区标志；</w:t>
                  </w:r>
                </w:p>
                <w:p w14:paraId="444A4609">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（十）其他破坏基本农田的行为。</w:t>
                  </w:r>
                </w:p>
              </w:tc>
              <w:tc>
                <w:tcPr>
                  <w:tcW w:w="1102" w:type="pct"/>
                  <w:vMerge w:val="restart"/>
                  <w:vAlign w:val="center"/>
                </w:tcPr>
                <w:p w14:paraId="493B10BD">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color w:val="auto"/>
                      <w:sz w:val="21"/>
                      <w:szCs w:val="24"/>
                      <w:lang w:eastAsia="zh-CN"/>
                    </w:rPr>
                    <w:t>本项目补勘钻孔工程主要是探查控制一采区边界断层FD10逆断层和FD45逆断层摆动情况，为后续开采提供基础资料，降低地质风险；长观钻孔工程主要是监测奥灰含水层水位变化情况，为后期开采工作保障矿井生产安全</w:t>
                  </w:r>
                  <w:r>
                    <w:rPr>
                      <w:rFonts w:hint="eastAsia" w:ascii="Times New Roman" w:hAnsi="Times New Roman" w:eastAsia="宋体"/>
                      <w:b w:val="0"/>
                      <w:color w:val="auto"/>
                      <w:sz w:val="21"/>
                      <w:szCs w:val="24"/>
                    </w:rPr>
                    <w:t>。</w:t>
                  </w:r>
                  <w:r>
                    <w:rPr>
                      <w:rFonts w:hint="eastAsia" w:ascii="Times New Roman" w:hAnsi="Times New Roman"/>
                      <w:b w:val="0"/>
                      <w:color w:val="auto"/>
                      <w:sz w:val="21"/>
                      <w:szCs w:val="24"/>
                      <w:lang w:val="en-US" w:eastAsia="zh-CN"/>
                    </w:rPr>
                    <w:t>建设单位</w:t>
                  </w:r>
                  <w:r>
                    <w:rPr>
                      <w:rFonts w:hint="eastAsia"/>
                      <w:color w:val="auto"/>
                      <w:sz w:val="21"/>
                      <w:szCs w:val="21"/>
                      <w:highlight w:val="none"/>
                      <w:lang w:val="zh-CN"/>
                    </w:rPr>
                    <w:t>已按照临时用地相关政策要求编制完成复垦方案并取得了淮南市自然资源和规划局潘集分局出具了本项目临时用地初审意见。本项目施工完成后将按照已批复的土地复垦方案进行土地复垦，及时恢复种植条件。</w:t>
                  </w:r>
                </w:p>
              </w:tc>
              <w:tc>
                <w:tcPr>
                  <w:tcW w:w="543" w:type="pct"/>
                  <w:vAlign w:val="center"/>
                </w:tcPr>
                <w:p w14:paraId="50954589">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r w14:paraId="77C4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tcPr>
                <w:p w14:paraId="2DDBEA14">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第十七条</w:t>
                  </w:r>
                  <w:r>
                    <w:rPr>
                      <w:rFonts w:hint="eastAsia" w:ascii="Times New Roman" w:hAnsi="Times New Roman"/>
                      <w:b w:val="0"/>
                      <w:bCs w:val="0"/>
                      <w:color w:val="auto"/>
                      <w:sz w:val="21"/>
                      <w:szCs w:val="21"/>
                      <w:vertAlign w:val="baseline"/>
                      <w:lang w:val="en-US" w:eastAsia="zh-CN"/>
                    </w:rPr>
                    <w:t xml:space="preserve"> </w:t>
                  </w:r>
                  <w:r>
                    <w:rPr>
                      <w:rFonts w:hint="default" w:ascii="Times New Roman" w:hAnsi="Times New Roman"/>
                      <w:b w:val="0"/>
                      <w:bCs w:val="0"/>
                      <w:color w:val="auto"/>
                      <w:sz w:val="21"/>
                      <w:szCs w:val="21"/>
                      <w:vertAlign w:val="baseline"/>
                      <w:lang w:val="en-US" w:eastAsia="zh-CN"/>
                    </w:rPr>
                    <w:t>开采地下资源或者从事其他生产建设活动，造成基本农田塌陷、毁坏的单位或个人，必须按照土地复垦有关规定负责整治或支付复垦费用，并对造成的损失给予补偿。</w:t>
                  </w:r>
                </w:p>
              </w:tc>
              <w:tc>
                <w:tcPr>
                  <w:tcW w:w="1102" w:type="pct"/>
                  <w:vMerge w:val="continue"/>
                </w:tcPr>
                <w:p w14:paraId="6D165648">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p>
              </w:tc>
              <w:tc>
                <w:tcPr>
                  <w:tcW w:w="543" w:type="pct"/>
                  <w:vAlign w:val="center"/>
                </w:tcPr>
                <w:p w14:paraId="4BC37967">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r w14:paraId="7A18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4" w:type="pct"/>
                </w:tcPr>
                <w:p w14:paraId="73029EB0">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第十九条</w:t>
                  </w:r>
                  <w:r>
                    <w:rPr>
                      <w:rFonts w:hint="eastAsia" w:ascii="Times New Roman" w:hAnsi="Times New Roman"/>
                      <w:b w:val="0"/>
                      <w:bCs w:val="0"/>
                      <w:color w:val="auto"/>
                      <w:sz w:val="21"/>
                      <w:szCs w:val="21"/>
                      <w:vertAlign w:val="baseline"/>
                      <w:lang w:val="en-US" w:eastAsia="zh-CN"/>
                    </w:rPr>
                    <w:t xml:space="preserve"> </w:t>
                  </w:r>
                  <w:r>
                    <w:rPr>
                      <w:rFonts w:hint="default" w:ascii="Times New Roman" w:hAnsi="Times New Roman"/>
                      <w:b w:val="0"/>
                      <w:bCs w:val="0"/>
                      <w:color w:val="auto"/>
                      <w:sz w:val="21"/>
                      <w:szCs w:val="21"/>
                      <w:vertAlign w:val="baseline"/>
                      <w:lang w:val="en-US" w:eastAsia="zh-CN"/>
                    </w:rPr>
                    <w:t>经依法批准占用基本农田保护区耕地的单位或个人，除依照国家有关规定缴纳有关税费外，必须按照</w:t>
                  </w:r>
                  <w:r>
                    <w:rPr>
                      <w:rFonts w:hint="eastAsia" w:ascii="Times New Roman" w:hAnsi="Times New Roman"/>
                      <w:b w:val="0"/>
                      <w:bCs w:val="0"/>
                      <w:color w:val="auto"/>
                      <w:sz w:val="21"/>
                      <w:szCs w:val="21"/>
                      <w:vertAlign w:val="baseline"/>
                      <w:lang w:val="en-US" w:eastAsia="zh-CN"/>
                    </w:rPr>
                    <w:t>“</w:t>
                  </w:r>
                  <w:r>
                    <w:rPr>
                      <w:rFonts w:hint="default" w:ascii="Times New Roman" w:hAnsi="Times New Roman"/>
                      <w:b w:val="0"/>
                      <w:bCs w:val="0"/>
                      <w:color w:val="auto"/>
                      <w:sz w:val="21"/>
                      <w:szCs w:val="21"/>
                      <w:vertAlign w:val="baseline"/>
                      <w:lang w:val="en-US" w:eastAsia="zh-CN"/>
                    </w:rPr>
                    <w:t>占多少、垦多少</w:t>
                  </w:r>
                  <w:r>
                    <w:rPr>
                      <w:rFonts w:hint="eastAsia" w:ascii="Times New Roman" w:hAnsi="Times New Roman"/>
                      <w:b w:val="0"/>
                      <w:bCs w:val="0"/>
                      <w:color w:val="auto"/>
                      <w:sz w:val="21"/>
                      <w:szCs w:val="21"/>
                      <w:vertAlign w:val="baseline"/>
                      <w:lang w:val="en-US" w:eastAsia="zh-CN"/>
                    </w:rPr>
                    <w:t>”</w:t>
                  </w:r>
                  <w:r>
                    <w:rPr>
                      <w:rFonts w:hint="default" w:ascii="Times New Roman" w:hAnsi="Times New Roman"/>
                      <w:b w:val="0"/>
                      <w:bCs w:val="0"/>
                      <w:color w:val="auto"/>
                      <w:sz w:val="21"/>
                      <w:szCs w:val="21"/>
                      <w:vertAlign w:val="baseline"/>
                      <w:lang w:val="en-US" w:eastAsia="zh-CN"/>
                    </w:rPr>
                    <w:t>的原则，负责开垦与所占耕地的数量、质量相当的新耕地；没有条件开垦或开垦的耕地不符合要求的，应按下列标准一次性缴纳或补足占用基本农田保护区耕地开垦费：</w:t>
                  </w:r>
                </w:p>
                <w:p w14:paraId="2DD810E8">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（一）占用一级基本农田的，为征地补偿、补助费用总额的2倍；</w:t>
                  </w:r>
                </w:p>
                <w:p w14:paraId="7CB0A85E">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（二）占用二级基本农田的，为征地补偿、补助费用总额的1倍；</w:t>
                  </w:r>
                </w:p>
                <w:p w14:paraId="25649CA7">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（三）占用三级基本农田的，为征地补偿、补助费用总额的0.5倍；</w:t>
                  </w:r>
                </w:p>
                <w:p w14:paraId="5FBC4413">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r>
                    <w:rPr>
                      <w:rFonts w:hint="default" w:ascii="Times New Roman" w:hAnsi="Times New Roman"/>
                      <w:b w:val="0"/>
                      <w:bCs w:val="0"/>
                      <w:color w:val="auto"/>
                      <w:sz w:val="21"/>
                      <w:szCs w:val="21"/>
                      <w:vertAlign w:val="baseline"/>
                      <w:lang w:val="en-US" w:eastAsia="zh-CN"/>
                    </w:rPr>
                    <w:t>占用蔬菜生产基地内的菜地，已按照国家有关规定缴纳新菜地开发建设基金的，不再缴纳占用基本农田保护区耕地开垦费。</w:t>
                  </w:r>
                </w:p>
              </w:tc>
              <w:tc>
                <w:tcPr>
                  <w:tcW w:w="1102" w:type="pct"/>
                  <w:vMerge w:val="continue"/>
                </w:tcPr>
                <w:p w14:paraId="7FCD58F7">
                  <w:pPr>
                    <w:pStyle w:val="3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b w:val="0"/>
                      <w:bCs w:val="0"/>
                      <w:color w:val="auto"/>
                      <w:sz w:val="21"/>
                      <w:szCs w:val="21"/>
                      <w:vertAlign w:val="baseline"/>
                      <w:lang w:val="en-US" w:eastAsia="zh-CN"/>
                    </w:rPr>
                  </w:pPr>
                </w:p>
              </w:tc>
              <w:tc>
                <w:tcPr>
                  <w:tcW w:w="543" w:type="pct"/>
                  <w:vAlign w:val="center"/>
                </w:tcPr>
                <w:p w14:paraId="4204C845">
                  <w:pPr>
                    <w:pStyle w:val="3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符合</w:t>
                  </w:r>
                </w:p>
              </w:tc>
            </w:tr>
          </w:tbl>
          <w:p w14:paraId="0FD2D7B9">
            <w:pPr>
              <w:pStyle w:val="31"/>
              <w:adjustRightInd/>
              <w:spacing w:line="360" w:lineRule="auto"/>
              <w:ind w:firstLine="482" w:firstLineChars="200"/>
              <w:jc w:val="both"/>
              <w:rPr>
                <w:rFonts w:ascii="Times New Roman" w:hAnsi="Times New Roman"/>
                <w:color w:val="auto"/>
              </w:rPr>
            </w:pPr>
            <w:r>
              <w:rPr>
                <w:rFonts w:hint="eastAsia" w:ascii="Times New Roman" w:hAnsi="Times New Roman"/>
                <w:b/>
                <w:bCs/>
                <w:color w:val="auto"/>
                <w:lang w:val="en-US" w:eastAsia="zh-CN"/>
              </w:rPr>
              <w:t>9</w:t>
            </w:r>
            <w:r>
              <w:rPr>
                <w:rFonts w:ascii="Times New Roman" w:hAnsi="Times New Roman"/>
                <w:b/>
                <w:bCs/>
                <w:color w:val="auto"/>
              </w:rPr>
              <w:t>、项目选址合理性分析</w:t>
            </w:r>
          </w:p>
          <w:p w14:paraId="15C278E1">
            <w:pPr>
              <w:spacing w:line="360" w:lineRule="auto"/>
              <w:ind w:firstLine="480" w:firstLineChars="200"/>
              <w:rPr>
                <w:rFonts w:ascii="Times New Roman" w:hAnsi="Times New Roman"/>
                <w:color w:val="auto"/>
                <w:sz w:val="24"/>
              </w:rPr>
            </w:pPr>
            <w:r>
              <w:rPr>
                <w:rFonts w:ascii="Times New Roman" w:hAnsi="Times New Roman"/>
                <w:color w:val="auto"/>
                <w:sz w:val="24"/>
              </w:rPr>
              <w:t>本项目所在地区以农业生态环</w:t>
            </w:r>
            <w:r>
              <w:rPr>
                <w:rFonts w:ascii="Times New Roman" w:hAnsi="Times New Roman"/>
                <w:color w:val="auto"/>
                <w:sz w:val="24"/>
                <w:highlight w:val="none"/>
              </w:rPr>
              <w:t>境为主，少有珍稀野生动植物分布、无自然保护区及风景名胜区等环境制约因素。项目临时用地面积为</w:t>
            </w:r>
            <w:r>
              <w:rPr>
                <w:rFonts w:hint="eastAsia" w:ascii="Times New Roman" w:hAnsi="Times New Roman"/>
                <w:color w:val="auto"/>
                <w:sz w:val="24"/>
                <w:highlight w:val="none"/>
                <w:lang w:val="en-US" w:eastAsia="zh-CN"/>
              </w:rPr>
              <w:t>2949</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，根据《土地复垦条例》和《土地复垦条例实施办法</w:t>
            </w:r>
            <w:r>
              <w:rPr>
                <w:rFonts w:ascii="Times New Roman" w:hAnsi="Times New Roman"/>
                <w:color w:val="auto"/>
                <w:sz w:val="24"/>
              </w:rPr>
              <w:t>》中有关要求，是指对生产建设活动和自然灾害损毁的土地，采取整治措施，使其达到可供利用状态的活动。按照</w:t>
            </w:r>
            <w:r>
              <w:rPr>
                <w:rFonts w:hint="eastAsia" w:ascii="Times New Roman" w:hAnsi="Times New Roman"/>
                <w:color w:val="auto"/>
                <w:sz w:val="24"/>
                <w:lang w:eastAsia="zh-CN"/>
              </w:rPr>
              <w:t>“</w:t>
            </w:r>
            <w:r>
              <w:rPr>
                <w:rFonts w:ascii="Times New Roman" w:hAnsi="Times New Roman"/>
                <w:color w:val="auto"/>
                <w:sz w:val="24"/>
              </w:rPr>
              <w:t>谁损毁，谁复垦</w:t>
            </w:r>
            <w:r>
              <w:rPr>
                <w:rFonts w:hint="eastAsia" w:ascii="Times New Roman" w:hAnsi="Times New Roman"/>
                <w:color w:val="auto"/>
                <w:sz w:val="24"/>
                <w:lang w:eastAsia="zh-CN"/>
              </w:rPr>
              <w:t>”</w:t>
            </w:r>
            <w:r>
              <w:rPr>
                <w:rFonts w:ascii="Times New Roman" w:hAnsi="Times New Roman"/>
                <w:color w:val="auto"/>
                <w:sz w:val="24"/>
              </w:rPr>
              <w:t>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28690E74">
            <w:pPr>
              <w:pStyle w:val="31"/>
              <w:adjustRightInd/>
              <w:spacing w:line="360" w:lineRule="auto"/>
              <w:ind w:firstLine="480" w:firstLineChars="200"/>
              <w:jc w:val="both"/>
              <w:rPr>
                <w:rFonts w:ascii="Times New Roman" w:hAnsi="Times New Roman"/>
                <w:color w:val="auto"/>
              </w:rPr>
            </w:pPr>
            <w:r>
              <w:rPr>
                <w:rFonts w:ascii="Times New Roman" w:hAnsi="Times New Roman"/>
                <w:color w:val="auto"/>
              </w:rPr>
              <w:t>经现场调查，项目施工场地周边主要为农田和村庄。项目区范围内无自然保护区、风景名胜区、世界文化和自然遗产、饮用水水源保护区；也没有以医疗卫生、文化教育、科研、行政办公等为主要功能的区域，无文物保护单位，无具有特殊历史、文化、科学、民族意义的保护地等环境敏感区，因此本项目选址合理可行。</w:t>
            </w:r>
          </w:p>
          <w:p w14:paraId="21C889A3">
            <w:pPr>
              <w:pStyle w:val="31"/>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rPr>
              <w:t>10</w:t>
            </w:r>
            <w:r>
              <w:rPr>
                <w:rFonts w:ascii="Times New Roman" w:hAnsi="Times New Roman"/>
                <w:b/>
                <w:bCs/>
                <w:color w:val="auto"/>
              </w:rPr>
              <w:t>、与《淮南市扬尘污染防治条例》符合性分析</w:t>
            </w:r>
          </w:p>
          <w:p w14:paraId="75A5DA72">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淮南市扬尘污染防治条例要求，施工单位应当制定并落实具体的施工扬尘污染防治实施方案，在施工现场出入口公示扬尘污染防治措施、责任主体及责任人、环保监督员、扬尘监管主管部门等有关信息，接受社会和公众监督。施工现场设置密闭硬质围挡，出入口、主要道路和场区应当硬化，设置车辆出入冲洗和污水收集设施，车辆冲洗干净后方可驶出；产生的建筑垃圾和渣土，采用封闭方式清运，不能及时清运的，应当采取覆盖防尘布、防尘网等措施；本项目建设过程中严格按照《淮南市扬尘污染防治条例》相关要求执行，文明施工、绿色施工。项目建设符合淮南市扬尘污染防治条例要求。</w:t>
            </w:r>
          </w:p>
          <w:p w14:paraId="367D7D37">
            <w:pPr>
              <w:pStyle w:val="31"/>
              <w:adjustRightInd/>
              <w:spacing w:line="360" w:lineRule="auto"/>
              <w:ind w:firstLine="482" w:firstLineChars="200"/>
              <w:jc w:val="both"/>
              <w:rPr>
                <w:rFonts w:ascii="Times New Roman" w:hAnsi="Times New Roman"/>
                <w:b/>
                <w:bCs/>
                <w:color w:val="auto"/>
              </w:rPr>
            </w:pPr>
            <w:r>
              <w:rPr>
                <w:rFonts w:hint="eastAsia" w:ascii="Times New Roman" w:hAnsi="Times New Roman"/>
                <w:b/>
                <w:bCs/>
                <w:color w:val="auto"/>
              </w:rPr>
              <w:t>11、与《深入打好重污染天气消除、臭氧污染防治和柴油货车污染治理攻坚战行动方案》的通知符合性分析</w:t>
            </w:r>
          </w:p>
          <w:p w14:paraId="520DA102">
            <w:pPr>
              <w:spacing w:line="360" w:lineRule="auto"/>
              <w:ind w:firstLine="480" w:firstLineChars="200"/>
              <w:rPr>
                <w:rFonts w:hint="eastAsia" w:ascii="Times New Roman" w:hAnsi="Times New Roman" w:eastAsia="宋体"/>
                <w:color w:val="auto"/>
                <w:kern w:val="0"/>
                <w:sz w:val="24"/>
                <w:lang w:eastAsia="zh-CN"/>
              </w:rPr>
            </w:pPr>
            <w:r>
              <w:rPr>
                <w:rFonts w:hint="eastAsia" w:ascii="Times New Roman" w:hAnsi="Times New Roman"/>
                <w:color w:val="auto"/>
                <w:kern w:val="0"/>
                <w:sz w:val="24"/>
              </w:rPr>
              <w:t>根据《深入打好重污染天气消除、臭氧污染防治和柴油货车污染治理攻坚战行动方案》的通知（环大气</w:t>
            </w:r>
            <w:r>
              <w:rPr>
                <w:rFonts w:ascii="Times New Roman" w:hAnsi="Times New Roman"/>
                <w:b/>
                <w:bCs/>
                <w:color w:val="auto"/>
                <w:sz w:val="24"/>
              </w:rPr>
              <w:t>〔</w:t>
            </w:r>
            <w:r>
              <w:rPr>
                <w:rFonts w:hint="eastAsia" w:ascii="Times New Roman" w:hAnsi="Times New Roman"/>
                <w:color w:val="auto"/>
                <w:kern w:val="0"/>
                <w:sz w:val="24"/>
              </w:rPr>
              <w:t>2022</w:t>
            </w:r>
            <w:r>
              <w:rPr>
                <w:rFonts w:ascii="Times New Roman" w:hAnsi="Times New Roman"/>
                <w:b/>
                <w:bCs/>
                <w:color w:val="auto"/>
                <w:sz w:val="24"/>
              </w:rPr>
              <w:t>〕</w:t>
            </w:r>
            <w:r>
              <w:rPr>
                <w:rFonts w:hint="eastAsia" w:ascii="Times New Roman" w:hAnsi="Times New Roman"/>
                <w:color w:val="auto"/>
                <w:kern w:val="0"/>
                <w:sz w:val="24"/>
              </w:rPr>
              <w:t>68号）中相关规定：</w:t>
            </w:r>
            <w:r>
              <w:rPr>
                <w:rFonts w:hint="eastAsia" w:ascii="Times New Roman" w:hAnsi="Times New Roman"/>
                <w:color w:val="auto"/>
                <w:kern w:val="0"/>
                <w:sz w:val="24"/>
                <w:lang w:eastAsia="zh-CN"/>
              </w:rPr>
              <w:t>“</w:t>
            </w:r>
            <w:r>
              <w:rPr>
                <w:rFonts w:ascii="Times New Roman" w:hAnsi="Times New Roman"/>
                <w:color w:val="auto"/>
                <w:kern w:val="0"/>
                <w:sz w:val="24"/>
              </w:rPr>
              <w:t>统筹大气污染防治与</w:t>
            </w:r>
            <w:r>
              <w:rPr>
                <w:rFonts w:hint="eastAsia" w:ascii="Times New Roman" w:hAnsi="Times New Roman"/>
                <w:color w:val="auto"/>
                <w:kern w:val="0"/>
                <w:sz w:val="24"/>
                <w:lang w:eastAsia="zh-CN"/>
              </w:rPr>
              <w:t>“</w:t>
            </w:r>
            <w:r>
              <w:rPr>
                <w:rFonts w:ascii="Times New Roman" w:hAnsi="Times New Roman"/>
                <w:color w:val="auto"/>
                <w:kern w:val="0"/>
                <w:sz w:val="24"/>
              </w:rPr>
              <w:t>双碳</w:t>
            </w:r>
            <w:r>
              <w:rPr>
                <w:rFonts w:hint="eastAsia" w:ascii="Times New Roman" w:hAnsi="Times New Roman"/>
                <w:color w:val="auto"/>
                <w:kern w:val="0"/>
                <w:sz w:val="24"/>
                <w:lang w:eastAsia="zh-CN"/>
              </w:rPr>
              <w:t>”</w:t>
            </w:r>
            <w:r>
              <w:rPr>
                <w:rFonts w:ascii="Times New Roman" w:hAnsi="Times New Roman"/>
                <w:color w:val="auto"/>
                <w:kern w:val="0"/>
                <w:sz w:val="24"/>
              </w:rPr>
              <w:t>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w:t>
            </w:r>
            <w:r>
              <w:rPr>
                <w:rFonts w:hint="eastAsia" w:ascii="Times New Roman" w:hAnsi="Times New Roman"/>
                <w:color w:val="auto"/>
                <w:kern w:val="0"/>
                <w:sz w:val="24"/>
                <w:lang w:eastAsia="zh-CN"/>
              </w:rPr>
              <w:t>“</w:t>
            </w:r>
            <w:r>
              <w:rPr>
                <w:rFonts w:ascii="Times New Roman" w:hAnsi="Times New Roman"/>
                <w:color w:val="auto"/>
                <w:kern w:val="0"/>
                <w:sz w:val="24"/>
              </w:rPr>
              <w:t>公转铁</w:t>
            </w:r>
            <w:r>
              <w:rPr>
                <w:rFonts w:hint="eastAsia" w:ascii="Times New Roman" w:hAnsi="Times New Roman"/>
                <w:color w:val="auto"/>
                <w:kern w:val="0"/>
                <w:sz w:val="24"/>
                <w:lang w:eastAsia="zh-CN"/>
              </w:rPr>
              <w:t>”“</w:t>
            </w:r>
            <w:r>
              <w:rPr>
                <w:rFonts w:ascii="Times New Roman" w:hAnsi="Times New Roman"/>
                <w:color w:val="auto"/>
                <w:kern w:val="0"/>
                <w:sz w:val="24"/>
              </w:rPr>
              <w:t>公转水</w:t>
            </w:r>
            <w:r>
              <w:rPr>
                <w:rFonts w:hint="eastAsia" w:ascii="Times New Roman" w:hAnsi="Times New Roman"/>
                <w:color w:val="auto"/>
                <w:kern w:val="0"/>
                <w:sz w:val="24"/>
                <w:lang w:eastAsia="zh-CN"/>
              </w:rPr>
              <w:t>”</w:t>
            </w:r>
            <w:r>
              <w:rPr>
                <w:rFonts w:ascii="Times New Roman" w:hAnsi="Times New Roman"/>
                <w:color w:val="auto"/>
                <w:kern w:val="0"/>
                <w:sz w:val="24"/>
              </w:rPr>
              <w:t>，提高机动车船和非道路移动机械绿色低碳水平。强化挥发性有机物</w:t>
            </w:r>
            <w:r>
              <w:rPr>
                <w:rFonts w:hint="eastAsia" w:ascii="Times New Roman" w:hAnsi="Times New Roman"/>
                <w:color w:val="auto"/>
                <w:kern w:val="0"/>
                <w:sz w:val="24"/>
                <w:lang w:eastAsia="zh-CN"/>
              </w:rPr>
              <w:t>（</w:t>
            </w:r>
            <w:r>
              <w:rPr>
                <w:rFonts w:ascii="Times New Roman" w:hAnsi="Times New Roman"/>
                <w:color w:val="auto"/>
                <w:kern w:val="0"/>
                <w:sz w:val="24"/>
              </w:rPr>
              <w:t>VOCs</w:t>
            </w:r>
            <w:r>
              <w:rPr>
                <w:rFonts w:hint="eastAsia" w:ascii="Times New Roman" w:hAnsi="Times New Roman"/>
                <w:color w:val="auto"/>
                <w:kern w:val="0"/>
                <w:sz w:val="24"/>
                <w:lang w:eastAsia="zh-CN"/>
              </w:rPr>
              <w:t>）</w:t>
            </w:r>
            <w:r>
              <w:rPr>
                <w:rFonts w:ascii="Times New Roman" w:hAnsi="Times New Roman"/>
                <w:color w:val="auto"/>
                <w:kern w:val="0"/>
                <w:sz w:val="24"/>
              </w:rPr>
              <w:t>、氨氧化物等多污染物协同减排，以石化、化工、涂装、制药、包装印刷和油品储运销等为重点，加强VOCs源头、过程、末端全流程治理</w:t>
            </w:r>
            <w:r>
              <w:rPr>
                <w:rFonts w:hint="eastAsia" w:ascii="Times New Roman" w:hAnsi="Times New Roman"/>
                <w:color w:val="auto"/>
                <w:kern w:val="0"/>
                <w:sz w:val="24"/>
              </w:rPr>
              <w:t>；</w:t>
            </w:r>
            <w:r>
              <w:rPr>
                <w:rFonts w:ascii="Times New Roman" w:hAnsi="Times New Roman"/>
                <w:color w:val="auto"/>
                <w:kern w:val="0"/>
                <w:sz w:val="24"/>
              </w:rPr>
              <w:t>持续推进钢铁行业超低排放改造，出台焦化、水泥行业超低排放改造方案</w:t>
            </w:r>
            <w:r>
              <w:rPr>
                <w:rFonts w:hint="eastAsia" w:ascii="Times New Roman" w:hAnsi="Times New Roman"/>
                <w:color w:val="auto"/>
                <w:kern w:val="0"/>
                <w:sz w:val="24"/>
              </w:rPr>
              <w:t>；</w:t>
            </w:r>
            <w:r>
              <w:rPr>
                <w:rFonts w:ascii="Times New Roman" w:hAnsi="Times New Roman"/>
                <w:color w:val="auto"/>
                <w:kern w:val="0"/>
                <w:sz w:val="24"/>
              </w:rPr>
              <w:t>开展低效治理设施全面提升改造工程，严把治理工程质量，多措并举治理低价中标乱象，对工程质量低劣、环保设施运营管理水平低甚至存在弄虚作假行为的企业、环保公司和运维机构加大联合惩戒力度。统筹做好大气污染防治过程中安全防范工作。</w:t>
            </w:r>
            <w:r>
              <w:rPr>
                <w:rFonts w:hint="eastAsia" w:ascii="Times New Roman" w:hAnsi="Times New Roman"/>
                <w:color w:val="auto"/>
                <w:kern w:val="0"/>
                <w:sz w:val="24"/>
                <w:lang w:eastAsia="zh-CN"/>
              </w:rPr>
              <w:t>”</w:t>
            </w:r>
          </w:p>
          <w:p w14:paraId="655A1070">
            <w:pPr>
              <w:spacing w:line="360" w:lineRule="auto"/>
              <w:ind w:firstLine="480" w:firstLineChars="200"/>
              <w:rPr>
                <w:rFonts w:ascii="Times New Roman" w:hAnsi="Times New Roman" w:eastAsia="黑体"/>
                <w:color w:val="auto"/>
                <w:sz w:val="30"/>
                <w:vertAlign w:val="baseline"/>
              </w:rPr>
            </w:pPr>
            <w:r>
              <w:rPr>
                <w:rFonts w:ascii="Times New Roman" w:hAnsi="Times New Roman"/>
                <w:color w:val="auto"/>
                <w:kern w:val="0"/>
                <w:sz w:val="24"/>
              </w:rPr>
              <w:t>本项目为地面补勘钻孔及奥灰长观孔项目，属于煤炭产业前期地质勘查环节，不涉及工业生产、交通运输及VOCs等污染物排放环节，其建设是为后续煤炭资源绿色开发提供基础支撑，契合《深入打好重污染天气消除、臭氧污染防治和柴油货车污染治理攻坚战行动方案》中优化产业能源结构、推动能源清洁低碳转型、从源头减少大气污染物和碳排放的要求，且不涉及方案中重点管控的高耗能高排放领域及污染环节，符合该行动方案的通知要求。</w:t>
            </w:r>
          </w:p>
        </w:tc>
      </w:tr>
    </w:tbl>
    <w:p w14:paraId="658521DD">
      <w:pPr>
        <w:spacing w:line="360" w:lineRule="auto"/>
        <w:outlineLvl w:val="0"/>
        <w:rPr>
          <w:rFonts w:ascii="Times New Roman" w:hAnsi="Times New Roman"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5B795CF3">
      <w:pPr>
        <w:pStyle w:val="21"/>
        <w:numPr>
          <w:ilvl w:val="0"/>
          <w:numId w:val="2"/>
        </w:numPr>
        <w:jc w:val="center"/>
        <w:outlineLvl w:val="0"/>
        <w:rPr>
          <w:rFonts w:ascii="Times New Roman" w:hAnsi="Times New Roman" w:eastAsia="黑体"/>
          <w:snapToGrid w:val="0"/>
          <w:color w:val="auto"/>
          <w:sz w:val="30"/>
          <w:szCs w:val="30"/>
        </w:rPr>
      </w:pPr>
      <w:bookmarkStart w:id="5" w:name="_Toc15234"/>
      <w:r>
        <w:rPr>
          <w:rFonts w:ascii="Times New Roman" w:hAnsi="Times New Roman" w:eastAsia="黑体"/>
          <w:snapToGrid w:val="0"/>
          <w:color w:val="auto"/>
          <w:sz w:val="30"/>
          <w:szCs w:val="30"/>
        </w:rPr>
        <w:t>建设内容</w:t>
      </w:r>
      <w:bookmarkEnd w:id="5"/>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4242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tcBorders>
              <w:tl2br w:val="nil"/>
              <w:tr2bl w:val="nil"/>
            </w:tcBorders>
            <w:noWrap/>
            <w:vAlign w:val="center"/>
          </w:tcPr>
          <w:p w14:paraId="23158688">
            <w:pPr>
              <w:adjustRightInd w:val="0"/>
              <w:snapToGrid w:val="0"/>
              <w:jc w:val="center"/>
              <w:rPr>
                <w:rFonts w:ascii="Times New Roman" w:hAnsi="Times New Roman"/>
                <w:color w:val="auto"/>
                <w:kern w:val="0"/>
                <w:sz w:val="24"/>
              </w:rPr>
            </w:pPr>
            <w:r>
              <w:rPr>
                <w:rFonts w:ascii="Times New Roman" w:hAnsi="Times New Roman"/>
                <w:color w:val="auto"/>
                <w:kern w:val="0"/>
                <w:sz w:val="24"/>
              </w:rPr>
              <w:t>地理位置</w:t>
            </w:r>
          </w:p>
        </w:tc>
        <w:tc>
          <w:tcPr>
            <w:tcW w:w="8068" w:type="dxa"/>
            <w:tcBorders>
              <w:tl2br w:val="nil"/>
              <w:tr2bl w:val="nil"/>
            </w:tcBorders>
            <w:noWrap/>
            <w:vAlign w:val="center"/>
          </w:tcPr>
          <w:p w14:paraId="6499FE3D">
            <w:pPr>
              <w:spacing w:line="360" w:lineRule="auto"/>
              <w:ind w:firstLine="480" w:firstLineChars="200"/>
              <w:rPr>
                <w:rFonts w:ascii="Times New Roman" w:hAnsi="Times New Roman"/>
                <w:color w:val="auto"/>
                <w:sz w:val="24"/>
              </w:rPr>
            </w:pPr>
            <w:r>
              <w:rPr>
                <w:rFonts w:ascii="Times New Roman" w:hAnsi="Times New Roman"/>
                <w:color w:val="auto"/>
                <w:sz w:val="24"/>
              </w:rPr>
              <w:t>项目位于安徽省淮南市潘集区贺疃镇境内，项目地理位置图见附图1。</w:t>
            </w:r>
          </w:p>
        </w:tc>
      </w:tr>
      <w:tr w14:paraId="5F5A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tcBorders>
              <w:tl2br w:val="nil"/>
              <w:tr2bl w:val="nil"/>
            </w:tcBorders>
            <w:noWrap/>
            <w:vAlign w:val="center"/>
          </w:tcPr>
          <w:p w14:paraId="110AA2A9">
            <w:pPr>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项目组成及规模</w:t>
            </w:r>
          </w:p>
        </w:tc>
        <w:tc>
          <w:tcPr>
            <w:tcW w:w="8068" w:type="dxa"/>
            <w:tcBorders>
              <w:tl2br w:val="nil"/>
              <w:tr2bl w:val="nil"/>
            </w:tcBorders>
            <w:noWrap/>
            <w:vAlign w:val="center"/>
          </w:tcPr>
          <w:p w14:paraId="5283EDD2">
            <w:pPr>
              <w:spacing w:line="360" w:lineRule="auto"/>
              <w:ind w:firstLine="482" w:firstLineChars="200"/>
              <w:rPr>
                <w:rFonts w:ascii="Times New Roman" w:hAnsi="Times New Roman"/>
                <w:b/>
                <w:color w:val="auto"/>
                <w:sz w:val="24"/>
                <w:highlight w:val="none"/>
              </w:rPr>
            </w:pPr>
            <w:r>
              <w:rPr>
                <w:rFonts w:ascii="Times New Roman" w:hAnsi="Times New Roman"/>
                <w:b/>
                <w:color w:val="auto"/>
                <w:sz w:val="24"/>
                <w:highlight w:val="none"/>
              </w:rPr>
              <w:t>1、项目建设背景</w:t>
            </w:r>
          </w:p>
          <w:p w14:paraId="36AC3CB2">
            <w:pPr>
              <w:tabs>
                <w:tab w:val="left" w:pos="4815"/>
              </w:tabs>
              <w:spacing w:line="360" w:lineRule="auto"/>
              <w:ind w:firstLine="480" w:firstLineChars="200"/>
              <w:rPr>
                <w:rFonts w:hint="eastAsia" w:ascii="Times New Roman" w:eastAsia="宋体"/>
                <w:bCs/>
                <w:color w:val="auto"/>
                <w:sz w:val="24"/>
                <w:highlight w:val="none"/>
                <w:lang w:val="en-US" w:eastAsia="zh-CN"/>
              </w:rPr>
            </w:pPr>
            <w:r>
              <w:rPr>
                <w:rFonts w:hint="eastAsia" w:ascii="Times New Roman"/>
                <w:bCs/>
                <w:color w:val="auto"/>
                <w:sz w:val="24"/>
                <w:highlight w:val="none"/>
              </w:rPr>
              <w:t>目前</w:t>
            </w:r>
            <w:r>
              <w:rPr>
                <w:rFonts w:hint="eastAsia" w:ascii="Times New Roman"/>
                <w:bCs/>
                <w:color w:val="auto"/>
                <w:sz w:val="24"/>
                <w:highlight w:val="none"/>
                <w:lang w:val="en-US" w:eastAsia="zh-CN"/>
              </w:rPr>
              <w:t>朱集西煤矿</w:t>
            </w:r>
            <w:r>
              <w:rPr>
                <w:rFonts w:hint="eastAsia" w:ascii="Times New Roman"/>
                <w:bCs/>
                <w:color w:val="auto"/>
                <w:sz w:val="24"/>
                <w:highlight w:val="none"/>
              </w:rPr>
              <w:t>生产采区四个，分别为11-2四采区、11-2五采区、13-1煤五采区和13-1四采区，两个准备采区，分别为一采区和六采区。全矿井有17条勘探线控制，控制程度较高，勘探钻孔主要分布在中部南部，北部对井田边界和边界断层控制程度较低，井田东部和西部主要是探勘线密度不够，局部断层控制程度较弱。</w:t>
            </w:r>
            <w:r>
              <w:rPr>
                <w:rFonts w:hint="eastAsia" w:ascii="Times New Roman"/>
                <w:bCs/>
                <w:color w:val="auto"/>
                <w:sz w:val="24"/>
                <w:highlight w:val="none"/>
                <w:lang w:val="en-US" w:eastAsia="zh-CN"/>
              </w:rPr>
              <w:t>为了</w:t>
            </w:r>
            <w:r>
              <w:rPr>
                <w:rFonts w:hint="default" w:ascii="Times New Roman" w:hAnsi="Times New Roman" w:eastAsia="宋体" w:cs="Times New Roman"/>
                <w:color w:val="auto"/>
                <w:kern w:val="0"/>
                <w:sz w:val="24"/>
                <w:szCs w:val="24"/>
                <w:highlight w:val="none"/>
              </w:rPr>
              <w:t>优化煤矿采掘接续，满足矿井建设、生产的需求，为矿井开采水平延深提供地质资料，</w:t>
            </w:r>
            <w:r>
              <w:rPr>
                <w:rFonts w:hint="eastAsia" w:ascii="Times New Roman" w:hAnsi="Times New Roman" w:eastAsia="宋体" w:cs="Times New Roman"/>
                <w:color w:val="auto"/>
                <w:kern w:val="0"/>
                <w:sz w:val="24"/>
                <w:szCs w:val="24"/>
                <w:highlight w:val="none"/>
                <w:lang w:val="en-US" w:eastAsia="zh-CN"/>
              </w:rPr>
              <w:t>为此计划设置</w:t>
            </w:r>
            <w:r>
              <w:rPr>
                <w:rFonts w:hint="eastAsia" w:ascii="Times New Roman" w:hAnsi="Times New Roman"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lang w:val="en-US" w:eastAsia="zh-CN"/>
              </w:rPr>
              <w:t>个</w:t>
            </w:r>
            <w:r>
              <w:rPr>
                <w:rFonts w:hint="eastAsia"/>
                <w:color w:val="auto"/>
                <w:sz w:val="24"/>
                <w:highlight w:val="none"/>
              </w:rPr>
              <w:t>地面补勘钻</w:t>
            </w:r>
            <w:r>
              <w:rPr>
                <w:rFonts w:hint="eastAsia"/>
                <w:color w:val="auto"/>
                <w:sz w:val="24"/>
                <w:highlight w:val="none"/>
                <w:lang w:val="en-US" w:eastAsia="zh-CN"/>
              </w:rPr>
              <w:t>孔以及1个长观钻孔，其中补勘钻孔主要</w:t>
            </w:r>
            <w:r>
              <w:rPr>
                <w:rFonts w:hint="eastAsia"/>
                <w:color w:val="auto"/>
                <w:sz w:val="24"/>
                <w:highlight w:val="none"/>
                <w:lang w:eastAsia="zh-CN"/>
              </w:rPr>
              <w:t>探查控制一采区边界断层</w:t>
            </w:r>
            <w:r>
              <w:rPr>
                <w:rFonts w:hint="eastAsia"/>
                <w:color w:val="auto"/>
                <w:sz w:val="24"/>
                <w:highlight w:val="none"/>
                <w:lang w:val="en-US" w:eastAsia="zh-CN"/>
              </w:rPr>
              <w:t>FD10逆断层和FD45逆断层摆动情况，长观钻孔主要</w:t>
            </w:r>
            <w:r>
              <w:rPr>
                <w:rFonts w:hint="eastAsia" w:ascii="宋体" w:hAnsi="宋体"/>
                <w:color w:val="auto"/>
                <w:sz w:val="24"/>
                <w:highlight w:val="none"/>
              </w:rPr>
              <w:t>为监</w:t>
            </w:r>
            <w:r>
              <w:rPr>
                <w:rFonts w:hint="eastAsia" w:ascii="宋体" w:hAnsi="宋体"/>
                <w:color w:val="auto"/>
                <w:sz w:val="24"/>
                <w:highlight w:val="none"/>
                <w:lang w:eastAsia="zh-CN"/>
              </w:rPr>
              <w:t>测奥灰含水层</w:t>
            </w:r>
            <w:r>
              <w:rPr>
                <w:rFonts w:hint="eastAsia" w:ascii="宋体" w:hAnsi="宋体"/>
                <w:color w:val="auto"/>
                <w:sz w:val="24"/>
                <w:highlight w:val="none"/>
              </w:rPr>
              <w:t>水位变化情况</w:t>
            </w:r>
            <w:r>
              <w:rPr>
                <w:rFonts w:hint="eastAsia" w:ascii="宋体" w:hAnsi="宋体"/>
                <w:color w:val="auto"/>
                <w:sz w:val="24"/>
                <w:highlight w:val="none"/>
                <w:lang w:eastAsia="zh-CN"/>
              </w:rPr>
              <w:t>。</w:t>
            </w:r>
            <w:r>
              <w:rPr>
                <w:rFonts w:hint="default" w:ascii="Times New Roman" w:hAnsi="Times New Roman" w:cs="Times New Roman"/>
                <w:color w:val="auto"/>
                <w:sz w:val="24"/>
                <w:highlight w:val="none"/>
              </w:rPr>
              <w:t>本项目不涉及煤炭开采工作，仅为安全辅助地质勘查治理工程。</w:t>
            </w:r>
            <w:r>
              <w:rPr>
                <w:rFonts w:hint="default" w:ascii="Times New Roman" w:hAnsi="Times New Roman" w:eastAsia="宋体" w:cs="Times New Roman"/>
                <w:color w:val="auto"/>
                <w:sz w:val="24"/>
                <w:szCs w:val="24"/>
                <w:highlight w:val="none"/>
              </w:rPr>
              <w:t>待勘查结束后进行现场清理和生态修复工作。</w:t>
            </w:r>
          </w:p>
          <w:p w14:paraId="38556BC6">
            <w:pPr>
              <w:autoSpaceDE w:val="0"/>
              <w:autoSpaceDN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本项目只进行钻井工程，在钻孔施工中及成孔后开展</w:t>
            </w:r>
            <w:r>
              <w:rPr>
                <w:rFonts w:hint="eastAsia" w:ascii="Times New Roman" w:hAnsi="Times New Roman" w:cs="Times New Roman"/>
                <w:color w:val="auto"/>
                <w:kern w:val="0"/>
                <w:sz w:val="24"/>
                <w:szCs w:val="24"/>
                <w:highlight w:val="none"/>
                <w:lang w:eastAsia="zh-CN"/>
              </w:rPr>
              <w:t>岩芯</w:t>
            </w:r>
            <w:r>
              <w:rPr>
                <w:rFonts w:hint="default" w:ascii="Times New Roman" w:hAnsi="Times New Roman" w:eastAsia="宋体" w:cs="Times New Roman"/>
                <w:color w:val="auto"/>
                <w:kern w:val="0"/>
                <w:sz w:val="24"/>
                <w:szCs w:val="24"/>
                <w:highlight w:val="none"/>
              </w:rPr>
              <w:t>采取、钻孔测斜、简易水文观测、孔深丈量、</w:t>
            </w:r>
            <w:r>
              <w:rPr>
                <w:rFonts w:hint="eastAsia" w:ascii="Times New Roman" w:hAnsi="Times New Roman" w:cs="Times New Roman"/>
                <w:color w:val="auto"/>
                <w:kern w:val="0"/>
                <w:sz w:val="24"/>
                <w:szCs w:val="24"/>
                <w:highlight w:val="none"/>
                <w:lang w:eastAsia="zh-CN"/>
              </w:rPr>
              <w:t>岩芯</w:t>
            </w:r>
            <w:r>
              <w:rPr>
                <w:rFonts w:hint="default" w:ascii="Times New Roman" w:hAnsi="Times New Roman" w:eastAsia="宋体" w:cs="Times New Roman"/>
                <w:color w:val="auto"/>
                <w:kern w:val="0"/>
                <w:sz w:val="24"/>
                <w:szCs w:val="24"/>
                <w:highlight w:val="none"/>
              </w:rPr>
              <w:t>编录后，</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个常规钻孔施工完毕，采用水泥进行全孔封闭，并在井口埋设永久性水泥暗标，作详细记录封孔情况</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长观钻孔施工完成后，在</w:t>
            </w:r>
            <w:r>
              <w:rPr>
                <w:rFonts w:hint="eastAsia" w:ascii="宋体" w:hAnsi="宋体" w:eastAsia="宋体" w:cs="Times New Roman"/>
                <w:color w:val="auto"/>
                <w:sz w:val="24"/>
                <w:highlight w:val="none"/>
              </w:rPr>
              <w:t>孔口加工并安装孔口保护装置，</w:t>
            </w:r>
            <w:r>
              <w:rPr>
                <w:rFonts w:hint="eastAsia" w:ascii="宋体" w:hAnsi="宋体" w:eastAsia="宋体" w:cs="Times New Roman"/>
                <w:color w:val="auto"/>
                <w:sz w:val="24"/>
                <w:highlight w:val="none"/>
                <w:lang w:val="en-US" w:eastAsia="zh-CN"/>
              </w:rPr>
              <w:t>用于建设单位长期观测水位情况</w:t>
            </w:r>
            <w:r>
              <w:rPr>
                <w:color w:val="auto"/>
                <w:sz w:val="24"/>
                <w:highlight w:val="none"/>
              </w:rPr>
              <w:t>，建立水动态观测网</w:t>
            </w:r>
            <w:r>
              <w:rPr>
                <w:rFonts w:hint="default" w:ascii="Times New Roman" w:hAnsi="Times New Roman" w:eastAsia="宋体" w:cs="Times New Roman"/>
                <w:color w:val="auto"/>
                <w:kern w:val="0"/>
                <w:sz w:val="24"/>
                <w:szCs w:val="24"/>
                <w:highlight w:val="none"/>
              </w:rPr>
              <w:t>。</w:t>
            </w:r>
          </w:p>
          <w:p w14:paraId="26F0A4A4">
            <w:pPr>
              <w:spacing w:line="360" w:lineRule="auto"/>
              <w:ind w:firstLine="482" w:firstLineChars="200"/>
              <w:rPr>
                <w:rFonts w:ascii="Times New Roman" w:hAnsi="Times New Roman"/>
                <w:b/>
                <w:bCs/>
                <w:color w:val="auto"/>
                <w:sz w:val="24"/>
                <w:highlight w:val="none"/>
                <w:shd w:val="clear" w:color="auto" w:fill="FFFFFF"/>
              </w:rPr>
            </w:pPr>
            <w:r>
              <w:rPr>
                <w:rFonts w:ascii="Times New Roman" w:hAnsi="Times New Roman"/>
                <w:b/>
                <w:bCs/>
                <w:color w:val="auto"/>
                <w:sz w:val="24"/>
                <w:highlight w:val="none"/>
                <w:shd w:val="clear" w:color="auto" w:fill="FFFFFF"/>
              </w:rPr>
              <w:t>2、项目概况</w:t>
            </w:r>
          </w:p>
          <w:p w14:paraId="6F16DA44">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ascii="Times New Roman" w:hAnsi="Times New Roman"/>
                <w:b w:val="0"/>
                <w:color w:val="auto"/>
                <w:sz w:val="24"/>
                <w:highlight w:val="none"/>
              </w:rPr>
            </w:pPr>
            <w:r>
              <w:rPr>
                <w:rFonts w:ascii="Times New Roman" w:hAnsi="Times New Roman"/>
                <w:b w:val="0"/>
                <w:color w:val="auto"/>
                <w:sz w:val="24"/>
                <w:highlight w:val="none"/>
              </w:rPr>
              <w:t>中安联合煤化有限责任公司在安徽省淮南市潘集区贺疃镇境内建设</w:t>
            </w:r>
            <w:r>
              <w:rPr>
                <w:rFonts w:hint="eastAsia" w:ascii="Times New Roman" w:hAnsi="Times New Roman"/>
                <w:b w:val="0"/>
                <w:color w:val="auto"/>
                <w:sz w:val="24"/>
                <w:highlight w:val="none"/>
                <w:lang w:eastAsia="zh-CN"/>
              </w:rPr>
              <w:t>朱集西矿地面补勘钻孔及奥灰长观孔项目</w:t>
            </w:r>
            <w:r>
              <w:rPr>
                <w:rFonts w:ascii="Times New Roman" w:hAnsi="Times New Roman"/>
                <w:b w:val="0"/>
                <w:color w:val="auto"/>
                <w:sz w:val="24"/>
                <w:highlight w:val="none"/>
              </w:rPr>
              <w:t>。项目于202</w:t>
            </w:r>
            <w:r>
              <w:rPr>
                <w:rFonts w:hint="eastAsia" w:ascii="Times New Roman" w:hAnsi="Times New Roman"/>
                <w:b w:val="0"/>
                <w:color w:val="auto"/>
                <w:sz w:val="24"/>
                <w:highlight w:val="none"/>
              </w:rPr>
              <w:t>5</w:t>
            </w:r>
            <w:r>
              <w:rPr>
                <w:rFonts w:ascii="Times New Roman" w:hAnsi="Times New Roman"/>
                <w:b w:val="0"/>
                <w:color w:val="auto"/>
                <w:sz w:val="24"/>
                <w:highlight w:val="none"/>
              </w:rPr>
              <w:t>年</w:t>
            </w:r>
            <w:r>
              <w:rPr>
                <w:rFonts w:hint="eastAsia" w:ascii="Times New Roman" w:hAnsi="Times New Roman"/>
                <w:b w:val="0"/>
                <w:color w:val="auto"/>
                <w:sz w:val="24"/>
                <w:highlight w:val="none"/>
                <w:lang w:val="en-US" w:eastAsia="zh-CN"/>
              </w:rPr>
              <w:t>10</w:t>
            </w:r>
            <w:r>
              <w:rPr>
                <w:rFonts w:ascii="Times New Roman" w:hAnsi="Times New Roman"/>
                <w:b w:val="0"/>
                <w:color w:val="auto"/>
                <w:sz w:val="24"/>
                <w:highlight w:val="none"/>
              </w:rPr>
              <w:t>月</w:t>
            </w:r>
            <w:r>
              <w:rPr>
                <w:rFonts w:hint="eastAsia" w:ascii="Times New Roman" w:hAnsi="Times New Roman"/>
                <w:b w:val="0"/>
                <w:color w:val="auto"/>
                <w:sz w:val="24"/>
                <w:highlight w:val="none"/>
                <w:lang w:val="en-US" w:eastAsia="zh-CN"/>
              </w:rPr>
              <w:t>30</w:t>
            </w:r>
            <w:r>
              <w:rPr>
                <w:rFonts w:ascii="Times New Roman" w:hAnsi="Times New Roman"/>
                <w:b w:val="0"/>
                <w:color w:val="auto"/>
                <w:sz w:val="24"/>
                <w:highlight w:val="none"/>
              </w:rPr>
              <w:t>日经</w:t>
            </w:r>
            <w:r>
              <w:rPr>
                <w:rFonts w:hint="eastAsia" w:ascii="Times New Roman" w:hAnsi="Times New Roman"/>
                <w:b w:val="0"/>
                <w:color w:val="auto"/>
                <w:sz w:val="24"/>
                <w:highlight w:val="none"/>
                <w:lang w:val="en-US" w:eastAsia="zh-CN"/>
              </w:rPr>
              <w:t>淮南市</w:t>
            </w:r>
            <w:r>
              <w:rPr>
                <w:rFonts w:ascii="Times New Roman" w:hAnsi="Times New Roman"/>
                <w:b w:val="0"/>
                <w:color w:val="auto"/>
                <w:sz w:val="24"/>
                <w:highlight w:val="none"/>
              </w:rPr>
              <w:t>潘集区发展和改革委员会立项备案，备案编号为：</w:t>
            </w:r>
            <w:r>
              <w:rPr>
                <w:rFonts w:hint="eastAsia" w:ascii="Times New Roman" w:hAnsi="Times New Roman"/>
                <w:b w:val="0"/>
                <w:color w:val="auto"/>
                <w:sz w:val="24"/>
                <w:highlight w:val="none"/>
                <w:lang w:eastAsia="zh-CN"/>
              </w:rPr>
              <w:t>2509-340406-04-01-536481</w:t>
            </w:r>
            <w:r>
              <w:rPr>
                <w:rFonts w:ascii="Times New Roman" w:hAnsi="Times New Roman"/>
                <w:b w:val="0"/>
                <w:color w:val="auto"/>
                <w:sz w:val="24"/>
                <w:highlight w:val="none"/>
              </w:rPr>
              <w:t>，项目总投资</w:t>
            </w:r>
            <w:r>
              <w:rPr>
                <w:rFonts w:hint="eastAsia" w:ascii="Times New Roman" w:hAnsi="Times New Roman"/>
                <w:b w:val="0"/>
                <w:color w:val="auto"/>
                <w:sz w:val="24"/>
                <w:highlight w:val="none"/>
                <w:lang w:val="en-US" w:eastAsia="zh-CN"/>
              </w:rPr>
              <w:t>179.7082</w:t>
            </w:r>
            <w:r>
              <w:rPr>
                <w:rFonts w:ascii="Times New Roman" w:hAnsi="Times New Roman"/>
                <w:b w:val="0"/>
                <w:color w:val="auto"/>
                <w:sz w:val="24"/>
                <w:highlight w:val="none"/>
              </w:rPr>
              <w:t>万元。项目建设内容为：</w:t>
            </w:r>
            <w:r>
              <w:rPr>
                <w:rFonts w:hint="eastAsia" w:ascii="Times New Roman" w:hAnsi="Times New Roman"/>
                <w:b w:val="0"/>
                <w:color w:val="auto"/>
                <w:sz w:val="24"/>
                <w:highlight w:val="none"/>
                <w:shd w:val="clear" w:color="auto" w:fill="FFFFFF"/>
              </w:rPr>
              <w:t>新建</w:t>
            </w:r>
            <w:r>
              <w:rPr>
                <w:rFonts w:hint="eastAsia" w:ascii="Times New Roman" w:hAnsi="Times New Roman"/>
                <w:b w:val="0"/>
                <w:color w:val="auto"/>
                <w:sz w:val="24"/>
                <w:highlight w:val="none"/>
                <w:shd w:val="clear" w:color="auto" w:fill="FFFFFF"/>
                <w:lang w:val="en-US" w:eastAsia="zh-CN"/>
              </w:rPr>
              <w:t>2</w:t>
            </w:r>
            <w:r>
              <w:rPr>
                <w:rFonts w:hint="eastAsia" w:ascii="Times New Roman" w:hAnsi="Times New Roman"/>
                <w:b w:val="0"/>
                <w:color w:val="auto"/>
                <w:sz w:val="24"/>
                <w:highlight w:val="none"/>
                <w:shd w:val="clear" w:color="auto" w:fill="FFFFFF"/>
              </w:rPr>
              <w:t>口地面地质探查钻孔和1口奥灰含水层水文观测钻孔</w:t>
            </w:r>
            <w:r>
              <w:rPr>
                <w:rFonts w:ascii="Times New Roman" w:hAnsi="Times New Roman"/>
                <w:b w:val="0"/>
                <w:color w:val="auto"/>
                <w:sz w:val="24"/>
                <w:highlight w:val="none"/>
                <w:shd w:val="clear" w:color="auto" w:fill="FFFFFF"/>
              </w:rPr>
              <w:t>。</w:t>
            </w:r>
          </w:p>
          <w:p w14:paraId="5477F148">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shd w:val="clear" w:color="auto" w:fill="FFFFFF"/>
              </w:rPr>
              <w:t>本项目</w:t>
            </w:r>
            <w:r>
              <w:rPr>
                <w:rFonts w:hint="eastAsia" w:ascii="Times New Roman" w:hAnsi="Times New Roman"/>
                <w:color w:val="auto"/>
                <w:sz w:val="24"/>
                <w:highlight w:val="none"/>
                <w:shd w:val="clear" w:color="auto" w:fill="FFFFFF"/>
              </w:rPr>
              <w:t>为</w:t>
            </w:r>
            <w:r>
              <w:rPr>
                <w:rFonts w:ascii="Times New Roman" w:hAnsi="Times New Roman"/>
                <w:color w:val="auto"/>
                <w:sz w:val="24"/>
                <w:highlight w:val="none"/>
                <w:shd w:val="clear" w:color="auto" w:fill="FFFFFF"/>
              </w:rPr>
              <w:t>钻井工程，</w:t>
            </w:r>
            <w:r>
              <w:rPr>
                <w:rFonts w:ascii="Times New Roman" w:hAnsi="Times New Roman"/>
                <w:color w:val="auto"/>
                <w:sz w:val="24"/>
                <w:highlight w:val="none"/>
              </w:rPr>
              <w:t>根据《中华人民共和国环境保护法》、《建设项目环境保护</w:t>
            </w:r>
            <w:r>
              <w:rPr>
                <w:rFonts w:hint="eastAsia" w:ascii="Times New Roman" w:hAnsi="Times New Roman"/>
                <w:color w:val="auto"/>
                <w:sz w:val="24"/>
                <w:highlight w:val="none"/>
                <w:lang w:eastAsia="zh-CN"/>
              </w:rPr>
              <w:t>管理条例</w:t>
            </w:r>
            <w:r>
              <w:rPr>
                <w:rFonts w:ascii="Times New Roman" w:hAnsi="Times New Roman"/>
                <w:color w:val="auto"/>
                <w:sz w:val="24"/>
                <w:highlight w:val="none"/>
              </w:rPr>
              <w:t>》和《建设项目环境影响评价分类管理名录》（2021年版），本项目属于</w:t>
            </w:r>
            <w:r>
              <w:rPr>
                <w:rFonts w:hint="eastAsia" w:ascii="Times New Roman" w:hAnsi="Times New Roman"/>
                <w:color w:val="auto"/>
                <w:sz w:val="24"/>
                <w:highlight w:val="none"/>
                <w:lang w:eastAsia="zh-CN"/>
              </w:rPr>
              <w:t>“</w:t>
            </w:r>
            <w:r>
              <w:rPr>
                <w:rFonts w:ascii="Times New Roman" w:hAnsi="Times New Roman"/>
                <w:color w:val="auto"/>
                <w:sz w:val="24"/>
                <w:highlight w:val="none"/>
              </w:rPr>
              <w:t>四十六、专业技术服务业99中的陆地矿产资源地质勘查（含油气资源勘探）；二氧化碳地质封存中其他</w:t>
            </w:r>
            <w:r>
              <w:rPr>
                <w:rFonts w:hint="eastAsia" w:ascii="Times New Roman" w:hAnsi="Times New Roman"/>
                <w:color w:val="auto"/>
                <w:sz w:val="24"/>
                <w:highlight w:val="none"/>
                <w:lang w:eastAsia="zh-CN"/>
              </w:rPr>
              <w:t>”</w:t>
            </w:r>
            <w:r>
              <w:rPr>
                <w:rFonts w:ascii="Times New Roman" w:hAnsi="Times New Roman"/>
                <w:color w:val="auto"/>
                <w:sz w:val="24"/>
                <w:highlight w:val="none"/>
              </w:rPr>
              <w:t>，经查看该类别为编制环境影响报告表，因此，本项目应编制环境影响报告表。</w:t>
            </w:r>
          </w:p>
          <w:p w14:paraId="19E1FC32">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为了对建设项目可能造成的环境影响进行分析、预测和评估，依据《中华人民共和国环境影响评价法》和《建设项目环境保护管理条例》等相关法律法规，本项目需进行环境影响评价，中安联合煤化有限责任公司委托</w:t>
            </w:r>
            <w:r>
              <w:rPr>
                <w:rFonts w:hint="eastAsia" w:ascii="Times New Roman" w:hAnsi="Times New Roman"/>
                <w:color w:val="auto"/>
                <w:sz w:val="24"/>
                <w:highlight w:val="none"/>
              </w:rPr>
              <w:t>蚌埠禾美环境设计院有限公司</w:t>
            </w:r>
            <w:r>
              <w:rPr>
                <w:rFonts w:ascii="Times New Roman" w:hAnsi="Times New Roman"/>
                <w:color w:val="auto"/>
                <w:sz w:val="24"/>
                <w:highlight w:val="none"/>
              </w:rPr>
              <w:t>对</w:t>
            </w:r>
            <w:r>
              <w:rPr>
                <w:rFonts w:hint="eastAsia" w:ascii="Times New Roman" w:hAnsi="Times New Roman"/>
                <w:color w:val="auto"/>
                <w:sz w:val="24"/>
                <w:highlight w:val="none"/>
                <w:lang w:eastAsia="zh-CN"/>
              </w:rPr>
              <w:t>“朱集西矿地面补勘钻孔及奥灰长观孔项目”</w:t>
            </w:r>
            <w:r>
              <w:rPr>
                <w:rFonts w:ascii="Times New Roman" w:hAnsi="Times New Roman"/>
                <w:color w:val="auto"/>
                <w:sz w:val="24"/>
                <w:highlight w:val="none"/>
              </w:rPr>
              <w:t>进行环境影响评价工作。接受委托后我单</w:t>
            </w:r>
            <w:r>
              <w:rPr>
                <w:rFonts w:hint="eastAsia" w:ascii="Times New Roman" w:hAnsi="Times New Roman"/>
                <w:color w:val="auto"/>
                <w:sz w:val="24"/>
                <w:highlight w:val="none"/>
                <w:lang w:eastAsia="zh-CN"/>
              </w:rPr>
              <w:t>位立</w:t>
            </w:r>
            <w:r>
              <w:rPr>
                <w:rFonts w:ascii="Times New Roman" w:hAnsi="Times New Roman"/>
                <w:color w:val="auto"/>
                <w:sz w:val="24"/>
                <w:highlight w:val="none"/>
              </w:rPr>
              <w:t>即组织有关技术人员进行现场踏勘、收集资料。依据国家环境保护有关文件和环境影响评价技术导则，编制了该项目环境影响报告表。</w:t>
            </w:r>
          </w:p>
          <w:p w14:paraId="4FCE0E87">
            <w:pPr>
              <w:spacing w:line="360" w:lineRule="auto"/>
              <w:ind w:firstLine="482" w:firstLineChars="200"/>
              <w:rPr>
                <w:rFonts w:ascii="Times New Roman" w:hAnsi="Times New Roman"/>
                <w:b/>
                <w:bCs/>
                <w:color w:val="auto"/>
                <w:sz w:val="24"/>
                <w:highlight w:val="none"/>
                <w:shd w:val="clear" w:color="auto" w:fill="FFFFFF"/>
              </w:rPr>
            </w:pPr>
            <w:r>
              <w:rPr>
                <w:rFonts w:ascii="Times New Roman" w:hAnsi="Times New Roman"/>
                <w:b/>
                <w:bCs/>
                <w:color w:val="auto"/>
                <w:sz w:val="24"/>
                <w:highlight w:val="none"/>
                <w:shd w:val="clear" w:color="auto" w:fill="FFFFFF"/>
              </w:rPr>
              <w:t>3、项目概况</w:t>
            </w:r>
          </w:p>
          <w:p w14:paraId="34904254">
            <w:pPr>
              <w:spacing w:line="360" w:lineRule="auto"/>
              <w:ind w:firstLine="480" w:firstLineChars="200"/>
              <w:rPr>
                <w:rFonts w:ascii="Times New Roman" w:hAnsi="Times New Roman"/>
                <w:color w:val="auto"/>
                <w:sz w:val="24"/>
                <w:highlight w:val="none"/>
                <w:shd w:val="clear" w:color="auto" w:fill="FFFFFF"/>
              </w:rPr>
            </w:pPr>
            <w:r>
              <w:rPr>
                <w:rFonts w:ascii="Times New Roman" w:hAnsi="Times New Roman"/>
                <w:color w:val="auto"/>
                <w:sz w:val="24"/>
                <w:highlight w:val="none"/>
                <w:shd w:val="clear" w:color="auto" w:fill="FFFFFF"/>
              </w:rPr>
              <w:t>项目的主要建设内容及规模见下表。</w:t>
            </w:r>
          </w:p>
          <w:p w14:paraId="642EE831">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Times New Roman" w:hAnsi="Times New Roman"/>
                <w:b/>
                <w:bCs/>
                <w:color w:val="auto"/>
                <w:szCs w:val="21"/>
                <w:highlight w:val="none"/>
              </w:rPr>
            </w:pPr>
            <w:r>
              <w:rPr>
                <w:rFonts w:ascii="Times New Roman" w:hAnsi="Times New Roman"/>
                <w:b/>
                <w:bCs/>
                <w:color w:val="auto"/>
                <w:szCs w:val="21"/>
                <w:highlight w:val="none"/>
              </w:rPr>
              <w:t>表2-</w:t>
            </w:r>
            <w:r>
              <w:rPr>
                <w:rFonts w:hint="eastAsia" w:ascii="Times New Roman" w:hAnsi="Times New Roman"/>
                <w:b/>
                <w:bCs/>
                <w:color w:val="auto"/>
                <w:szCs w:val="21"/>
                <w:highlight w:val="none"/>
              </w:rPr>
              <w:t>1</w:t>
            </w:r>
            <w:r>
              <w:rPr>
                <w:rFonts w:ascii="Times New Roman" w:hAnsi="Times New Roman"/>
                <w:b/>
                <w:bCs/>
                <w:color w:val="auto"/>
                <w:szCs w:val="21"/>
                <w:highlight w:val="none"/>
              </w:rPr>
              <w:t xml:space="preserve">  建设内容及规模一览表</w:t>
            </w:r>
          </w:p>
          <w:tbl>
            <w:tblPr>
              <w:tblStyle w:val="2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510"/>
              <w:gridCol w:w="1025"/>
              <w:gridCol w:w="5513"/>
            </w:tblGrid>
            <w:tr w14:paraId="281DF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tcBorders>
                    <w:tl2br w:val="nil"/>
                    <w:tr2bl w:val="nil"/>
                  </w:tcBorders>
                  <w:noWrap/>
                  <w:vAlign w:val="center"/>
                </w:tcPr>
                <w:p w14:paraId="08A178FF">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工程类别</w:t>
                  </w:r>
                </w:p>
              </w:tc>
              <w:tc>
                <w:tcPr>
                  <w:tcW w:w="1535" w:type="dxa"/>
                  <w:gridSpan w:val="2"/>
                  <w:tcBorders>
                    <w:tl2br w:val="nil"/>
                    <w:tr2bl w:val="nil"/>
                  </w:tcBorders>
                  <w:noWrap/>
                  <w:vAlign w:val="center"/>
                </w:tcPr>
                <w:p w14:paraId="279DA790">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工程</w:t>
                  </w:r>
                  <w:r>
                    <w:rPr>
                      <w:rFonts w:ascii="Times New Roman" w:hAnsi="Times New Roman"/>
                      <w:color w:val="auto"/>
                      <w:szCs w:val="21"/>
                      <w:highlight w:val="none"/>
                    </w:rPr>
                    <w:t>名称</w:t>
                  </w:r>
                </w:p>
              </w:tc>
              <w:tc>
                <w:tcPr>
                  <w:tcW w:w="5513" w:type="dxa"/>
                  <w:tcBorders>
                    <w:tl2br w:val="nil"/>
                    <w:tr2bl w:val="nil"/>
                  </w:tcBorders>
                  <w:noWrap/>
                  <w:vAlign w:val="center"/>
                </w:tcPr>
                <w:p w14:paraId="413AB7BD">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主要工程内容</w:t>
                  </w:r>
                </w:p>
              </w:tc>
            </w:tr>
            <w:tr w14:paraId="50B6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restart"/>
                  <w:tcBorders>
                    <w:tl2br w:val="nil"/>
                    <w:tr2bl w:val="nil"/>
                  </w:tcBorders>
                  <w:noWrap/>
                  <w:vAlign w:val="center"/>
                </w:tcPr>
                <w:p w14:paraId="14A833AE">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主体工程</w:t>
                  </w:r>
                </w:p>
              </w:tc>
              <w:tc>
                <w:tcPr>
                  <w:tcW w:w="1535" w:type="dxa"/>
                  <w:gridSpan w:val="2"/>
                  <w:tcBorders>
                    <w:tl2br w:val="nil"/>
                    <w:tr2bl w:val="nil"/>
                  </w:tcBorders>
                  <w:noWrap/>
                  <w:vAlign w:val="center"/>
                </w:tcPr>
                <w:p w14:paraId="21375A90">
                  <w:pPr>
                    <w:keepNext w:val="0"/>
                    <w:keepLines w:val="0"/>
                    <w:pageBreakBefore w:val="0"/>
                    <w:widowControl w:val="0"/>
                    <w:kinsoku/>
                    <w:wordWrap/>
                    <w:overflowPunct/>
                    <w:topLinePunct w:val="0"/>
                    <w:bidi w:val="0"/>
                    <w:snapToGrid/>
                    <w:ind w:left="0" w:leftChars="0" w:right="0" w:rightChars="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钻井工程</w:t>
                  </w:r>
                </w:p>
              </w:tc>
              <w:tc>
                <w:tcPr>
                  <w:tcW w:w="5513" w:type="dxa"/>
                  <w:tcBorders>
                    <w:tl2br w:val="nil"/>
                    <w:tr2bl w:val="nil"/>
                  </w:tcBorders>
                  <w:noWrap/>
                  <w:vAlign w:val="center"/>
                </w:tcPr>
                <w:p w14:paraId="37CEA038">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项目共设置</w:t>
                  </w:r>
                  <w:r>
                    <w:rPr>
                      <w:rFonts w:hint="eastAsia" w:ascii="Times New Roman" w:hAnsi="Times New Roman"/>
                      <w:color w:val="auto"/>
                      <w:szCs w:val="21"/>
                      <w:highlight w:val="none"/>
                      <w:lang w:val="en-US" w:eastAsia="zh-CN"/>
                    </w:rPr>
                    <w:t>3</w:t>
                  </w:r>
                  <w:r>
                    <w:rPr>
                      <w:rFonts w:hint="eastAsia" w:ascii="Times New Roman" w:hAnsi="Times New Roman"/>
                      <w:color w:val="auto"/>
                      <w:szCs w:val="21"/>
                      <w:highlight w:val="none"/>
                      <w:lang w:eastAsia="zh-CN"/>
                    </w:rPr>
                    <w:t>个井场</w:t>
                  </w:r>
                  <w:r>
                    <w:rPr>
                      <w:rFonts w:ascii="Times New Roman" w:hAnsi="Times New Roman"/>
                      <w:color w:val="auto"/>
                      <w:szCs w:val="21"/>
                      <w:highlight w:val="none"/>
                    </w:rPr>
                    <w:t>，总临时占地面积</w:t>
                  </w:r>
                  <w:r>
                    <w:rPr>
                      <w:rFonts w:hint="eastAsia" w:ascii="Times New Roman" w:hAnsi="Times New Roman"/>
                      <w:color w:val="auto"/>
                      <w:szCs w:val="21"/>
                      <w:highlight w:val="none"/>
                      <w:lang w:val="en-US" w:eastAsia="zh-CN"/>
                    </w:rPr>
                    <w:t>2949</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hint="eastAsia" w:ascii="Times New Roman" w:hAnsi="Times New Roman"/>
                      <w:color w:val="auto"/>
                      <w:szCs w:val="21"/>
                      <w:highlight w:val="none"/>
                      <w:lang w:eastAsia="zh-CN"/>
                    </w:rPr>
                    <w:t>，</w:t>
                  </w:r>
                  <w:r>
                    <w:rPr>
                      <w:rFonts w:ascii="Times New Roman" w:hAnsi="Times New Roman"/>
                      <w:color w:val="auto"/>
                      <w:szCs w:val="21"/>
                      <w:highlight w:val="none"/>
                    </w:rPr>
                    <w:t>施工现场及道路采取钢板铺垫</w:t>
                  </w:r>
                </w:p>
              </w:tc>
            </w:tr>
            <w:tr w14:paraId="7B2D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664B33E6">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510" w:type="dxa"/>
                  <w:vMerge w:val="restart"/>
                  <w:tcBorders>
                    <w:tl2br w:val="nil"/>
                    <w:tr2bl w:val="nil"/>
                  </w:tcBorders>
                  <w:noWrap/>
                  <w:vAlign w:val="center"/>
                </w:tcPr>
                <w:p w14:paraId="2B74F159">
                  <w:pPr>
                    <w:keepNext w:val="0"/>
                    <w:keepLines w:val="0"/>
                    <w:pageBreakBefore w:val="0"/>
                    <w:widowControl w:val="0"/>
                    <w:kinsoku/>
                    <w:wordWrap/>
                    <w:overflowPunct/>
                    <w:topLinePunct w:val="0"/>
                    <w:bidi w:val="0"/>
                    <w:snapToGrid/>
                    <w:ind w:left="0" w:leftChars="0" w:right="0" w:rightChars="0"/>
                    <w:jc w:val="center"/>
                    <w:textAlignment w:val="auto"/>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其中</w:t>
                  </w:r>
                </w:p>
              </w:tc>
              <w:tc>
                <w:tcPr>
                  <w:tcW w:w="1025" w:type="dxa"/>
                  <w:tcBorders>
                    <w:tl2br w:val="nil"/>
                    <w:tr2bl w:val="nil"/>
                  </w:tcBorders>
                  <w:noWrap/>
                  <w:vAlign w:val="center"/>
                </w:tcPr>
                <w:p w14:paraId="0492E072">
                  <w:pPr>
                    <w:keepNext w:val="0"/>
                    <w:keepLines w:val="0"/>
                    <w:pageBreakBefore w:val="0"/>
                    <w:widowControl w:val="0"/>
                    <w:kinsoku/>
                    <w:wordWrap/>
                    <w:overflowPunct/>
                    <w:topLinePunct w:val="0"/>
                    <w:bidi w:val="0"/>
                    <w:snapToGrid/>
                    <w:ind w:left="0" w:leftChars="0" w:right="0" w:rightChars="0"/>
                    <w:jc w:val="center"/>
                    <w:textAlignment w:val="auto"/>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40-B7井场（1#井场）</w:t>
                  </w:r>
                </w:p>
              </w:tc>
              <w:tc>
                <w:tcPr>
                  <w:tcW w:w="5513" w:type="dxa"/>
                  <w:tcBorders>
                    <w:tl2br w:val="nil"/>
                    <w:tr2bl w:val="nil"/>
                  </w:tcBorders>
                  <w:shd w:val="clear" w:color="auto" w:fill="auto"/>
                  <w:noWrap/>
                  <w:vAlign w:val="center"/>
                </w:tcPr>
                <w:p w14:paraId="737EFAE8">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color w:val="auto"/>
                      <w:szCs w:val="21"/>
                      <w:highlight w:val="none"/>
                      <w:lang w:val="en-US" w:eastAsia="zh-CN"/>
                    </w:rPr>
                    <w:t>总占地面积约829m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，出入口位于井场北侧，设计孔深934m，</w:t>
                  </w:r>
                  <w:r>
                    <w:rPr>
                      <w:rFonts w:hint="default" w:ascii="Times New Roman" w:hAnsi="Times New Roman" w:cs="Times New Roman"/>
                      <w:bCs/>
                      <w:color w:val="auto"/>
                      <w:szCs w:val="21"/>
                      <w:highlight w:val="none"/>
                    </w:rPr>
                    <w:t>开孔</w:t>
                  </w:r>
                  <w:r>
                    <w:rPr>
                      <w:rFonts w:hint="eastAsia" w:ascii="Times New Roman" w:hAnsi="Times New Roman" w:cs="Times New Roman"/>
                      <w:bCs/>
                      <w:color w:val="auto"/>
                      <w:szCs w:val="21"/>
                      <w:highlight w:val="none"/>
                      <w:lang w:eastAsia="zh-CN"/>
                    </w:rPr>
                    <w:t>Φ94mm，</w:t>
                  </w:r>
                  <w:r>
                    <w:rPr>
                      <w:rFonts w:hint="eastAsia" w:ascii="Times New Roman" w:hAnsi="Times New Roman"/>
                      <w:color w:val="auto"/>
                      <w:szCs w:val="21"/>
                      <w:highlight w:val="none"/>
                      <w:lang w:val="en-US" w:eastAsia="zh-CN"/>
                    </w:rPr>
                    <w:t>包含车辆冲洗沉淀池（8m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lang w:val="en-US" w:eastAsia="zh-CN"/>
                    </w:rPr>
                    <w:t>（10m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eastAsia="zh-CN"/>
                    </w:rPr>
                    <w:t>泥浆池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、干化池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）、钻孔作业区（72m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表土剥离堆放场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110m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岩芯摆放区（10m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施工材料区</w:t>
                  </w:r>
                  <w:r>
                    <w:rPr>
                      <w:rFonts w:hint="eastAsia" w:ascii="Times New Roman" w:hAnsi="Times New Roman"/>
                      <w:color w:val="auto"/>
                      <w:szCs w:val="21"/>
                      <w:highlight w:val="none"/>
                      <w:lang w:val="en-US" w:eastAsia="zh-CN"/>
                    </w:rPr>
                    <w:t>（11m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）等；</w:t>
                  </w:r>
                </w:p>
              </w:tc>
            </w:tr>
            <w:tr w14:paraId="6C65C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7E6E4107">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510" w:type="dxa"/>
                  <w:vMerge w:val="continue"/>
                  <w:tcBorders>
                    <w:tl2br w:val="nil"/>
                    <w:tr2bl w:val="nil"/>
                  </w:tcBorders>
                  <w:noWrap/>
                  <w:vAlign w:val="center"/>
                </w:tcPr>
                <w:p w14:paraId="76817A59">
                  <w:pPr>
                    <w:keepNext w:val="0"/>
                    <w:keepLines w:val="0"/>
                    <w:pageBreakBefore w:val="0"/>
                    <w:widowControl w:val="0"/>
                    <w:kinsoku/>
                    <w:wordWrap/>
                    <w:overflowPunct/>
                    <w:topLinePunct w:val="0"/>
                    <w:bidi w:val="0"/>
                    <w:snapToGrid/>
                    <w:ind w:left="0" w:leftChars="0" w:right="0" w:rightChars="0"/>
                    <w:jc w:val="center"/>
                    <w:textAlignment w:val="auto"/>
                    <w:rPr>
                      <w:rFonts w:hint="eastAsia" w:ascii="Times New Roman" w:hAnsi="Times New Roman"/>
                      <w:color w:val="auto"/>
                      <w:szCs w:val="21"/>
                      <w:highlight w:val="none"/>
                      <w:lang w:val="en-US" w:eastAsia="zh-CN"/>
                    </w:rPr>
                  </w:pPr>
                </w:p>
              </w:tc>
              <w:tc>
                <w:tcPr>
                  <w:tcW w:w="1025" w:type="dxa"/>
                  <w:tcBorders>
                    <w:tl2br w:val="nil"/>
                    <w:tr2bl w:val="nil"/>
                  </w:tcBorders>
                  <w:noWrap/>
                  <w:vAlign w:val="center"/>
                </w:tcPr>
                <w:p w14:paraId="1A5D5A04">
                  <w:pPr>
                    <w:keepNext w:val="0"/>
                    <w:keepLines w:val="0"/>
                    <w:pageBreakBefore w:val="0"/>
                    <w:widowControl w:val="0"/>
                    <w:kinsoku/>
                    <w:wordWrap/>
                    <w:overflowPunct/>
                    <w:topLinePunct w:val="0"/>
                    <w:bidi w:val="0"/>
                    <w:snapToGrid/>
                    <w:ind w:left="0" w:leftChars="0" w:right="0" w:rightChars="0"/>
                    <w:jc w:val="center"/>
                    <w:textAlignment w:val="auto"/>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39-B8井场（2#井场）</w:t>
                  </w:r>
                </w:p>
              </w:tc>
              <w:tc>
                <w:tcPr>
                  <w:tcW w:w="5513" w:type="dxa"/>
                  <w:tcBorders>
                    <w:tl2br w:val="nil"/>
                    <w:tr2bl w:val="nil"/>
                  </w:tcBorders>
                  <w:shd w:val="clear" w:color="auto" w:fill="auto"/>
                  <w:noWrap/>
                  <w:vAlign w:val="center"/>
                </w:tcPr>
                <w:p w14:paraId="3F74D9D9">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color w:val="auto"/>
                      <w:szCs w:val="21"/>
                      <w:highlight w:val="yellow"/>
                      <w:lang w:val="en-US" w:eastAsia="zh-CN"/>
                    </w:rPr>
                  </w:pPr>
                  <w:r>
                    <w:rPr>
                      <w:rFonts w:hint="eastAsia" w:ascii="Times New Roman" w:hAnsi="Times New Roman"/>
                      <w:color w:val="auto"/>
                      <w:szCs w:val="21"/>
                      <w:highlight w:val="none"/>
                      <w:lang w:val="en-US" w:eastAsia="zh-CN"/>
                    </w:rPr>
                    <w:t>总占地面积约1243m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，出入口位于井场西南角，设计孔深951m，</w:t>
                  </w:r>
                  <w:r>
                    <w:rPr>
                      <w:rFonts w:hint="default" w:ascii="Times New Roman" w:hAnsi="Times New Roman" w:cs="Times New Roman"/>
                      <w:bCs/>
                      <w:color w:val="auto"/>
                      <w:szCs w:val="21"/>
                      <w:highlight w:val="none"/>
                    </w:rPr>
                    <w:t>开孔</w:t>
                  </w:r>
                  <w:r>
                    <w:rPr>
                      <w:rFonts w:hint="eastAsia" w:ascii="Times New Roman" w:hAnsi="Times New Roman" w:cs="Times New Roman"/>
                      <w:bCs/>
                      <w:color w:val="auto"/>
                      <w:szCs w:val="21"/>
                      <w:highlight w:val="none"/>
                      <w:lang w:eastAsia="zh-CN"/>
                    </w:rPr>
                    <w:t>Φ94mm，</w:t>
                  </w:r>
                  <w:r>
                    <w:rPr>
                      <w:rFonts w:hint="eastAsia" w:ascii="Times New Roman" w:hAnsi="Times New Roman"/>
                      <w:color w:val="auto"/>
                      <w:szCs w:val="21"/>
                      <w:highlight w:val="none"/>
                      <w:lang w:val="en-US" w:eastAsia="zh-CN"/>
                    </w:rPr>
                    <w:t>包含车辆冲洗沉淀池（8m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lang w:val="en-US" w:eastAsia="zh-CN"/>
                    </w:rPr>
                    <w:t>（10m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eastAsia="zh-CN"/>
                    </w:rPr>
                    <w:t>泥浆池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、干化池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）、钻孔作业区（72m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表土剥离堆放场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140m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岩芯摆放区（10m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施工材料区</w:t>
                  </w:r>
                  <w:r>
                    <w:rPr>
                      <w:rFonts w:hint="eastAsia" w:ascii="Times New Roman" w:hAnsi="Times New Roman"/>
                      <w:color w:val="auto"/>
                      <w:szCs w:val="21"/>
                      <w:highlight w:val="none"/>
                      <w:lang w:val="en-US" w:eastAsia="zh-CN"/>
                    </w:rPr>
                    <w:t>（11m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）等；</w:t>
                  </w:r>
                </w:p>
              </w:tc>
            </w:tr>
            <w:tr w14:paraId="5878C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16C1C68F">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510" w:type="dxa"/>
                  <w:vMerge w:val="continue"/>
                  <w:tcBorders>
                    <w:tl2br w:val="nil"/>
                    <w:tr2bl w:val="nil"/>
                  </w:tcBorders>
                  <w:noWrap/>
                  <w:vAlign w:val="center"/>
                </w:tcPr>
                <w:p w14:paraId="77C074F1">
                  <w:pPr>
                    <w:keepNext w:val="0"/>
                    <w:keepLines w:val="0"/>
                    <w:pageBreakBefore w:val="0"/>
                    <w:widowControl w:val="0"/>
                    <w:kinsoku/>
                    <w:wordWrap/>
                    <w:overflowPunct/>
                    <w:topLinePunct w:val="0"/>
                    <w:bidi w:val="0"/>
                    <w:snapToGrid/>
                    <w:ind w:left="0" w:leftChars="0" w:right="0" w:rightChars="0"/>
                    <w:jc w:val="center"/>
                    <w:textAlignment w:val="auto"/>
                    <w:rPr>
                      <w:rFonts w:hint="eastAsia" w:ascii="Times New Roman" w:hAnsi="Times New Roman"/>
                      <w:color w:val="auto"/>
                      <w:szCs w:val="21"/>
                      <w:highlight w:val="none"/>
                      <w:lang w:val="en-US" w:eastAsia="zh-CN"/>
                    </w:rPr>
                  </w:pPr>
                </w:p>
              </w:tc>
              <w:tc>
                <w:tcPr>
                  <w:tcW w:w="1025" w:type="dxa"/>
                  <w:tcBorders>
                    <w:tl2br w:val="nil"/>
                    <w:tr2bl w:val="nil"/>
                  </w:tcBorders>
                  <w:noWrap/>
                  <w:vAlign w:val="center"/>
                </w:tcPr>
                <w:p w14:paraId="33DAE3EF">
                  <w:pPr>
                    <w:keepNext w:val="0"/>
                    <w:keepLines w:val="0"/>
                    <w:pageBreakBefore w:val="0"/>
                    <w:widowControl w:val="0"/>
                    <w:kinsoku/>
                    <w:wordWrap/>
                    <w:overflowPunct/>
                    <w:topLinePunct w:val="0"/>
                    <w:bidi w:val="0"/>
                    <w:snapToGrid/>
                    <w:ind w:left="0" w:leftChars="0" w:right="0" w:rightChars="0"/>
                    <w:jc w:val="center"/>
                    <w:textAlignment w:val="auto"/>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奥灰-1孔井场（3#井场）</w:t>
                  </w:r>
                </w:p>
              </w:tc>
              <w:tc>
                <w:tcPr>
                  <w:tcW w:w="5513" w:type="dxa"/>
                  <w:tcBorders>
                    <w:tl2br w:val="nil"/>
                    <w:tr2bl w:val="nil"/>
                  </w:tcBorders>
                  <w:shd w:val="clear" w:color="auto" w:fill="auto"/>
                  <w:noWrap/>
                  <w:vAlign w:val="center"/>
                </w:tcPr>
                <w:p w14:paraId="09E96DA1">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color w:val="auto"/>
                      <w:szCs w:val="21"/>
                      <w:highlight w:val="none"/>
                      <w:lang w:val="en-US" w:eastAsia="zh-CN"/>
                    </w:rPr>
                    <w:t>总占地面积约877m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，出入口位于井场北侧，设计孔深1100m，一</w:t>
                  </w:r>
                  <w:r>
                    <w:rPr>
                      <w:rFonts w:hint="default" w:ascii="Times New Roman" w:hAnsi="Times New Roman" w:cs="Times New Roman"/>
                      <w:bCs/>
                      <w:color w:val="auto"/>
                      <w:szCs w:val="21"/>
                      <w:highlight w:val="none"/>
                    </w:rPr>
                    <w:t>开孔</w:t>
                  </w:r>
                  <w:r>
                    <w:rPr>
                      <w:rFonts w:hint="eastAsia" w:ascii="Times New Roman" w:hAnsi="Times New Roman" w:cs="Times New Roman"/>
                      <w:bCs/>
                      <w:color w:val="auto"/>
                      <w:szCs w:val="21"/>
                      <w:highlight w:val="none"/>
                      <w:lang w:eastAsia="zh-CN"/>
                    </w:rPr>
                    <w:t>Φ</w:t>
                  </w:r>
                  <w:r>
                    <w:rPr>
                      <w:rFonts w:hint="eastAsia" w:ascii="Times New Roman" w:hAnsi="Times New Roman"/>
                      <w:color w:val="auto"/>
                      <w:szCs w:val="21"/>
                      <w:highlight w:val="none"/>
                      <w:lang w:val="en-US" w:eastAsia="zh-CN"/>
                    </w:rPr>
                    <w:t>146mm，二开孔径108mm，三开孔径94mm</w:t>
                  </w:r>
                  <w:r>
                    <w:rPr>
                      <w:rFonts w:hint="eastAsia" w:ascii="Times New Roman" w:hAnsi="Times New Roman" w:cs="Times New Roman"/>
                      <w:bCs/>
                      <w:color w:val="auto"/>
                      <w:szCs w:val="21"/>
                      <w:highlight w:val="none"/>
                      <w:lang w:eastAsia="zh-CN"/>
                    </w:rPr>
                    <w:t>，</w:t>
                  </w:r>
                  <w:r>
                    <w:rPr>
                      <w:rFonts w:hint="eastAsia" w:ascii="Times New Roman" w:hAnsi="Times New Roman"/>
                      <w:color w:val="auto"/>
                      <w:szCs w:val="21"/>
                      <w:highlight w:val="none"/>
                      <w:lang w:val="en-US" w:eastAsia="zh-CN"/>
                    </w:rPr>
                    <w:t>包含车辆冲洗沉淀池（8m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lang w:val="en-US" w:eastAsia="zh-CN"/>
                    </w:rPr>
                    <w:t>（10m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eastAsia="zh-CN"/>
                    </w:rPr>
                    <w:t>泥浆池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清水池（160m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干化池</w:t>
                  </w:r>
                  <w:r>
                    <w:rPr>
                      <w:rFonts w:hint="eastAsia" w:ascii="Times New Roman" w:hAnsi="Times New Roman"/>
                      <w:color w:val="auto"/>
                      <w:szCs w:val="21"/>
                      <w:highlight w:val="none"/>
                      <w:lang w:val="en-US" w:eastAsia="zh-CN"/>
                    </w:rPr>
                    <w:t>（36m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）、钻孔作业区（72m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表土剥离堆放场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120m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岩芯摆放区（10m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rPr>
                    <w:t>施工材料区</w:t>
                  </w:r>
                  <w:r>
                    <w:rPr>
                      <w:rFonts w:hint="eastAsia" w:ascii="Times New Roman" w:hAnsi="Times New Roman"/>
                      <w:color w:val="auto"/>
                      <w:szCs w:val="21"/>
                      <w:highlight w:val="none"/>
                      <w:lang w:val="en-US" w:eastAsia="zh-CN"/>
                    </w:rPr>
                    <w:t>（11m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）等；</w:t>
                  </w:r>
                </w:p>
              </w:tc>
            </w:tr>
            <w:tr w14:paraId="0ACE0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2A216FD1">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64F98168">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复垦工程</w:t>
                  </w:r>
                </w:p>
              </w:tc>
              <w:tc>
                <w:tcPr>
                  <w:tcW w:w="5513" w:type="dxa"/>
                  <w:tcBorders>
                    <w:tl2br w:val="nil"/>
                    <w:tr2bl w:val="nil"/>
                  </w:tcBorders>
                  <w:noWrap/>
                  <w:vAlign w:val="center"/>
                </w:tcPr>
                <w:p w14:paraId="40D573A3">
                  <w:pPr>
                    <w:pStyle w:val="31"/>
                    <w:keepNext w:val="0"/>
                    <w:keepLines w:val="0"/>
                    <w:pageBreakBefore w:val="0"/>
                    <w:widowControl w:val="0"/>
                    <w:kinsoku/>
                    <w:wordWrap/>
                    <w:overflowPunct/>
                    <w:topLinePunct w:val="0"/>
                    <w:bidi w:val="0"/>
                    <w:snapToGrid/>
                    <w:ind w:left="0" w:leftChars="0" w:right="0" w:rightChars="0"/>
                    <w:jc w:val="both"/>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工程完成后进行植被恢复，维持项目区域生态环境的现有功能</w:t>
                  </w:r>
                </w:p>
              </w:tc>
            </w:tr>
            <w:tr w14:paraId="555D0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tcBorders>
                    <w:tl2br w:val="nil"/>
                    <w:tr2bl w:val="nil"/>
                  </w:tcBorders>
                  <w:noWrap/>
                  <w:vAlign w:val="center"/>
                </w:tcPr>
                <w:p w14:paraId="1A70ACBC">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辅助工程</w:t>
                  </w:r>
                </w:p>
              </w:tc>
              <w:tc>
                <w:tcPr>
                  <w:tcW w:w="1535" w:type="dxa"/>
                  <w:gridSpan w:val="2"/>
                  <w:tcBorders>
                    <w:tl2br w:val="nil"/>
                    <w:tr2bl w:val="nil"/>
                  </w:tcBorders>
                  <w:noWrap/>
                  <w:vAlign w:val="center"/>
                </w:tcPr>
                <w:p w14:paraId="44818B5A">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自控系统</w:t>
                  </w:r>
                </w:p>
              </w:tc>
              <w:tc>
                <w:tcPr>
                  <w:tcW w:w="5513" w:type="dxa"/>
                  <w:tcBorders>
                    <w:tl2br w:val="nil"/>
                    <w:tr2bl w:val="nil"/>
                  </w:tcBorders>
                  <w:noWrap/>
                  <w:vAlign w:val="center"/>
                </w:tcPr>
                <w:p w14:paraId="564100BE">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hint="eastAsia" w:ascii="Times New Roman" w:hAnsi="Times New Roman"/>
                      <w:color w:val="auto"/>
                      <w:szCs w:val="21"/>
                      <w:highlight w:val="none"/>
                    </w:rPr>
                    <w:t>各</w:t>
                  </w:r>
                  <w:r>
                    <w:rPr>
                      <w:rFonts w:ascii="Times New Roman" w:hAnsi="Times New Roman"/>
                      <w:color w:val="auto"/>
                      <w:szCs w:val="21"/>
                      <w:highlight w:val="none"/>
                    </w:rPr>
                    <w:t>井场设置</w:t>
                  </w:r>
                  <w:r>
                    <w:rPr>
                      <w:rFonts w:ascii="Times New Roman" w:hAnsi="Times New Roman"/>
                      <w:color w:val="auto"/>
                      <w:szCs w:val="21"/>
                      <w:highlight w:val="none"/>
                      <w:shd w:val="clear" w:color="auto" w:fill="FFFFFF"/>
                    </w:rPr>
                    <w:t>控制配电室，建设面积</w:t>
                  </w:r>
                  <w:r>
                    <w:rPr>
                      <w:rFonts w:hint="eastAsia" w:ascii="Times New Roman" w:hAnsi="Times New Roman"/>
                      <w:color w:val="auto"/>
                      <w:szCs w:val="21"/>
                      <w:highlight w:val="none"/>
                      <w:shd w:val="clear" w:color="auto" w:fill="FFFFFF"/>
                      <w:lang w:val="en-US" w:eastAsia="zh-CN"/>
                    </w:rPr>
                    <w:t>均为19</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p>
              </w:tc>
            </w:tr>
            <w:tr w14:paraId="7CF70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restart"/>
                  <w:tcBorders>
                    <w:tl2br w:val="nil"/>
                    <w:tr2bl w:val="nil"/>
                  </w:tcBorders>
                  <w:noWrap/>
                  <w:vAlign w:val="center"/>
                </w:tcPr>
                <w:p w14:paraId="1BAE6760">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临时工程</w:t>
                  </w:r>
                </w:p>
              </w:tc>
              <w:tc>
                <w:tcPr>
                  <w:tcW w:w="1535" w:type="dxa"/>
                  <w:gridSpan w:val="2"/>
                  <w:tcBorders>
                    <w:tl2br w:val="nil"/>
                    <w:tr2bl w:val="nil"/>
                  </w:tcBorders>
                  <w:noWrap/>
                  <w:vAlign w:val="center"/>
                </w:tcPr>
                <w:p w14:paraId="3CF0631A">
                  <w:pPr>
                    <w:keepNext w:val="0"/>
                    <w:keepLines w:val="0"/>
                    <w:pageBreakBefore w:val="0"/>
                    <w:widowControl w:val="0"/>
                    <w:kinsoku/>
                    <w:wordWrap/>
                    <w:overflowPunct/>
                    <w:topLinePunct w:val="0"/>
                    <w:bidi w:val="0"/>
                    <w:snapToGrid/>
                    <w:ind w:left="0" w:leftChars="0" w:right="0" w:rightChars="0"/>
                    <w:jc w:val="center"/>
                    <w:textAlignment w:val="auto"/>
                    <w:rPr>
                      <w:color w:val="auto"/>
                      <w:szCs w:val="21"/>
                      <w:highlight w:val="none"/>
                    </w:rPr>
                  </w:pPr>
                  <w:r>
                    <w:rPr>
                      <w:color w:val="auto"/>
                      <w:szCs w:val="21"/>
                      <w:highlight w:val="none"/>
                    </w:rPr>
                    <w:t>临时办公区</w:t>
                  </w:r>
                </w:p>
              </w:tc>
              <w:tc>
                <w:tcPr>
                  <w:tcW w:w="5513" w:type="dxa"/>
                  <w:tcBorders>
                    <w:tl2br w:val="nil"/>
                    <w:tr2bl w:val="nil"/>
                  </w:tcBorders>
                  <w:noWrap/>
                  <w:vAlign w:val="center"/>
                </w:tcPr>
                <w:p w14:paraId="5D8CF74C">
                  <w:pPr>
                    <w:keepNext w:val="0"/>
                    <w:keepLines w:val="0"/>
                    <w:pageBreakBefore w:val="0"/>
                    <w:widowControl w:val="0"/>
                    <w:kinsoku/>
                    <w:wordWrap/>
                    <w:overflowPunct/>
                    <w:topLinePunct w:val="0"/>
                    <w:bidi w:val="0"/>
                    <w:snapToGrid/>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每个井场内设置</w:t>
                  </w:r>
                  <w:r>
                    <w:rPr>
                      <w:rFonts w:hint="default" w:ascii="Times New Roman" w:hAnsi="Times New Roman" w:cs="Times New Roman"/>
                      <w:color w:val="auto"/>
                      <w:szCs w:val="21"/>
                      <w:highlight w:val="none"/>
                      <w:shd w:val="clear" w:color="auto" w:fill="FFFFFF"/>
                    </w:rPr>
                    <w:t>临时办公区，用于现场办公，属于每个井场临时用地范围，建筑面积</w:t>
                  </w:r>
                  <w:r>
                    <w:rPr>
                      <w:rFonts w:hint="default" w:ascii="Times New Roman" w:hAnsi="Times New Roman" w:cs="Times New Roman"/>
                      <w:color w:val="auto"/>
                      <w:szCs w:val="21"/>
                      <w:highlight w:val="none"/>
                      <w:shd w:val="clear" w:color="auto" w:fill="FFFFFF"/>
                      <w:lang w:val="en-US" w:eastAsia="zh-CN"/>
                    </w:rPr>
                    <w:t>均为19</w:t>
                  </w:r>
                  <w:r>
                    <w:rPr>
                      <w:rFonts w:hint="default" w:ascii="Times New Roman" w:hAnsi="Times New Roman" w:cs="Times New Roman"/>
                      <w:color w:val="auto"/>
                      <w:szCs w:val="21"/>
                      <w:highlight w:val="none"/>
                      <w:shd w:val="clear" w:color="auto" w:fill="FFFFFF"/>
                    </w:rPr>
                    <w:t>m</w:t>
                  </w:r>
                  <w:r>
                    <w:rPr>
                      <w:rFonts w:hint="default" w:ascii="Times New Roman" w:hAnsi="Times New Roman" w:cs="Times New Roman"/>
                      <w:color w:val="auto"/>
                      <w:szCs w:val="21"/>
                      <w:highlight w:val="none"/>
                      <w:shd w:val="clear" w:color="auto" w:fill="FFFFFF"/>
                      <w:vertAlign w:val="superscript"/>
                    </w:rPr>
                    <w:t>2</w:t>
                  </w:r>
                  <w:r>
                    <w:rPr>
                      <w:rFonts w:hint="default" w:ascii="Times New Roman" w:hAnsi="Times New Roman" w:cs="Times New Roman"/>
                      <w:color w:val="auto"/>
                      <w:szCs w:val="21"/>
                      <w:highlight w:val="none"/>
                      <w:shd w:val="clear" w:color="auto" w:fill="FFFFFF"/>
                    </w:rPr>
                    <w:t>。</w:t>
                  </w:r>
                  <w:r>
                    <w:rPr>
                      <w:rFonts w:hint="eastAsia" w:ascii="Times New Roman" w:hAnsi="Times New Roman" w:cs="Times New Roman"/>
                      <w:color w:val="auto"/>
                      <w:szCs w:val="21"/>
                      <w:highlight w:val="none"/>
                      <w:shd w:val="clear" w:color="auto" w:fill="FFFFFF"/>
                      <w:lang w:val="en-US" w:eastAsia="zh-CN"/>
                    </w:rPr>
                    <w:t>各</w:t>
                  </w:r>
                  <w:r>
                    <w:rPr>
                      <w:rFonts w:hint="default" w:ascii="Times New Roman" w:hAnsi="Times New Roman" w:cs="Times New Roman"/>
                      <w:color w:val="auto"/>
                      <w:szCs w:val="21"/>
                      <w:highlight w:val="none"/>
                      <w:shd w:val="clear" w:color="auto" w:fill="FFFFFF"/>
                    </w:rPr>
                    <w:t>井场内不设置施工营地，施工人员租用当地民房作为临时营地。</w:t>
                  </w:r>
                </w:p>
              </w:tc>
            </w:tr>
            <w:tr w14:paraId="219C9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05803672">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242048A1">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进场道路</w:t>
                  </w:r>
                </w:p>
              </w:tc>
              <w:tc>
                <w:tcPr>
                  <w:tcW w:w="5513" w:type="dxa"/>
                  <w:tcBorders>
                    <w:tl2br w:val="nil"/>
                    <w:tr2bl w:val="nil"/>
                  </w:tcBorders>
                  <w:noWrap/>
                  <w:vAlign w:val="center"/>
                </w:tcPr>
                <w:p w14:paraId="79A858C7">
                  <w:pPr>
                    <w:keepNext w:val="0"/>
                    <w:keepLines w:val="0"/>
                    <w:pageBreakBefore w:val="0"/>
                    <w:widowControl w:val="0"/>
                    <w:kinsoku/>
                    <w:wordWrap/>
                    <w:overflowPunct/>
                    <w:topLinePunct w:val="0"/>
                    <w:bidi w:val="0"/>
                    <w:snapToGrid/>
                    <w:ind w:left="0" w:leftChars="0" w:right="0" w:rightChars="0"/>
                    <w:jc w:val="left"/>
                    <w:textAlignment w:val="auto"/>
                    <w:rPr>
                      <w:rFonts w:hint="eastAsia" w:ascii="Times New Roman" w:hAnsi="Times New Roman"/>
                      <w:color w:val="auto"/>
                      <w:szCs w:val="21"/>
                      <w:highlight w:val="none"/>
                    </w:rPr>
                  </w:pPr>
                  <w:r>
                    <w:rPr>
                      <w:rFonts w:ascii="Times New Roman" w:hAnsi="Times New Roman"/>
                      <w:color w:val="auto"/>
                      <w:szCs w:val="21"/>
                      <w:highlight w:val="none"/>
                    </w:rPr>
                    <w:t>根据现场施工远近情况铺设进场道路，</w:t>
                  </w:r>
                  <w:r>
                    <w:rPr>
                      <w:rFonts w:hint="eastAsia" w:ascii="Times New Roman" w:hAnsi="Times New Roman"/>
                      <w:color w:val="auto"/>
                      <w:szCs w:val="21"/>
                      <w:highlight w:val="none"/>
                      <w:lang w:val="en-US" w:eastAsia="zh-CN"/>
                    </w:rPr>
                    <w:t>井场周边进场设置临时道路，</w:t>
                  </w:r>
                  <w:r>
                    <w:rPr>
                      <w:rFonts w:ascii="Times New Roman" w:hAnsi="Times New Roman"/>
                      <w:color w:val="auto"/>
                      <w:szCs w:val="21"/>
                      <w:highlight w:val="none"/>
                    </w:rPr>
                    <w:t>采取钢板铺垫</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总占地面积约720m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其余道路主要依托现有村村通道路</w:t>
                  </w:r>
                  <w:r>
                    <w:rPr>
                      <w:rFonts w:hint="eastAsia" w:ascii="Times New Roman" w:hAnsi="Times New Roman"/>
                      <w:color w:val="auto"/>
                      <w:szCs w:val="21"/>
                      <w:highlight w:val="none"/>
                    </w:rPr>
                    <w:t>：</w:t>
                  </w:r>
                </w:p>
                <w:p w14:paraId="4D6CA555">
                  <w:pPr>
                    <w:keepNext w:val="0"/>
                    <w:keepLines w:val="0"/>
                    <w:pageBreakBefore w:val="0"/>
                    <w:widowControl w:val="0"/>
                    <w:kinsoku/>
                    <w:wordWrap/>
                    <w:overflowPunct/>
                    <w:topLinePunct w:val="0"/>
                    <w:bidi w:val="0"/>
                    <w:snapToGrid/>
                    <w:ind w:left="0" w:leftChars="0" w:right="0" w:rightChars="0"/>
                    <w:textAlignment w:val="auto"/>
                    <w:rPr>
                      <w:rFonts w:hint="eastAsia"/>
                      <w:color w:val="auto"/>
                      <w:highlight w:val="none"/>
                    </w:rPr>
                  </w:pPr>
                  <w:r>
                    <w:rPr>
                      <w:rFonts w:hint="eastAsia" w:ascii="Times New Roman" w:hAnsi="Times New Roman"/>
                      <w:color w:val="auto"/>
                      <w:szCs w:val="21"/>
                      <w:highlight w:val="none"/>
                      <w:lang w:val="en-US" w:eastAsia="zh-CN"/>
                    </w:rPr>
                    <w:t>①40-B7井场（1#井场）临时道路占地面积约124m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p>
                <w:p w14:paraId="74869BA5">
                  <w:pPr>
                    <w:keepNext w:val="0"/>
                    <w:keepLines w:val="0"/>
                    <w:pageBreakBefore w:val="0"/>
                    <w:widowControl w:val="0"/>
                    <w:kinsoku/>
                    <w:wordWrap/>
                    <w:overflowPunct/>
                    <w:topLinePunct w:val="0"/>
                    <w:bidi w:val="0"/>
                    <w:snapToGrid/>
                    <w:ind w:left="0" w:leftChars="0" w:right="0" w:rightChars="0"/>
                    <w:textAlignment w:val="auto"/>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②39-B8井场（2#井场）临时道路占地面积约452m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p>
                <w:p w14:paraId="3CA956C3">
                  <w:pPr>
                    <w:keepNext w:val="0"/>
                    <w:keepLines w:val="0"/>
                    <w:pageBreakBefore w:val="0"/>
                    <w:widowControl w:val="0"/>
                    <w:kinsoku/>
                    <w:wordWrap/>
                    <w:overflowPunct/>
                    <w:topLinePunct w:val="0"/>
                    <w:bidi w:val="0"/>
                    <w:snapToGrid/>
                    <w:ind w:left="0" w:leftChars="0" w:right="0" w:rightChars="0"/>
                    <w:textAlignment w:val="auto"/>
                  </w:pPr>
                  <w:r>
                    <w:rPr>
                      <w:rFonts w:hint="eastAsia" w:ascii="Times New Roman" w:hAnsi="Times New Roman"/>
                      <w:color w:val="auto"/>
                      <w:szCs w:val="21"/>
                      <w:highlight w:val="none"/>
                      <w:lang w:val="en-US" w:eastAsia="zh-CN"/>
                    </w:rPr>
                    <w:t>③奥灰-1孔井场（3#井场）临时道路占地面积约130m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w:t>
                  </w:r>
                </w:p>
              </w:tc>
            </w:tr>
            <w:tr w14:paraId="5E89F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0F251F56">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44014BB8">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hint="eastAsia" w:ascii="Times New Roman" w:hAnsi="Times New Roman"/>
                      <w:color w:val="auto"/>
                      <w:szCs w:val="21"/>
                      <w:highlight w:val="none"/>
                    </w:rPr>
                    <w:t>表土剥离堆场</w:t>
                  </w:r>
                </w:p>
              </w:tc>
              <w:tc>
                <w:tcPr>
                  <w:tcW w:w="5513" w:type="dxa"/>
                  <w:tcBorders>
                    <w:tl2br w:val="nil"/>
                    <w:tr2bl w:val="nil"/>
                  </w:tcBorders>
                  <w:noWrap/>
                  <w:vAlign w:val="center"/>
                </w:tcPr>
                <w:p w14:paraId="6EC5CDFB">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highlight w:val="none"/>
                    </w:rPr>
                  </w:pPr>
                  <w:r>
                    <w:rPr>
                      <w:rFonts w:hint="eastAsia" w:ascii="Times New Roman" w:hAnsi="Times New Roman"/>
                      <w:color w:val="auto"/>
                      <w:szCs w:val="21"/>
                      <w:highlight w:val="none"/>
                      <w:lang w:val="en-US" w:eastAsia="zh-CN"/>
                    </w:rPr>
                    <w:t>项目井场场地平整时</w:t>
                  </w:r>
                  <w:r>
                    <w:rPr>
                      <w:rFonts w:hint="eastAsia" w:ascii="Times New Roman" w:hAnsi="Times New Roman"/>
                      <w:color w:val="auto"/>
                      <w:szCs w:val="21"/>
                      <w:highlight w:val="none"/>
                    </w:rPr>
                    <w:t>剥离的</w:t>
                  </w:r>
                  <w:r>
                    <w:rPr>
                      <w:rFonts w:hint="eastAsia" w:ascii="Times New Roman" w:hAnsi="Times New Roman"/>
                      <w:color w:val="auto"/>
                      <w:szCs w:val="21"/>
                      <w:highlight w:val="none"/>
                      <w:lang w:val="en-US" w:eastAsia="zh-CN"/>
                    </w:rPr>
                    <w:t>表土集中堆放在井场区内，</w:t>
                  </w:r>
                  <w:r>
                    <w:rPr>
                      <w:rFonts w:hint="eastAsia" w:ascii="Times New Roman" w:hAnsi="Times New Roman"/>
                      <w:color w:val="auto"/>
                      <w:szCs w:val="21"/>
                      <w:highlight w:val="none"/>
                    </w:rPr>
                    <w:t>表土</w:t>
                  </w:r>
                  <w:r>
                    <w:rPr>
                      <w:rFonts w:hint="eastAsia" w:ascii="Times New Roman" w:hAnsi="Times New Roman"/>
                      <w:color w:val="auto"/>
                      <w:szCs w:val="21"/>
                      <w:highlight w:val="none"/>
                      <w:lang w:val="en-US" w:eastAsia="zh-CN"/>
                    </w:rPr>
                    <w:t>平均</w:t>
                  </w:r>
                  <w:r>
                    <w:rPr>
                      <w:rFonts w:hint="eastAsia" w:ascii="Times New Roman" w:hAnsi="Times New Roman"/>
                      <w:color w:val="auto"/>
                      <w:szCs w:val="21"/>
                      <w:highlight w:val="none"/>
                    </w:rPr>
                    <w:t>剥离厚度</w:t>
                  </w:r>
                  <w:r>
                    <w:rPr>
                      <w:rFonts w:hint="eastAsia" w:ascii="Times New Roman" w:hAnsi="Times New Roman"/>
                      <w:color w:val="auto"/>
                      <w:szCs w:val="21"/>
                      <w:highlight w:val="none"/>
                      <w:lang w:val="en-US" w:eastAsia="zh-CN"/>
                    </w:rPr>
                    <w:t>约</w:t>
                  </w:r>
                  <w:r>
                    <w:rPr>
                      <w:rFonts w:hint="eastAsia" w:ascii="Times New Roman" w:hAnsi="Times New Roman"/>
                      <w:color w:val="auto"/>
                      <w:szCs w:val="21"/>
                      <w:highlight w:val="none"/>
                    </w:rPr>
                    <w:t>为0.</w:t>
                  </w:r>
                  <w:r>
                    <w:rPr>
                      <w:rFonts w:hint="eastAsia" w:ascii="Times New Roman" w:hAnsi="Times New Roman"/>
                      <w:color w:val="auto"/>
                      <w:szCs w:val="21"/>
                      <w:highlight w:val="none"/>
                      <w:lang w:val="en-US" w:eastAsia="zh-CN"/>
                    </w:rPr>
                    <w:t>25</w:t>
                  </w:r>
                  <w:r>
                    <w:rPr>
                      <w:rFonts w:hint="eastAsia" w:ascii="Times New Roman" w:hAnsi="Times New Roman"/>
                      <w:color w:val="auto"/>
                      <w:szCs w:val="21"/>
                      <w:highlight w:val="none"/>
                    </w:rPr>
                    <w:t>m</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3个井场表土剥离量合计约372m</w:t>
                  </w:r>
                  <w:r>
                    <w:rPr>
                      <w:rFonts w:hint="eastAsia" w:ascii="Times New Roman" w:hAnsi="Times New Roman"/>
                      <w:color w:val="auto"/>
                      <w:szCs w:val="21"/>
                      <w:highlight w:val="none"/>
                      <w:vertAlign w:val="superscript"/>
                      <w:lang w:val="en-US" w:eastAsia="zh-CN"/>
                    </w:rPr>
                    <w:t>3</w:t>
                  </w:r>
                  <w:r>
                    <w:rPr>
                      <w:rFonts w:hint="eastAsia" w:ascii="Times New Roman" w:hAnsi="Times New Roman"/>
                      <w:color w:val="auto"/>
                      <w:szCs w:val="21"/>
                      <w:highlight w:val="none"/>
                      <w:lang w:val="en-US" w:eastAsia="zh-CN"/>
                    </w:rPr>
                    <w:t>，表土剥离场总占地面积约79m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，堆场高度约5m，用于</w:t>
                  </w:r>
                  <w:r>
                    <w:rPr>
                      <w:rFonts w:ascii="Times New Roman" w:hAnsi="Times New Roman"/>
                      <w:color w:val="auto"/>
                      <w:szCs w:val="21"/>
                      <w:highlight w:val="none"/>
                    </w:rPr>
                    <w:t>复垦时</w:t>
                  </w:r>
                  <w:r>
                    <w:rPr>
                      <w:rFonts w:hint="eastAsia" w:ascii="Times New Roman" w:hAnsi="Times New Roman"/>
                      <w:color w:val="auto"/>
                      <w:szCs w:val="21"/>
                      <w:highlight w:val="none"/>
                      <w:lang w:val="en-US" w:eastAsia="zh-CN"/>
                    </w:rPr>
                    <w:t>井场表土恢复</w:t>
                  </w:r>
                </w:p>
              </w:tc>
            </w:tr>
            <w:tr w14:paraId="5914F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103EEAFA">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71FB59AC">
                  <w:pPr>
                    <w:keepNext w:val="0"/>
                    <w:keepLines w:val="0"/>
                    <w:pageBreakBefore w:val="0"/>
                    <w:widowControl w:val="0"/>
                    <w:kinsoku/>
                    <w:wordWrap/>
                    <w:overflowPunct/>
                    <w:topLinePunct w:val="0"/>
                    <w:bidi w:val="0"/>
                    <w:snapToGrid/>
                    <w:ind w:left="0" w:leftChars="0" w:right="0" w:rightChars="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岩芯摆放区</w:t>
                  </w:r>
                </w:p>
              </w:tc>
              <w:tc>
                <w:tcPr>
                  <w:tcW w:w="5513" w:type="dxa"/>
                  <w:tcBorders>
                    <w:tl2br w:val="nil"/>
                    <w:tr2bl w:val="nil"/>
                  </w:tcBorders>
                  <w:noWrap/>
                  <w:vAlign w:val="center"/>
                </w:tcPr>
                <w:p w14:paraId="18BE3F3B">
                  <w:pPr>
                    <w:keepNext w:val="0"/>
                    <w:keepLines w:val="0"/>
                    <w:pageBreakBefore w:val="0"/>
                    <w:widowControl w:val="0"/>
                    <w:kinsoku/>
                    <w:wordWrap/>
                    <w:overflowPunct/>
                    <w:topLinePunct w:val="0"/>
                    <w:bidi w:val="0"/>
                    <w:snapToGrid/>
                    <w:ind w:left="0" w:leftChars="0" w:right="0" w:rightChars="0"/>
                    <w:jc w:val="left"/>
                    <w:textAlignment w:val="auto"/>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项目钻孔产生的岩芯碎屑集中堆放在井场的岩芯摆放区内，各井场岩芯摆放区占地面积均约为10m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，岩芯碎屑集中收集后作为一般固废处置</w:t>
                  </w:r>
                </w:p>
              </w:tc>
            </w:tr>
            <w:tr w14:paraId="77BA0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restart"/>
                  <w:tcBorders>
                    <w:tl2br w:val="nil"/>
                    <w:tr2bl w:val="nil"/>
                  </w:tcBorders>
                  <w:noWrap/>
                  <w:vAlign w:val="center"/>
                </w:tcPr>
                <w:p w14:paraId="6E5EBF73">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储运工程</w:t>
                  </w:r>
                </w:p>
              </w:tc>
              <w:tc>
                <w:tcPr>
                  <w:tcW w:w="1535" w:type="dxa"/>
                  <w:gridSpan w:val="2"/>
                  <w:tcBorders>
                    <w:tl2br w:val="nil"/>
                    <w:tr2bl w:val="nil"/>
                  </w:tcBorders>
                  <w:noWrap/>
                  <w:vAlign w:val="center"/>
                </w:tcPr>
                <w:p w14:paraId="0B288CFF">
                  <w:pPr>
                    <w:keepNext w:val="0"/>
                    <w:keepLines w:val="0"/>
                    <w:pageBreakBefore w:val="0"/>
                    <w:widowControl w:val="0"/>
                    <w:kinsoku/>
                    <w:wordWrap/>
                    <w:overflowPunct/>
                    <w:topLinePunct w:val="0"/>
                    <w:bidi w:val="0"/>
                    <w:snapToGrid/>
                    <w:ind w:left="0" w:leftChars="0" w:right="0" w:rightChars="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color w:val="auto"/>
                      <w:highlight w:val="none"/>
                      <w:lang w:val="en-US" w:eastAsia="zh-CN"/>
                    </w:rPr>
                    <w:t>设备及库房</w:t>
                  </w:r>
                </w:p>
              </w:tc>
              <w:tc>
                <w:tcPr>
                  <w:tcW w:w="5513" w:type="dxa"/>
                  <w:tcBorders>
                    <w:tl2br w:val="nil"/>
                    <w:tr2bl w:val="nil"/>
                  </w:tcBorders>
                  <w:noWrap/>
                  <w:vAlign w:val="center"/>
                </w:tcPr>
                <w:p w14:paraId="241AF0A8">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highlight w:val="none"/>
                    </w:rPr>
                  </w:pPr>
                  <w:r>
                    <w:rPr>
                      <w:rFonts w:ascii="Times New Roman" w:hAnsi="Times New Roman"/>
                      <w:color w:val="auto"/>
                      <w:szCs w:val="21"/>
                      <w:highlight w:val="none"/>
                      <w:lang w:val="zh-CN"/>
                    </w:rPr>
                    <w:t>每个井场</w:t>
                  </w:r>
                  <w:r>
                    <w:rPr>
                      <w:rFonts w:hint="eastAsia" w:ascii="Times New Roman" w:hAnsi="Times New Roman"/>
                      <w:color w:val="auto"/>
                      <w:szCs w:val="21"/>
                      <w:highlight w:val="none"/>
                      <w:lang w:val="en-US" w:eastAsia="zh-CN"/>
                    </w:rPr>
                    <w:t>均</w:t>
                  </w:r>
                  <w:r>
                    <w:rPr>
                      <w:rFonts w:ascii="Times New Roman" w:hAnsi="Times New Roman"/>
                      <w:color w:val="auto"/>
                      <w:szCs w:val="21"/>
                      <w:highlight w:val="none"/>
                      <w:lang w:val="zh-CN"/>
                    </w:rPr>
                    <w:t>设置</w:t>
                  </w:r>
                  <w:r>
                    <w:rPr>
                      <w:rFonts w:hint="eastAsia" w:ascii="Times New Roman" w:hAnsi="Times New Roman"/>
                      <w:color w:val="auto"/>
                      <w:highlight w:val="none"/>
                      <w:lang w:val="en-US" w:eastAsia="zh-CN"/>
                    </w:rPr>
                    <w:t>设备及库房</w:t>
                  </w:r>
                  <w:r>
                    <w:rPr>
                      <w:rFonts w:ascii="Times New Roman" w:hAnsi="Times New Roman"/>
                      <w:color w:val="auto"/>
                      <w:szCs w:val="21"/>
                      <w:highlight w:val="none"/>
                      <w:lang w:val="zh-CN"/>
                    </w:rPr>
                    <w:t>1间，每个建筑</w:t>
                  </w:r>
                  <w:r>
                    <w:rPr>
                      <w:rFonts w:ascii="Times New Roman" w:hAnsi="Times New Roman"/>
                      <w:color w:val="auto"/>
                      <w:szCs w:val="21"/>
                      <w:highlight w:val="none"/>
                    </w:rPr>
                    <w:t>面积</w:t>
                  </w:r>
                  <w:r>
                    <w:rPr>
                      <w:rFonts w:hint="eastAsia" w:ascii="Times New Roman" w:hAnsi="Times New Roman"/>
                      <w:color w:val="auto"/>
                      <w:szCs w:val="21"/>
                      <w:highlight w:val="none"/>
                      <w:lang w:val="en-US" w:eastAsia="zh-CN"/>
                    </w:rPr>
                    <w:t>均约为19</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ascii="Times New Roman" w:hAnsi="Times New Roman"/>
                      <w:color w:val="auto"/>
                      <w:szCs w:val="21"/>
                      <w:highlight w:val="none"/>
                      <w:lang w:val="zh-CN"/>
                    </w:rPr>
                    <w:t>，用于</w:t>
                  </w:r>
                  <w:r>
                    <w:rPr>
                      <w:rFonts w:ascii="Times New Roman" w:hAnsi="Times New Roman"/>
                      <w:color w:val="auto"/>
                      <w:highlight w:val="none"/>
                    </w:rPr>
                    <w:t>耗材、</w:t>
                  </w:r>
                  <w:r>
                    <w:rPr>
                      <w:rFonts w:hint="eastAsia" w:ascii="Times New Roman" w:hAnsi="Times New Roman"/>
                      <w:color w:val="auto"/>
                      <w:highlight w:val="none"/>
                      <w:lang w:val="en-US" w:eastAsia="zh-CN"/>
                    </w:rPr>
                    <w:t>小型设备</w:t>
                  </w:r>
                  <w:r>
                    <w:rPr>
                      <w:rFonts w:ascii="Times New Roman" w:hAnsi="Times New Roman"/>
                      <w:color w:val="auto"/>
                      <w:highlight w:val="none"/>
                    </w:rPr>
                    <w:t>存放</w:t>
                  </w:r>
                </w:p>
              </w:tc>
            </w:tr>
            <w:tr w14:paraId="3F6DB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32BD1E3F">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2DE6A0CB">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highlight w:val="none"/>
                    </w:rPr>
                  </w:pPr>
                  <w:r>
                    <w:rPr>
                      <w:rFonts w:hint="eastAsia" w:ascii="Times New Roman" w:hAnsi="Times New Roman"/>
                      <w:color w:val="auto"/>
                      <w:highlight w:val="none"/>
                      <w:lang w:val="en-US" w:eastAsia="zh-CN"/>
                    </w:rPr>
                    <w:t>材料</w:t>
                  </w:r>
                  <w:r>
                    <w:rPr>
                      <w:rFonts w:hint="eastAsia" w:ascii="Times New Roman" w:hAnsi="Times New Roman"/>
                      <w:color w:val="auto"/>
                      <w:highlight w:val="none"/>
                    </w:rPr>
                    <w:t>区</w:t>
                  </w:r>
                </w:p>
              </w:tc>
              <w:tc>
                <w:tcPr>
                  <w:tcW w:w="5513" w:type="dxa"/>
                  <w:tcBorders>
                    <w:tl2br w:val="nil"/>
                    <w:tr2bl w:val="nil"/>
                  </w:tcBorders>
                  <w:noWrap/>
                  <w:vAlign w:val="center"/>
                </w:tcPr>
                <w:p w14:paraId="367B3EF3">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highlight w:val="none"/>
                      <w:lang w:val="zh-CN"/>
                    </w:rPr>
                  </w:pPr>
                  <w:r>
                    <w:rPr>
                      <w:rFonts w:ascii="Times New Roman" w:hAnsi="Times New Roman"/>
                      <w:color w:val="auto"/>
                      <w:szCs w:val="21"/>
                      <w:highlight w:val="none"/>
                      <w:lang w:val="zh-CN"/>
                    </w:rPr>
                    <w:t>每个井场</w:t>
                  </w:r>
                  <w:r>
                    <w:rPr>
                      <w:rFonts w:hint="eastAsia" w:ascii="Times New Roman" w:hAnsi="Times New Roman"/>
                      <w:color w:val="auto"/>
                      <w:szCs w:val="21"/>
                      <w:highlight w:val="none"/>
                      <w:lang w:val="en-US" w:eastAsia="zh-CN"/>
                    </w:rPr>
                    <w:t>均</w:t>
                  </w:r>
                  <w:r>
                    <w:rPr>
                      <w:rFonts w:ascii="Times New Roman" w:hAnsi="Times New Roman"/>
                      <w:color w:val="auto"/>
                      <w:szCs w:val="21"/>
                      <w:highlight w:val="none"/>
                      <w:lang w:val="zh-CN"/>
                    </w:rPr>
                    <w:t>设置</w:t>
                  </w:r>
                  <w:r>
                    <w:rPr>
                      <w:rFonts w:hint="eastAsia" w:ascii="Times New Roman" w:hAnsi="Times New Roman"/>
                      <w:color w:val="auto"/>
                      <w:szCs w:val="21"/>
                      <w:highlight w:val="none"/>
                      <w:lang w:val="en-US" w:eastAsia="zh-CN"/>
                    </w:rPr>
                    <w:t>材料区一处</w:t>
                  </w:r>
                  <w:r>
                    <w:rPr>
                      <w:rFonts w:ascii="Times New Roman" w:hAnsi="Times New Roman"/>
                      <w:color w:val="auto"/>
                      <w:szCs w:val="21"/>
                      <w:highlight w:val="none"/>
                      <w:lang w:val="zh-CN"/>
                    </w:rPr>
                    <w:t>，每个</w:t>
                  </w:r>
                  <w:r>
                    <w:rPr>
                      <w:rFonts w:hint="eastAsia" w:ascii="Times New Roman" w:hAnsi="Times New Roman"/>
                      <w:color w:val="auto"/>
                      <w:szCs w:val="21"/>
                      <w:highlight w:val="none"/>
                      <w:lang w:val="en-US" w:eastAsia="zh-CN"/>
                    </w:rPr>
                    <w:t>占地</w:t>
                  </w:r>
                  <w:r>
                    <w:rPr>
                      <w:rFonts w:ascii="Times New Roman" w:hAnsi="Times New Roman"/>
                      <w:color w:val="auto"/>
                      <w:szCs w:val="21"/>
                      <w:highlight w:val="none"/>
                    </w:rPr>
                    <w:t>面积</w:t>
                  </w:r>
                  <w:r>
                    <w:rPr>
                      <w:rFonts w:hint="eastAsia" w:ascii="Times New Roman" w:hAnsi="Times New Roman"/>
                      <w:color w:val="auto"/>
                      <w:szCs w:val="21"/>
                      <w:highlight w:val="none"/>
                      <w:lang w:val="en-US" w:eastAsia="zh-CN"/>
                    </w:rPr>
                    <w:t>均约11</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r>
                    <w:rPr>
                      <w:rFonts w:ascii="Times New Roman" w:hAnsi="Times New Roman"/>
                      <w:color w:val="auto"/>
                      <w:szCs w:val="21"/>
                      <w:highlight w:val="none"/>
                      <w:lang w:val="zh-CN"/>
                    </w:rPr>
                    <w:t>，用于</w:t>
                  </w:r>
                  <w:r>
                    <w:rPr>
                      <w:rFonts w:hint="eastAsia" w:ascii="Times New Roman" w:hAnsi="Times New Roman"/>
                      <w:color w:val="auto"/>
                      <w:highlight w:val="none"/>
                      <w:lang w:val="en-US" w:eastAsia="zh-CN"/>
                    </w:rPr>
                    <w:t>钻孔管道等设施</w:t>
                  </w:r>
                  <w:r>
                    <w:rPr>
                      <w:rFonts w:ascii="Times New Roman" w:hAnsi="Times New Roman"/>
                      <w:color w:val="auto"/>
                      <w:highlight w:val="none"/>
                    </w:rPr>
                    <w:t>存放</w:t>
                  </w:r>
                </w:p>
              </w:tc>
            </w:tr>
            <w:tr w14:paraId="05E48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44BD4412">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654CF547">
                  <w:pPr>
                    <w:keepNext w:val="0"/>
                    <w:keepLines w:val="0"/>
                    <w:pageBreakBefore w:val="0"/>
                    <w:widowControl w:val="0"/>
                    <w:kinsoku/>
                    <w:wordWrap/>
                    <w:overflowPunct/>
                    <w:topLinePunct w:val="0"/>
                    <w:bidi w:val="0"/>
                    <w:snapToGrid/>
                    <w:ind w:left="0" w:leftChars="0" w:right="0" w:rightChars="0"/>
                    <w:jc w:val="center"/>
                    <w:textAlignment w:val="auto"/>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储水池</w:t>
                  </w:r>
                </w:p>
              </w:tc>
              <w:tc>
                <w:tcPr>
                  <w:tcW w:w="5513" w:type="dxa"/>
                  <w:tcBorders>
                    <w:tl2br w:val="nil"/>
                    <w:tr2bl w:val="nil"/>
                  </w:tcBorders>
                  <w:noWrap/>
                  <w:vAlign w:val="center"/>
                </w:tcPr>
                <w:p w14:paraId="4BAAC632">
                  <w:pPr>
                    <w:keepNext w:val="0"/>
                    <w:keepLines w:val="0"/>
                    <w:pageBreakBefore w:val="0"/>
                    <w:widowControl w:val="0"/>
                    <w:kinsoku/>
                    <w:wordWrap/>
                    <w:overflowPunct/>
                    <w:topLinePunct w:val="0"/>
                    <w:bidi w:val="0"/>
                    <w:snapToGrid/>
                    <w:ind w:left="0" w:leftChars="0" w:right="0" w:rightChars="0"/>
                    <w:jc w:val="left"/>
                    <w:textAlignment w:val="auto"/>
                    <w:rPr>
                      <w:rFonts w:ascii="Times New Roman" w:hAnsi="Times New Roman"/>
                      <w:color w:val="auto"/>
                      <w:szCs w:val="21"/>
                      <w:highlight w:val="none"/>
                      <w:lang w:val="zh-CN"/>
                    </w:rPr>
                  </w:pPr>
                  <w:r>
                    <w:rPr>
                      <w:rFonts w:ascii="Times New Roman" w:hAnsi="Times New Roman"/>
                      <w:color w:val="auto"/>
                      <w:szCs w:val="21"/>
                      <w:highlight w:val="none"/>
                    </w:rPr>
                    <w:t>本项目每个</w:t>
                  </w:r>
                  <w:r>
                    <w:rPr>
                      <w:rFonts w:hint="eastAsia" w:ascii="Times New Roman" w:hAnsi="Times New Roman"/>
                      <w:color w:val="auto"/>
                      <w:szCs w:val="21"/>
                      <w:highlight w:val="none"/>
                    </w:rPr>
                    <w:t>施工场地</w:t>
                  </w:r>
                  <w:r>
                    <w:rPr>
                      <w:rFonts w:hint="eastAsia" w:ascii="Times New Roman" w:hAnsi="Times New Roman"/>
                      <w:color w:val="auto"/>
                      <w:szCs w:val="21"/>
                      <w:highlight w:val="none"/>
                      <w:lang w:val="en-US" w:eastAsia="zh-CN"/>
                    </w:rPr>
                    <w:t>均</w:t>
                  </w:r>
                  <w:r>
                    <w:rPr>
                      <w:rFonts w:hint="eastAsia" w:ascii="Times New Roman" w:hAnsi="Times New Roman"/>
                      <w:color w:val="auto"/>
                      <w:szCs w:val="21"/>
                      <w:highlight w:val="none"/>
                    </w:rPr>
                    <w:t>设置一座</w:t>
                  </w:r>
                  <w:r>
                    <w:rPr>
                      <w:rFonts w:hint="eastAsia" w:ascii="Times New Roman" w:hAnsi="Times New Roman"/>
                      <w:color w:val="auto"/>
                      <w:szCs w:val="21"/>
                      <w:highlight w:val="none"/>
                      <w:lang w:eastAsia="zh-CN"/>
                    </w:rPr>
                    <w:t>储水池</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总</w:t>
                  </w:r>
                  <w:r>
                    <w:rPr>
                      <w:rFonts w:hint="eastAsia"/>
                      <w:color w:val="auto"/>
                      <w:highlight w:val="none"/>
                    </w:rPr>
                    <w:t>容积</w:t>
                  </w:r>
                  <w:r>
                    <w:rPr>
                      <w:rFonts w:hint="default" w:ascii="Times New Roman" w:hAnsi="Times New Roman" w:cs="Times New Roman"/>
                      <w:color w:val="auto"/>
                      <w:highlight w:val="none"/>
                      <w:lang w:val="en-US" w:eastAsia="zh-CN"/>
                    </w:rPr>
                    <w:t>约1</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3</w:t>
                  </w:r>
                  <w:r>
                    <w:rPr>
                      <w:rFonts w:hint="eastAsia"/>
                      <w:color w:val="auto"/>
                      <w:highlight w:val="none"/>
                    </w:rPr>
                    <w:t>，用于施工过程中用水存储。</w:t>
                  </w:r>
                </w:p>
              </w:tc>
            </w:tr>
            <w:tr w14:paraId="08C64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restart"/>
                  <w:tcBorders>
                    <w:tl2br w:val="nil"/>
                    <w:tr2bl w:val="nil"/>
                  </w:tcBorders>
                  <w:noWrap/>
                  <w:vAlign w:val="center"/>
                </w:tcPr>
                <w:p w14:paraId="52682E69">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公用工程</w:t>
                  </w:r>
                </w:p>
              </w:tc>
              <w:tc>
                <w:tcPr>
                  <w:tcW w:w="1535" w:type="dxa"/>
                  <w:gridSpan w:val="2"/>
                  <w:tcBorders>
                    <w:tl2br w:val="nil"/>
                    <w:tr2bl w:val="nil"/>
                  </w:tcBorders>
                  <w:noWrap/>
                  <w:vAlign w:val="center"/>
                </w:tcPr>
                <w:p w14:paraId="0B1FCDFD">
                  <w:pPr>
                    <w:keepNext w:val="0"/>
                    <w:keepLines w:val="0"/>
                    <w:pageBreakBefore w:val="0"/>
                    <w:kinsoku/>
                    <w:wordWrap/>
                    <w:overflowPunct/>
                    <w:topLinePunct w:val="0"/>
                    <w:bidi w:val="0"/>
                    <w:spacing w:beforeAutospacing="0" w:after="0" w:afterAutospacing="0"/>
                    <w:jc w:val="center"/>
                    <w:textAlignment w:val="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办公、</w:t>
                  </w:r>
                  <w:r>
                    <w:rPr>
                      <w:rFonts w:hint="eastAsia" w:ascii="Times New Roman" w:hAnsi="Times New Roman" w:cs="Times New Roman"/>
                      <w:color w:val="000000" w:themeColor="text1"/>
                      <w14:textFill>
                        <w14:solidFill>
                          <w14:schemeClr w14:val="tx1"/>
                        </w14:solidFill>
                      </w14:textFill>
                    </w:rPr>
                    <w:t>食宿</w:t>
                  </w:r>
                </w:p>
              </w:tc>
              <w:tc>
                <w:tcPr>
                  <w:tcW w:w="5513" w:type="dxa"/>
                  <w:tcBorders>
                    <w:tl2br w:val="nil"/>
                    <w:tr2bl w:val="nil"/>
                  </w:tcBorders>
                  <w:noWrap/>
                  <w:vAlign w:val="center"/>
                </w:tcPr>
                <w:p w14:paraId="65938FA7">
                  <w:pPr>
                    <w:keepNext w:val="0"/>
                    <w:keepLines w:val="0"/>
                    <w:pageBreakBefore w:val="0"/>
                    <w:kinsoku/>
                    <w:wordWrap/>
                    <w:overflowPunct/>
                    <w:topLinePunct w:val="0"/>
                    <w:bidi w:val="0"/>
                    <w:spacing w:beforeAutospacing="0" w:after="0" w:afterAutospacing="0"/>
                    <w:jc w:val="left"/>
                    <w:textAlignment w:val="auto"/>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项目</w:t>
                  </w:r>
                  <w:r>
                    <w:rPr>
                      <w:rFonts w:hint="eastAsia" w:ascii="Times New Roman" w:hAnsi="Times New Roman" w:cs="Times New Roman"/>
                      <w:color w:val="000000" w:themeColor="text1"/>
                      <w14:textFill>
                        <w14:solidFill>
                          <w14:schemeClr w14:val="tx1"/>
                        </w14:solidFill>
                      </w14:textFill>
                    </w:rPr>
                    <w:t>施工场地不设员工</w:t>
                  </w:r>
                  <w:r>
                    <w:rPr>
                      <w:rFonts w:hint="eastAsia" w:ascii="Times New Roman" w:hAnsi="Times New Roman" w:cs="Times New Roman"/>
                      <w:color w:val="000000" w:themeColor="text1"/>
                      <w:lang w:eastAsia="zh-CN"/>
                      <w14:textFill>
                        <w14:solidFill>
                          <w14:schemeClr w14:val="tx1"/>
                        </w14:solidFill>
                      </w14:textFill>
                    </w:rPr>
                    <w:t>食堂、</w:t>
                  </w:r>
                  <w:r>
                    <w:rPr>
                      <w:rFonts w:hint="eastAsia" w:ascii="Times New Roman" w:hAnsi="Times New Roman" w:cs="Times New Roman"/>
                      <w:color w:val="000000" w:themeColor="text1"/>
                      <w14:textFill>
                        <w14:solidFill>
                          <w14:schemeClr w14:val="tx1"/>
                        </w14:solidFill>
                      </w14:textFill>
                    </w:rPr>
                    <w:t>宿舍，</w:t>
                  </w:r>
                  <w:r>
                    <w:rPr>
                      <w:rFonts w:hint="eastAsia" w:ascii="Times New Roman" w:hAnsi="Times New Roman" w:cs="Times New Roman"/>
                      <w:color w:val="000000" w:themeColor="text1"/>
                      <w:lang w:eastAsia="zh-CN"/>
                      <w14:textFill>
                        <w14:solidFill>
                          <w14:schemeClr w14:val="tx1"/>
                        </w14:solidFill>
                      </w14:textFill>
                    </w:rPr>
                    <w:t>施工人员</w:t>
                  </w:r>
                  <w:r>
                    <w:rPr>
                      <w:rFonts w:hint="eastAsia" w:ascii="Times New Roman" w:hAnsi="Times New Roman" w:cs="Times New Roman"/>
                      <w:color w:val="000000" w:themeColor="text1"/>
                      <w14:textFill>
                        <w14:solidFill>
                          <w14:schemeClr w14:val="tx1"/>
                        </w14:solidFill>
                      </w14:textFill>
                    </w:rPr>
                    <w:t>租赁</w:t>
                  </w:r>
                  <w:r>
                    <w:rPr>
                      <w:rFonts w:hint="eastAsia" w:ascii="Times New Roman" w:hAnsi="Times New Roman" w:cs="Times New Roman"/>
                      <w:color w:val="000000" w:themeColor="text1"/>
                      <w:lang w:eastAsia="zh-CN"/>
                      <w14:textFill>
                        <w14:solidFill>
                          <w14:schemeClr w14:val="tx1"/>
                        </w14:solidFill>
                      </w14:textFill>
                    </w:rPr>
                    <w:t>附近</w:t>
                  </w:r>
                  <w:r>
                    <w:rPr>
                      <w:rFonts w:hint="eastAsia" w:ascii="Times New Roman" w:hAnsi="Times New Roman" w:cs="Times New Roman"/>
                      <w:color w:val="000000" w:themeColor="text1"/>
                      <w14:textFill>
                        <w14:solidFill>
                          <w14:schemeClr w14:val="tx1"/>
                        </w14:solidFill>
                      </w14:textFill>
                    </w:rPr>
                    <w:t>住宅作为</w:t>
                  </w:r>
                  <w:r>
                    <w:rPr>
                      <w:rFonts w:hint="eastAsia" w:ascii="Times New Roman" w:hAnsi="Times New Roman" w:cs="Times New Roman"/>
                      <w:color w:val="000000" w:themeColor="text1"/>
                      <w:lang w:eastAsia="zh-CN"/>
                      <w14:textFill>
                        <w14:solidFill>
                          <w14:schemeClr w14:val="tx1"/>
                        </w14:solidFill>
                      </w14:textFill>
                    </w:rPr>
                    <w:t>住宿用</w:t>
                  </w:r>
                  <w:r>
                    <w:rPr>
                      <w:rFonts w:hint="eastAsia" w:ascii="Times New Roman" w:hAnsi="Times New Roman" w:cs="Times New Roman"/>
                      <w:color w:val="000000" w:themeColor="text1"/>
                      <w14:textFill>
                        <w14:solidFill>
                          <w14:schemeClr w14:val="tx1"/>
                        </w14:solidFill>
                      </w14:textFill>
                    </w:rPr>
                    <w:t>。</w:t>
                  </w:r>
                </w:p>
              </w:tc>
            </w:tr>
            <w:tr w14:paraId="476C7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2928B245">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24AAAEAB">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供电</w:t>
                  </w:r>
                </w:p>
              </w:tc>
              <w:tc>
                <w:tcPr>
                  <w:tcW w:w="5513" w:type="dxa"/>
                  <w:tcBorders>
                    <w:tl2br w:val="nil"/>
                    <w:tr2bl w:val="nil"/>
                  </w:tcBorders>
                  <w:noWrap/>
                  <w:vAlign w:val="center"/>
                </w:tcPr>
                <w:p w14:paraId="78F9DED6">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本项目供电由附近村庄现有供电电网供给，项目现场</w:t>
                  </w:r>
                  <w:r>
                    <w:rPr>
                      <w:rFonts w:hint="eastAsia" w:ascii="Times New Roman" w:hAnsi="Times New Roman"/>
                      <w:color w:val="000000" w:themeColor="text1"/>
                      <w:szCs w:val="21"/>
                      <w:highlight w:val="none"/>
                      <w:lang w:val="en-US" w:eastAsia="zh-CN"/>
                      <w14:textFill>
                        <w14:solidFill>
                          <w14:schemeClr w14:val="tx1"/>
                        </w14:solidFill>
                      </w14:textFill>
                    </w:rPr>
                    <w:t>不设有</w:t>
                  </w:r>
                  <w:r>
                    <w:rPr>
                      <w:rFonts w:hint="eastAsia" w:ascii="Times New Roman" w:hAnsi="Times New Roman"/>
                      <w:color w:val="000000" w:themeColor="text1"/>
                      <w:szCs w:val="21"/>
                      <w:highlight w:val="none"/>
                      <w14:textFill>
                        <w14:solidFill>
                          <w14:schemeClr w14:val="tx1"/>
                        </w14:solidFill>
                      </w14:textFill>
                    </w:rPr>
                    <w:t>柴油</w:t>
                  </w:r>
                  <w:r>
                    <w:rPr>
                      <w:rFonts w:hint="eastAsia" w:ascii="Times New Roman" w:hAnsi="Times New Roman"/>
                      <w:color w:val="000000" w:themeColor="text1"/>
                      <w:szCs w:val="21"/>
                      <w:highlight w:val="none"/>
                      <w:lang w:val="en-US" w:eastAsia="zh-CN"/>
                      <w14:textFill>
                        <w14:solidFill>
                          <w14:schemeClr w14:val="tx1"/>
                        </w14:solidFill>
                      </w14:textFill>
                    </w:rPr>
                    <w:t>发电设施</w:t>
                  </w:r>
                  <w:r>
                    <w:rPr>
                      <w:rFonts w:hint="eastAsia" w:ascii="Times New Roman" w:hAnsi="Times New Roman"/>
                      <w:color w:val="000000" w:themeColor="text1"/>
                      <w:szCs w:val="21"/>
                      <w:highlight w:val="none"/>
                      <w14:textFill>
                        <w14:solidFill>
                          <w14:schemeClr w14:val="tx1"/>
                        </w14:solidFill>
                      </w14:textFill>
                    </w:rPr>
                    <w:t>。</w:t>
                  </w:r>
                </w:p>
              </w:tc>
            </w:tr>
            <w:tr w14:paraId="11C88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134B5E7A">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1B2D7384">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供水</w:t>
                  </w:r>
                </w:p>
              </w:tc>
              <w:tc>
                <w:tcPr>
                  <w:tcW w:w="5513" w:type="dxa"/>
                  <w:tcBorders>
                    <w:tl2br w:val="nil"/>
                    <w:tr2bl w:val="nil"/>
                  </w:tcBorders>
                  <w:noWrap/>
                  <w:vAlign w:val="center"/>
                </w:tcPr>
                <w:p w14:paraId="212E089F">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施工用水依托井场周边村庄，采用罐车拉运生产用水，每个</w:t>
                  </w:r>
                  <w:r>
                    <w:rPr>
                      <w:rFonts w:hint="eastAsia" w:ascii="Times New Roman" w:hAnsi="Times New Roman"/>
                      <w:color w:val="000000" w:themeColor="text1"/>
                      <w:szCs w:val="21"/>
                      <w:highlight w:val="none"/>
                      <w14:textFill>
                        <w14:solidFill>
                          <w14:schemeClr w14:val="tx1"/>
                        </w14:solidFill>
                      </w14:textFill>
                    </w:rPr>
                    <w:t>施工场地</w:t>
                  </w:r>
                  <w:r>
                    <w:rPr>
                      <w:rFonts w:hint="eastAsia" w:ascii="Times New Roman" w:hAnsi="Times New Roman"/>
                      <w:color w:val="000000" w:themeColor="text1"/>
                      <w:szCs w:val="21"/>
                      <w:highlight w:val="none"/>
                      <w:lang w:val="en-US" w:eastAsia="zh-CN"/>
                      <w14:textFill>
                        <w14:solidFill>
                          <w14:schemeClr w14:val="tx1"/>
                        </w14:solidFill>
                      </w14:textFill>
                    </w:rPr>
                    <w:t>均</w:t>
                  </w:r>
                  <w:r>
                    <w:rPr>
                      <w:rFonts w:hint="eastAsia" w:ascii="Times New Roman" w:hAnsi="Times New Roman"/>
                      <w:color w:val="000000" w:themeColor="text1"/>
                      <w:szCs w:val="21"/>
                      <w:highlight w:val="none"/>
                      <w14:textFill>
                        <w14:solidFill>
                          <w14:schemeClr w14:val="tx1"/>
                        </w14:solidFill>
                      </w14:textFill>
                    </w:rPr>
                    <w:t>设置一座</w:t>
                  </w:r>
                  <w:r>
                    <w:rPr>
                      <w:rFonts w:hint="eastAsia" w:ascii="Times New Roman" w:hAnsi="Times New Roman"/>
                      <w:color w:val="000000" w:themeColor="text1"/>
                      <w:szCs w:val="21"/>
                      <w:highlight w:val="none"/>
                      <w:lang w:eastAsia="zh-CN"/>
                      <w14:textFill>
                        <w14:solidFill>
                          <w14:schemeClr w14:val="tx1"/>
                        </w14:solidFill>
                      </w14:textFill>
                    </w:rPr>
                    <w:t>储水池</w:t>
                  </w:r>
                  <w:r>
                    <w:rPr>
                      <w:rFonts w:hint="eastAsia" w:ascii="Times New Roman" w:hAnsi="Times New Roman"/>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容</w:t>
                  </w:r>
                  <w:r>
                    <w:rPr>
                      <w:rFonts w:ascii="Times New Roman" w:hAnsi="Times New Roman"/>
                      <w:color w:val="000000" w:themeColor="text1"/>
                      <w:highlight w:val="none"/>
                      <w14:textFill>
                        <w14:solidFill>
                          <w14:schemeClr w14:val="tx1"/>
                        </w14:solidFill>
                      </w14:textFill>
                    </w:rPr>
                    <w:t>积</w:t>
                  </w:r>
                  <w:r>
                    <w:rPr>
                      <w:rFonts w:hint="eastAsia" w:ascii="Times New Roman" w:hAnsi="Times New Roman"/>
                      <w:color w:val="000000" w:themeColor="text1"/>
                      <w:highlight w:val="none"/>
                      <w:lang w:val="en-US" w:eastAsia="zh-CN"/>
                      <w14:textFill>
                        <w14:solidFill>
                          <w14:schemeClr w14:val="tx1"/>
                        </w14:solidFill>
                      </w14:textFill>
                    </w:rPr>
                    <w:t>1</w:t>
                  </w:r>
                  <w:r>
                    <w:rPr>
                      <w:rFonts w:ascii="Times New Roman" w:hAnsi="Times New Roman"/>
                      <w:color w:val="000000" w:themeColor="text1"/>
                      <w:highlight w:val="none"/>
                      <w14:textFill>
                        <w14:solidFill>
                          <w14:schemeClr w14:val="tx1"/>
                        </w14:solidFill>
                      </w14:textFill>
                    </w:rPr>
                    <w:t>0m</w:t>
                  </w:r>
                  <w:r>
                    <w:rPr>
                      <w:rFonts w:ascii="Times New Roman" w:hAnsi="Times New Roman"/>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，用于施工过程中用水存储，</w:t>
                  </w:r>
                  <w:r>
                    <w:rPr>
                      <w:rFonts w:ascii="Times New Roman" w:hAnsi="Times New Roman"/>
                      <w:color w:val="000000" w:themeColor="text1"/>
                      <w:szCs w:val="21"/>
                      <w:highlight w:val="none"/>
                      <w14:textFill>
                        <w14:solidFill>
                          <w14:schemeClr w14:val="tx1"/>
                        </w14:solidFill>
                      </w14:textFill>
                    </w:rPr>
                    <w:t>生活用水为桶装纯净水。</w:t>
                  </w:r>
                </w:p>
              </w:tc>
            </w:tr>
            <w:tr w14:paraId="23195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10C0CEF1">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666486FB">
                  <w:pPr>
                    <w:keepNext w:val="0"/>
                    <w:keepLines w:val="0"/>
                    <w:pageBreakBefore w:val="0"/>
                    <w:kinsoku/>
                    <w:wordWrap/>
                    <w:overflowPunct/>
                    <w:topLinePunct w:val="0"/>
                    <w:bidi w:val="0"/>
                    <w:spacing w:beforeAutospacing="0" w:after="0" w:afterAutospacing="0"/>
                    <w:jc w:val="center"/>
                    <w:textAlignment w:val="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排水</w:t>
                  </w:r>
                </w:p>
              </w:tc>
              <w:tc>
                <w:tcPr>
                  <w:tcW w:w="5513" w:type="dxa"/>
                  <w:tcBorders>
                    <w:tl2br w:val="nil"/>
                    <w:tr2bl w:val="nil"/>
                  </w:tcBorders>
                  <w:noWrap/>
                  <w:vAlign w:val="center"/>
                </w:tcPr>
                <w:p w14:paraId="1E29CD4F">
                  <w:pPr>
                    <w:keepNext w:val="0"/>
                    <w:keepLines w:val="0"/>
                    <w:pageBreakBefore w:val="0"/>
                    <w:kinsoku/>
                    <w:wordWrap/>
                    <w:overflowPunct/>
                    <w:topLinePunct w:val="0"/>
                    <w:bidi w:val="0"/>
                    <w:spacing w:beforeAutospacing="0" w:after="0" w:afterAutospacing="0"/>
                    <w:textAlignment w:val="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施工场地</w:t>
                  </w:r>
                  <w:r>
                    <w:rPr>
                      <w:rFonts w:hint="eastAsia" w:ascii="Times New Roman" w:hAnsi="Times New Roman" w:eastAsia="宋体" w:cs="Times New Roman"/>
                      <w:color w:val="000000" w:themeColor="text1"/>
                      <w:szCs w:val="21"/>
                      <w14:textFill>
                        <w14:solidFill>
                          <w14:schemeClr w14:val="tx1"/>
                        </w14:solidFill>
                      </w14:textFill>
                    </w:rPr>
                    <w:t>四周设置雨水排水沟，场</w:t>
                  </w:r>
                  <w:r>
                    <w:rPr>
                      <w:rFonts w:hint="eastAsia" w:ascii="Times New Roman" w:hAnsi="Times New Roman" w:eastAsia="宋体" w:cs="Times New Roman"/>
                      <w:color w:val="000000" w:themeColor="text1"/>
                      <w:szCs w:val="21"/>
                      <w:lang w:eastAsia="zh-CN"/>
                      <w14:textFill>
                        <w14:solidFill>
                          <w14:schemeClr w14:val="tx1"/>
                        </w14:solidFill>
                      </w14:textFill>
                    </w:rPr>
                    <w:t>内</w:t>
                  </w:r>
                  <w:r>
                    <w:rPr>
                      <w:rFonts w:hint="eastAsia" w:ascii="Times New Roman" w:hAnsi="Times New Roman" w:eastAsia="宋体" w:cs="Times New Roman"/>
                      <w:color w:val="000000" w:themeColor="text1"/>
                      <w:szCs w:val="21"/>
                      <w14:textFill>
                        <w14:solidFill>
                          <w14:schemeClr w14:val="tx1"/>
                        </w14:solidFill>
                      </w14:textFill>
                    </w:rPr>
                    <w:t>雨水随雨水沟排放</w:t>
                  </w:r>
                  <w:r>
                    <w:rPr>
                      <w:rFonts w:hint="eastAsia" w:ascii="Times New Roman" w:hAnsi="Times New Roman" w:eastAsia="宋体" w:cs="Times New Roman"/>
                      <w:color w:val="000000" w:themeColor="text1"/>
                      <w:szCs w:val="21"/>
                      <w:lang w:eastAsia="zh-CN"/>
                      <w14:textFill>
                        <w14:solidFill>
                          <w14:schemeClr w14:val="tx1"/>
                        </w14:solidFill>
                      </w14:textFill>
                    </w:rPr>
                    <w:t>至周边地表水体。</w:t>
                  </w:r>
                  <w:r>
                    <w:rPr>
                      <w:rFonts w:ascii="Times New Roman" w:hAnsi="Times New Roman" w:eastAsia="宋体" w:cs="Times New Roman"/>
                      <w:color w:val="000000" w:themeColor="text1"/>
                      <w:szCs w:val="21"/>
                      <w14:textFill>
                        <w14:solidFill>
                          <w14:schemeClr w14:val="tx1"/>
                        </w14:solidFill>
                      </w14:textFill>
                    </w:rPr>
                    <w:t>职工生活污水</w:t>
                  </w:r>
                  <w:r>
                    <w:rPr>
                      <w:rFonts w:hint="eastAsia" w:ascii="Times New Roman" w:hAnsi="Times New Roman" w:eastAsia="宋体" w:cs="Times New Roman"/>
                      <w:color w:val="000000" w:themeColor="text1"/>
                      <w:szCs w:val="21"/>
                      <w14:textFill>
                        <w14:solidFill>
                          <w14:schemeClr w14:val="tx1"/>
                        </w14:solidFill>
                      </w14:textFill>
                    </w:rPr>
                    <w:t>生活污水经场地化粪池预处理后，由当地农户定期清掏，全部用于周边农田施肥，不外排</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钻井</w:t>
                  </w:r>
                  <w:r>
                    <w:rPr>
                      <w:rFonts w:hint="eastAsia" w:ascii="Times New Roman" w:hAnsi="Times New Roman" w:eastAsia="宋体" w:cs="Times New Roman"/>
                      <w:color w:val="000000" w:themeColor="text1"/>
                      <w:szCs w:val="21"/>
                      <w:lang w:eastAsia="zh-CN"/>
                      <w14:textFill>
                        <w14:solidFill>
                          <w14:schemeClr w14:val="tx1"/>
                        </w14:solidFill>
                      </w14:textFill>
                    </w:rPr>
                    <w:t>泥浆经处理后大部分可循环利用，少部分因性能不合格而会被废弃进入</w:t>
                  </w:r>
                  <w:r>
                    <w:rPr>
                      <w:rFonts w:hint="eastAsia" w:ascii="Times New Roman" w:hAnsi="Times New Roman" w:cs="Times New Roman"/>
                      <w:color w:val="000000" w:themeColor="text1"/>
                      <w:szCs w:val="21"/>
                      <w:lang w:val="en-US" w:eastAsia="zh-CN"/>
                      <w14:textFill>
                        <w14:solidFill>
                          <w14:schemeClr w14:val="tx1"/>
                        </w14:solidFill>
                      </w14:textFill>
                    </w:rPr>
                    <w:t>干化池</w:t>
                  </w:r>
                  <w:r>
                    <w:rPr>
                      <w:rFonts w:hint="eastAsia" w:ascii="Times New Roman" w:hAnsi="Times New Roman" w:eastAsia="宋体" w:cs="Times New Roman"/>
                      <w:color w:val="000000" w:themeColor="text1"/>
                      <w:szCs w:val="21"/>
                      <w:lang w:eastAsia="zh-CN"/>
                      <w14:textFill>
                        <w14:solidFill>
                          <w14:schemeClr w14:val="tx1"/>
                        </w14:solidFill>
                      </w14:textFill>
                    </w:rPr>
                    <w:t>中作为固废处置，无钻井废水</w:t>
                  </w:r>
                  <w:r>
                    <w:rPr>
                      <w:rFonts w:hint="eastAsia" w:ascii="Times New Roman" w:hAnsi="Times New Roman" w:cs="Times New Roman"/>
                      <w:color w:val="000000" w:themeColor="text1"/>
                      <w:szCs w:val="21"/>
                      <w:lang w:val="en-US" w:eastAsia="zh-CN"/>
                      <w14:textFill>
                        <w14:solidFill>
                          <w14:schemeClr w14:val="tx1"/>
                        </w14:solidFill>
                      </w14:textFill>
                    </w:rPr>
                    <w:t>排放。</w:t>
                  </w:r>
                  <w:r>
                    <w:rPr>
                      <w:rFonts w:hint="eastAsia" w:ascii="Times New Roman" w:hAnsi="Times New Roman"/>
                      <w:color w:val="auto"/>
                      <w:szCs w:val="21"/>
                      <w:highlight w:val="none"/>
                      <w:lang w:eastAsia="zh-CN"/>
                    </w:rPr>
                    <w:t>抽水试验废水排入清水池，</w:t>
                  </w:r>
                  <w:r>
                    <w:rPr>
                      <w:rFonts w:hint="eastAsia" w:ascii="Times New Roman" w:hAnsi="Times New Roman"/>
                      <w:color w:val="auto"/>
                      <w:szCs w:val="21"/>
                      <w:highlight w:val="none"/>
                      <w:lang w:val="en-US" w:eastAsia="zh-CN"/>
                    </w:rPr>
                    <w:t>施工单位根据抽水试验水质全成分检测结果进行针对性处置，若水质质量满足农田灌溉要求，则</w:t>
                  </w:r>
                  <w:r>
                    <w:rPr>
                      <w:rFonts w:hint="eastAsia" w:ascii="Times New Roman" w:hAnsi="Times New Roman"/>
                      <w:color w:val="auto"/>
                      <w:szCs w:val="21"/>
                      <w:highlight w:val="none"/>
                      <w:lang w:eastAsia="zh-CN"/>
                    </w:rPr>
                    <w:t>与周边农户协商好之后，用于周边农田灌溉使用，</w:t>
                  </w:r>
                  <w:r>
                    <w:rPr>
                      <w:rFonts w:hint="eastAsia" w:ascii="Times New Roman" w:hAnsi="Times New Roman"/>
                      <w:color w:val="auto"/>
                      <w:szCs w:val="21"/>
                      <w:highlight w:val="none"/>
                      <w:lang w:val="en-US" w:eastAsia="zh-CN"/>
                    </w:rPr>
                    <w:t>若水质质量不满足农田灌溉要求，则委托有处置能力单位进行处置</w:t>
                  </w:r>
                  <w:r>
                    <w:rPr>
                      <w:rFonts w:ascii="Times New Roman" w:hAnsi="Times New Roman"/>
                      <w:color w:val="auto"/>
                      <w:szCs w:val="21"/>
                      <w:highlight w:val="none"/>
                    </w:rPr>
                    <w:t>。</w:t>
                  </w:r>
                </w:p>
              </w:tc>
            </w:tr>
            <w:tr w14:paraId="12647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restart"/>
                  <w:tcBorders>
                    <w:tl2br w:val="nil"/>
                    <w:tr2bl w:val="nil"/>
                  </w:tcBorders>
                  <w:noWrap/>
                  <w:vAlign w:val="center"/>
                </w:tcPr>
                <w:p w14:paraId="57063FE3">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环保工程</w:t>
                  </w:r>
                </w:p>
              </w:tc>
              <w:tc>
                <w:tcPr>
                  <w:tcW w:w="1535" w:type="dxa"/>
                  <w:gridSpan w:val="2"/>
                  <w:tcBorders>
                    <w:tl2br w:val="nil"/>
                    <w:tr2bl w:val="nil"/>
                  </w:tcBorders>
                  <w:noWrap/>
                  <w:vAlign w:val="center"/>
                </w:tcPr>
                <w:p w14:paraId="2DFC0B87">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废气</w:t>
                  </w:r>
                </w:p>
              </w:tc>
              <w:tc>
                <w:tcPr>
                  <w:tcW w:w="5513" w:type="dxa"/>
                  <w:tcBorders>
                    <w:tl2br w:val="nil"/>
                    <w:tr2bl w:val="nil"/>
                  </w:tcBorders>
                  <w:noWrap/>
                  <w:vAlign w:val="center"/>
                </w:tcPr>
                <w:p w14:paraId="7C692889">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施工期影响主要为施工扬尘、机械尾气等。通过加强施工机械、车辆管理，进行物料覆盖，对施工道路进行固化、洒水处理等措施，施工现场扬尘污染防治应做到</w:t>
                  </w:r>
                  <w:r>
                    <w:rPr>
                      <w:rFonts w:hint="eastAsia" w:ascii="Times New Roman" w:hAnsi="Times New Roman"/>
                      <w:color w:val="auto"/>
                      <w:szCs w:val="21"/>
                      <w:highlight w:val="none"/>
                      <w:lang w:eastAsia="zh-CN"/>
                    </w:rPr>
                    <w:t>“</w:t>
                  </w:r>
                  <w:r>
                    <w:rPr>
                      <w:rFonts w:ascii="Times New Roman" w:hAnsi="Times New Roman"/>
                      <w:color w:val="auto"/>
                      <w:szCs w:val="21"/>
                      <w:highlight w:val="none"/>
                    </w:rPr>
                    <w:t>六个百分之百</w:t>
                  </w:r>
                  <w:r>
                    <w:rPr>
                      <w:rFonts w:hint="eastAsia" w:ascii="Times New Roman" w:hAnsi="Times New Roman"/>
                      <w:color w:val="auto"/>
                      <w:szCs w:val="21"/>
                      <w:highlight w:val="none"/>
                      <w:lang w:eastAsia="zh-CN"/>
                    </w:rPr>
                    <w:t>”</w:t>
                  </w:r>
                  <w:r>
                    <w:rPr>
                      <w:rFonts w:ascii="Times New Roman" w:hAnsi="Times New Roman"/>
                      <w:color w:val="auto"/>
                      <w:szCs w:val="21"/>
                      <w:highlight w:val="none"/>
                    </w:rPr>
                    <w:t>，减少对周边空气环境的影响。</w:t>
                  </w:r>
                </w:p>
              </w:tc>
            </w:tr>
            <w:tr w14:paraId="6248B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58DE5917">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7DE96A33">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废水</w:t>
                  </w:r>
                </w:p>
              </w:tc>
              <w:tc>
                <w:tcPr>
                  <w:tcW w:w="5513" w:type="dxa"/>
                  <w:tcBorders>
                    <w:tl2br w:val="nil"/>
                    <w:tr2bl w:val="nil"/>
                  </w:tcBorders>
                  <w:noWrap/>
                  <w:vAlign w:val="center"/>
                </w:tcPr>
                <w:p w14:paraId="1198FE95">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项目区不设置员工食宿，员工食宿依托附近村庄，</w:t>
                  </w:r>
                  <w:r>
                    <w:rPr>
                      <w:rFonts w:hint="eastAsia" w:ascii="Times New Roman" w:hAnsi="Times New Roman"/>
                      <w:szCs w:val="21"/>
                    </w:rPr>
                    <w:t>生活污水经化粪池预处理后委托清掏单位定期清掏处理，</w:t>
                  </w:r>
                  <w:r>
                    <w:rPr>
                      <w:rFonts w:hint="eastAsia" w:ascii="Times New Roman" w:hAnsi="Times New Roman"/>
                      <w:color w:val="auto"/>
                      <w:szCs w:val="21"/>
                      <w:highlight w:val="none"/>
                    </w:rPr>
                    <w:t>不外排，</w:t>
                  </w:r>
                  <w:r>
                    <w:rPr>
                      <w:rFonts w:ascii="Times New Roman" w:hAnsi="Times New Roman"/>
                      <w:color w:val="auto"/>
                      <w:szCs w:val="21"/>
                      <w:highlight w:val="none"/>
                    </w:rPr>
                    <w:t>用于当地农作物施肥。</w:t>
                  </w:r>
                </w:p>
                <w:p w14:paraId="3E3AEF63">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项目实施钻井仅为施工期</w:t>
                  </w:r>
                  <w:r>
                    <w:rPr>
                      <w:rFonts w:hint="eastAsia" w:ascii="Times New Roman" w:hAnsi="Times New Roman"/>
                      <w:color w:val="auto"/>
                      <w:szCs w:val="21"/>
                      <w:highlight w:val="none"/>
                    </w:rPr>
                    <w:t>，</w:t>
                  </w:r>
                  <w:r>
                    <w:rPr>
                      <w:rFonts w:ascii="Times New Roman" w:hAnsi="Times New Roman"/>
                      <w:color w:val="auto"/>
                      <w:szCs w:val="21"/>
                      <w:highlight w:val="none"/>
                    </w:rPr>
                    <w:t>每个井场</w:t>
                  </w:r>
                  <w:r>
                    <w:rPr>
                      <w:rFonts w:hint="eastAsia" w:ascii="Times New Roman" w:hAnsi="Times New Roman"/>
                      <w:color w:val="auto"/>
                      <w:szCs w:val="21"/>
                      <w:highlight w:val="none"/>
                    </w:rPr>
                    <w:t>需对</w:t>
                  </w:r>
                  <w:r>
                    <w:rPr>
                      <w:rFonts w:hint="eastAsia" w:ascii="Times New Roman" w:hAnsi="Times New Roman"/>
                      <w:color w:val="auto"/>
                      <w:szCs w:val="21"/>
                      <w:highlight w:val="none"/>
                      <w:lang w:val="en-US" w:eastAsia="zh-CN"/>
                    </w:rPr>
                    <w:t>进出</w:t>
                  </w:r>
                  <w:r>
                    <w:rPr>
                      <w:rFonts w:ascii="Times New Roman" w:hAnsi="Times New Roman"/>
                      <w:color w:val="auto"/>
                      <w:szCs w:val="21"/>
                      <w:highlight w:val="none"/>
                    </w:rPr>
                    <w:t>车辆冲洗，配套建设容积</w:t>
                  </w:r>
                  <w:r>
                    <w:rPr>
                      <w:rFonts w:hint="eastAsia" w:ascii="Times New Roman" w:hAnsi="Times New Roman"/>
                      <w:color w:val="auto"/>
                      <w:szCs w:val="21"/>
                      <w:highlight w:val="none"/>
                      <w:lang w:val="en-US" w:eastAsia="zh-CN"/>
                    </w:rPr>
                    <w:t>约8</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循环沉淀池，车辆清洗废水经沉淀池沉淀后循环使用，不外排；每个井场钻探废水设1个</w:t>
                  </w:r>
                  <w:r>
                    <w:rPr>
                      <w:rFonts w:hint="eastAsia" w:ascii="Times New Roman" w:hAnsi="Times New Roman"/>
                      <w:color w:val="auto"/>
                      <w:szCs w:val="21"/>
                      <w:highlight w:val="none"/>
                      <w:lang w:val="en-US" w:eastAsia="zh-CN"/>
                    </w:rPr>
                    <w:t>泥浆</w:t>
                  </w:r>
                  <w:r>
                    <w:rPr>
                      <w:rFonts w:ascii="Times New Roman" w:hAnsi="Times New Roman"/>
                      <w:color w:val="auto"/>
                      <w:szCs w:val="21"/>
                      <w:highlight w:val="none"/>
                    </w:rPr>
                    <w:t>池，容积</w:t>
                  </w:r>
                  <w:r>
                    <w:rPr>
                      <w:rFonts w:hint="eastAsia" w:ascii="Times New Roman" w:hAnsi="Times New Roman"/>
                      <w:color w:val="auto"/>
                      <w:szCs w:val="21"/>
                      <w:highlight w:val="none"/>
                      <w:lang w:val="en-US" w:eastAsia="zh-CN"/>
                    </w:rPr>
                    <w:t>约36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，设1个干化池，容积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，钻探废水经沉淀后回用于钻探</w:t>
                  </w:r>
                  <w:r>
                    <w:rPr>
                      <w:rFonts w:hint="eastAsia" w:ascii="Times New Roman" w:hAnsi="Times New Roman"/>
                      <w:color w:val="auto"/>
                      <w:szCs w:val="21"/>
                      <w:highlight w:val="none"/>
                    </w:rPr>
                    <w:t>工序</w:t>
                  </w:r>
                  <w:r>
                    <w:rPr>
                      <w:rFonts w:hint="eastAsia" w:ascii="Times New Roman" w:hAnsi="Times New Roman"/>
                      <w:color w:val="auto"/>
                      <w:szCs w:val="21"/>
                      <w:highlight w:val="none"/>
                      <w:lang w:eastAsia="zh-CN"/>
                    </w:rPr>
                    <w:t>；洗井</w:t>
                  </w:r>
                  <w:r>
                    <w:rPr>
                      <w:rFonts w:hint="eastAsia" w:ascii="Times New Roman" w:hAnsi="Times New Roman"/>
                      <w:color w:val="auto"/>
                      <w:szCs w:val="21"/>
                      <w:highlight w:val="none"/>
                      <w:lang w:val="en-US" w:eastAsia="zh-CN"/>
                    </w:rPr>
                    <w:t>用水</w:t>
                  </w:r>
                  <w:r>
                    <w:rPr>
                      <w:rFonts w:hint="eastAsia" w:ascii="Times New Roman" w:hAnsi="Times New Roman"/>
                      <w:color w:val="auto"/>
                      <w:szCs w:val="21"/>
                      <w:highlight w:val="none"/>
                      <w:lang w:eastAsia="zh-CN"/>
                    </w:rPr>
                    <w:t>利用泥浆池上清</w:t>
                  </w:r>
                  <w:r>
                    <w:rPr>
                      <w:rFonts w:hint="eastAsia" w:ascii="Times New Roman" w:hAnsi="Times New Roman"/>
                      <w:color w:val="auto"/>
                      <w:szCs w:val="21"/>
                      <w:highlight w:val="none"/>
                      <w:lang w:val="en-US" w:eastAsia="zh-CN"/>
                    </w:rPr>
                    <w:t>液</w:t>
                  </w:r>
                  <w:r>
                    <w:rPr>
                      <w:rFonts w:hint="eastAsia" w:ascii="Times New Roman" w:hAnsi="Times New Roman"/>
                      <w:color w:val="auto"/>
                      <w:szCs w:val="21"/>
                      <w:highlight w:val="none"/>
                      <w:lang w:eastAsia="zh-CN"/>
                    </w:rPr>
                    <w:t>，清洗后返回泥浆池内，不外排；抽水试验废水排入清水池，</w:t>
                  </w:r>
                  <w:r>
                    <w:rPr>
                      <w:rFonts w:hint="eastAsia" w:ascii="Times New Roman" w:hAnsi="Times New Roman"/>
                      <w:color w:val="auto"/>
                      <w:szCs w:val="21"/>
                      <w:highlight w:val="none"/>
                      <w:lang w:val="en-US" w:eastAsia="zh-CN"/>
                    </w:rPr>
                    <w:t>施工单位根据抽水试验水质全成分检测结果进行针对性处置，若水质质量满足农田灌溉要求，则</w:t>
                  </w:r>
                  <w:r>
                    <w:rPr>
                      <w:rFonts w:hint="eastAsia" w:ascii="Times New Roman" w:hAnsi="Times New Roman"/>
                      <w:color w:val="auto"/>
                      <w:szCs w:val="21"/>
                      <w:highlight w:val="none"/>
                      <w:lang w:eastAsia="zh-CN"/>
                    </w:rPr>
                    <w:t>与周边农户协商好之后，用于周边农田灌溉使用，</w:t>
                  </w:r>
                  <w:r>
                    <w:rPr>
                      <w:rFonts w:hint="eastAsia" w:ascii="Times New Roman" w:hAnsi="Times New Roman"/>
                      <w:color w:val="auto"/>
                      <w:szCs w:val="21"/>
                      <w:highlight w:val="none"/>
                      <w:lang w:val="en-US" w:eastAsia="zh-CN"/>
                    </w:rPr>
                    <w:t>若水质质量不满足农田灌溉要求，则委托有处置能力单位进行处置</w:t>
                  </w:r>
                  <w:r>
                    <w:rPr>
                      <w:rFonts w:ascii="Times New Roman" w:hAnsi="Times New Roman"/>
                      <w:color w:val="auto"/>
                      <w:szCs w:val="21"/>
                      <w:highlight w:val="none"/>
                    </w:rPr>
                    <w:t>。</w:t>
                  </w:r>
                </w:p>
              </w:tc>
            </w:tr>
            <w:tr w14:paraId="18772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646A2A9A">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1014A17B">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噪声</w:t>
                  </w:r>
                </w:p>
              </w:tc>
              <w:tc>
                <w:tcPr>
                  <w:tcW w:w="5513" w:type="dxa"/>
                  <w:tcBorders>
                    <w:tl2br w:val="nil"/>
                    <w:tr2bl w:val="nil"/>
                  </w:tcBorders>
                  <w:noWrap/>
                  <w:vAlign w:val="center"/>
                </w:tcPr>
                <w:p w14:paraId="3B72E427">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选用低噪声设备，合理布置施工机械，合理安排施工时间，加强施工管理，设置施工围墙、降噪安全围帘等，项目</w:t>
                  </w:r>
                  <w:r>
                    <w:rPr>
                      <w:rFonts w:hint="eastAsia" w:ascii="Times New Roman" w:hAnsi="Times New Roman"/>
                      <w:color w:val="auto"/>
                      <w:szCs w:val="21"/>
                      <w:highlight w:val="none"/>
                    </w:rPr>
                    <w:t>井场</w:t>
                  </w:r>
                  <w:r>
                    <w:rPr>
                      <w:rFonts w:ascii="Times New Roman" w:hAnsi="Times New Roman"/>
                      <w:color w:val="auto"/>
                      <w:szCs w:val="21"/>
                      <w:highlight w:val="none"/>
                    </w:rPr>
                    <w:t>周边布置隔声屏等，可有效降低对周边敏感点的影响</w:t>
                  </w:r>
                  <w:r>
                    <w:rPr>
                      <w:rFonts w:ascii="Times New Roman" w:hAnsi="Times New Roman"/>
                      <w:bCs/>
                      <w:color w:val="auto"/>
                      <w:szCs w:val="21"/>
                      <w:highlight w:val="none"/>
                    </w:rPr>
                    <w:t>。</w:t>
                  </w:r>
                </w:p>
              </w:tc>
            </w:tr>
            <w:tr w14:paraId="25D80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32524952">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0E9FAF38">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固体废弃物</w:t>
                  </w:r>
                </w:p>
              </w:tc>
              <w:tc>
                <w:tcPr>
                  <w:tcW w:w="5513" w:type="dxa"/>
                  <w:tcBorders>
                    <w:tl2br w:val="nil"/>
                    <w:tr2bl w:val="nil"/>
                  </w:tcBorders>
                  <w:noWrap/>
                  <w:vAlign w:val="center"/>
                </w:tcPr>
                <w:p w14:paraId="2E5A169C">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施工结束后，开挖的土方后期回覆；钻井</w:t>
                  </w:r>
                  <w:r>
                    <w:rPr>
                      <w:rFonts w:hint="eastAsia" w:ascii="Times New Roman" w:hAnsi="Times New Roman"/>
                      <w:color w:val="auto"/>
                      <w:szCs w:val="21"/>
                      <w:highlight w:val="none"/>
                      <w:lang w:val="en-US" w:eastAsia="zh-CN"/>
                    </w:rPr>
                    <w:t>泥浆</w:t>
                  </w:r>
                  <w:r>
                    <w:rPr>
                      <w:rFonts w:ascii="Times New Roman" w:hAnsi="Times New Roman"/>
                      <w:color w:val="auto"/>
                      <w:szCs w:val="21"/>
                      <w:highlight w:val="none"/>
                    </w:rPr>
                    <w:t>暂存于废浆干化池中，待钻井结束后投加泥浆固化剂</w:t>
                  </w:r>
                  <w:r>
                    <w:rPr>
                      <w:rFonts w:hint="eastAsia" w:ascii="Times New Roman" w:hAnsi="Times New Roman"/>
                      <w:color w:val="auto"/>
                      <w:szCs w:val="21"/>
                      <w:highlight w:val="none"/>
                      <w:lang w:eastAsia="zh-CN"/>
                    </w:rPr>
                    <w:t>固化后作为建筑材料外售</w:t>
                  </w: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钻孔产生的岩芯碎屑集中收集后作为一般固废处置；干化泥浆</w:t>
                  </w:r>
                  <w:r>
                    <w:rPr>
                      <w:rFonts w:ascii="Times New Roman" w:hAnsi="Times New Roman"/>
                      <w:color w:val="auto"/>
                      <w:szCs w:val="21"/>
                      <w:highlight w:val="none"/>
                    </w:rPr>
                    <w:t>作为周边路基维护的建材使用；废包装材料集中收集后外售处理。废润滑油、废润滑油桶</w:t>
                  </w:r>
                  <w:r>
                    <w:rPr>
                      <w:rFonts w:hint="eastAsia" w:ascii="Times New Roman" w:hAnsi="Times New Roman"/>
                      <w:color w:val="auto"/>
                      <w:szCs w:val="21"/>
                      <w:highlight w:val="none"/>
                    </w:rPr>
                    <w:t>、</w:t>
                  </w:r>
                  <w:r>
                    <w:rPr>
                      <w:rFonts w:ascii="Times New Roman" w:hAnsi="Times New Roman"/>
                      <w:color w:val="auto"/>
                      <w:szCs w:val="21"/>
                      <w:highlight w:val="none"/>
                    </w:rPr>
                    <w:t>废含油抹布和废含油手套</w:t>
                  </w:r>
                  <w:r>
                    <w:rPr>
                      <w:rFonts w:hint="eastAsia" w:ascii="Times New Roman" w:hAnsi="Times New Roman"/>
                      <w:color w:val="auto"/>
                      <w:szCs w:val="21"/>
                      <w:highlight w:val="none"/>
                      <w:lang w:val="en-US" w:eastAsia="zh-CN"/>
                    </w:rPr>
                    <w:t>集中收集至各井场危废暂存间内，施工结束前委托资质单位进行处置；</w:t>
                  </w:r>
                  <w:r>
                    <w:rPr>
                      <w:rFonts w:ascii="Times New Roman" w:hAnsi="Times New Roman"/>
                      <w:color w:val="auto"/>
                      <w:szCs w:val="21"/>
                      <w:highlight w:val="none"/>
                    </w:rPr>
                    <w:t>生活垃圾委托环卫部门清运。</w:t>
                  </w:r>
                  <w:r>
                    <w:rPr>
                      <w:rFonts w:hint="eastAsia" w:ascii="Times New Roman" w:hAnsi="Times New Roman"/>
                      <w:color w:val="auto"/>
                      <w:szCs w:val="21"/>
                      <w:highlight w:val="none"/>
                      <w:lang w:val="en-US" w:eastAsia="zh-CN"/>
                    </w:rPr>
                    <w:t>本项目各井场均设有固废暂存间以及危废暂存间各一座，建筑面积均约为5m</w:t>
                  </w:r>
                  <w:r>
                    <w:rPr>
                      <w:rFonts w:hint="eastAsia" w:ascii="Times New Roman" w:hAnsi="Times New Roman"/>
                      <w:color w:val="auto"/>
                      <w:szCs w:val="21"/>
                      <w:highlight w:val="none"/>
                      <w:vertAlign w:val="superscript"/>
                      <w:lang w:val="en-US" w:eastAsia="zh-CN"/>
                    </w:rPr>
                    <w:t>2</w:t>
                  </w:r>
                  <w:r>
                    <w:rPr>
                      <w:rFonts w:ascii="Times New Roman" w:hAnsi="Times New Roman"/>
                      <w:color w:val="auto"/>
                      <w:szCs w:val="21"/>
                      <w:highlight w:val="none"/>
                    </w:rPr>
                    <w:t>。</w:t>
                  </w:r>
                </w:p>
              </w:tc>
            </w:tr>
            <w:tr w14:paraId="0A5FC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22CD5B05">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7F996382">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土壤、地下水环境</w:t>
                  </w:r>
                </w:p>
              </w:tc>
              <w:tc>
                <w:tcPr>
                  <w:tcW w:w="5513" w:type="dxa"/>
                  <w:tcBorders>
                    <w:tl2br w:val="nil"/>
                    <w:tr2bl w:val="nil"/>
                  </w:tcBorders>
                  <w:noWrap/>
                  <w:vAlign w:val="center"/>
                </w:tcPr>
                <w:p w14:paraId="205F8EE8">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hint="eastAsia" w:ascii="Times New Roman" w:hAnsi="Times New Roman"/>
                      <w:color w:val="auto"/>
                      <w:szCs w:val="21"/>
                      <w:highlight w:val="none"/>
                    </w:rPr>
                    <w:t>项目采取分区防渗措施。</w:t>
                  </w:r>
                </w:p>
                <w:p w14:paraId="4560B017">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重点防渗区：</w:t>
                  </w:r>
                  <w:r>
                    <w:rPr>
                      <w:rFonts w:hint="eastAsia" w:ascii="Times New Roman" w:hAnsi="Times New Roman"/>
                      <w:color w:val="auto"/>
                      <w:szCs w:val="21"/>
                      <w:highlight w:val="none"/>
                      <w:lang w:val="en-US" w:eastAsia="zh-CN"/>
                    </w:rPr>
                    <w:t>危废暂存间</w:t>
                  </w:r>
                  <w:r>
                    <w:rPr>
                      <w:rFonts w:ascii="Times New Roman" w:hAnsi="Times New Roman"/>
                      <w:color w:val="auto"/>
                      <w:szCs w:val="21"/>
                      <w:highlight w:val="none"/>
                    </w:rPr>
                    <w:t>。防渗要求</w:t>
                  </w:r>
                  <w:r>
                    <w:rPr>
                      <w:rFonts w:hint="eastAsia" w:ascii="Times New Roman" w:hAnsi="Times New Roman"/>
                      <w:color w:val="auto"/>
                      <w:szCs w:val="21"/>
                      <w:highlight w:val="none"/>
                    </w:rPr>
                    <w:t>：</w:t>
                  </w:r>
                  <w:r>
                    <w:rPr>
                      <w:rFonts w:ascii="Times New Roman" w:hAnsi="Times New Roman"/>
                      <w:color w:val="auto"/>
                      <w:szCs w:val="21"/>
                      <w:highlight w:val="none"/>
                    </w:rPr>
                    <w:t>采用</w:t>
                  </w:r>
                  <w:r>
                    <w:rPr>
                      <w:rFonts w:hint="eastAsia" w:ascii="Times New Roman" w:hAnsi="Times New Roman"/>
                      <w:color w:val="auto"/>
                      <w:szCs w:val="21"/>
                      <w:highlight w:val="none"/>
                      <w:lang w:eastAsia="zh-CN"/>
                    </w:rPr>
                    <w:t>“</w:t>
                  </w:r>
                  <w:r>
                    <w:rPr>
                      <w:rFonts w:ascii="Times New Roman" w:hAnsi="Times New Roman"/>
                      <w:color w:val="auto"/>
                      <w:szCs w:val="21"/>
                      <w:highlight w:val="none"/>
                    </w:rPr>
                    <w:t>防渗混凝土+防渗布+砂浆层</w:t>
                  </w:r>
                  <w:r>
                    <w:rPr>
                      <w:rFonts w:hint="eastAsia" w:ascii="Times New Roman" w:hAnsi="Times New Roman"/>
                      <w:color w:val="auto"/>
                      <w:szCs w:val="21"/>
                      <w:highlight w:val="none"/>
                      <w:lang w:eastAsia="zh-CN"/>
                    </w:rPr>
                    <w:t>”</w:t>
                  </w:r>
                  <w:r>
                    <w:rPr>
                      <w:rFonts w:ascii="Times New Roman" w:hAnsi="Times New Roman"/>
                      <w:color w:val="auto"/>
                      <w:szCs w:val="21"/>
                      <w:highlight w:val="none"/>
                    </w:rPr>
                    <w:t>进行防渗，等效厚度≥6.0m，确保渗透系数不大于10</w:t>
                  </w:r>
                  <w:r>
                    <w:rPr>
                      <w:rFonts w:ascii="Times New Roman" w:hAnsi="Times New Roman"/>
                      <w:color w:val="auto"/>
                      <w:szCs w:val="21"/>
                      <w:highlight w:val="none"/>
                      <w:vertAlign w:val="superscript"/>
                    </w:rPr>
                    <w:t>-</w:t>
                  </w:r>
                  <w:r>
                    <w:rPr>
                      <w:rFonts w:hint="eastAsia" w:ascii="Times New Roman" w:hAnsi="Times New Roman"/>
                      <w:color w:val="auto"/>
                      <w:szCs w:val="21"/>
                      <w:highlight w:val="none"/>
                      <w:vertAlign w:val="superscript"/>
                    </w:rPr>
                    <w:t>7</w:t>
                  </w:r>
                  <w:r>
                    <w:rPr>
                      <w:rFonts w:ascii="Times New Roman" w:hAnsi="Times New Roman"/>
                      <w:color w:val="auto"/>
                      <w:szCs w:val="21"/>
                      <w:highlight w:val="none"/>
                    </w:rPr>
                    <w:t>cm/s</w:t>
                  </w:r>
                  <w:r>
                    <w:rPr>
                      <w:rFonts w:hint="eastAsia" w:ascii="Times New Roman" w:hAnsi="Times New Roman"/>
                      <w:color w:val="auto"/>
                      <w:szCs w:val="21"/>
                      <w:highlight w:val="none"/>
                    </w:rPr>
                    <w:t>；</w:t>
                  </w:r>
                  <w:r>
                    <w:rPr>
                      <w:rFonts w:ascii="Times New Roman" w:hAnsi="Times New Roman"/>
                      <w:color w:val="auto"/>
                      <w:szCs w:val="21"/>
                      <w:highlight w:val="none"/>
                    </w:rPr>
                    <w:t>一般防渗区：</w:t>
                  </w:r>
                  <w:r>
                    <w:rPr>
                      <w:rFonts w:hint="eastAsia" w:ascii="Times New Roman" w:hAnsi="Times New Roman"/>
                      <w:color w:val="auto"/>
                      <w:szCs w:val="21"/>
                      <w:highlight w:val="none"/>
                      <w:lang w:eastAsia="zh-CN"/>
                    </w:rPr>
                    <w:t>钻机房井口区域、泥浆池、沉淀池、干化池、设备及库房</w:t>
                  </w:r>
                  <w:r>
                    <w:rPr>
                      <w:rFonts w:ascii="Times New Roman" w:hAnsi="Times New Roman"/>
                      <w:color w:val="auto"/>
                      <w:szCs w:val="21"/>
                      <w:highlight w:val="none"/>
                    </w:rPr>
                    <w:t>。防渗要求</w:t>
                  </w:r>
                  <w:r>
                    <w:rPr>
                      <w:rFonts w:hint="eastAsia" w:ascii="Times New Roman" w:hAnsi="Times New Roman"/>
                      <w:color w:val="auto"/>
                      <w:szCs w:val="21"/>
                      <w:highlight w:val="none"/>
                    </w:rPr>
                    <w:t>：</w:t>
                  </w:r>
                  <w:r>
                    <w:rPr>
                      <w:rFonts w:ascii="Times New Roman" w:hAnsi="Times New Roman"/>
                      <w:color w:val="auto"/>
                      <w:szCs w:val="21"/>
                      <w:highlight w:val="none"/>
                    </w:rPr>
                    <w:t>采取防渗混凝土进行防渗，等效厚度≥1.5m</w:t>
                  </w:r>
                  <w:r>
                    <w:rPr>
                      <w:rFonts w:hint="eastAsia" w:ascii="Times New Roman" w:hAnsi="Times New Roman"/>
                      <w:color w:val="auto"/>
                      <w:szCs w:val="21"/>
                      <w:highlight w:val="none"/>
                    </w:rPr>
                    <w:t>；</w:t>
                  </w:r>
                  <w:r>
                    <w:rPr>
                      <w:rFonts w:ascii="Times New Roman" w:hAnsi="Times New Roman"/>
                      <w:color w:val="auto"/>
                      <w:szCs w:val="21"/>
                      <w:highlight w:val="none"/>
                    </w:rPr>
                    <w:t>简单防渗区：除重点防渗区和一般防渗区以外的其他区域。防渗要求</w:t>
                  </w:r>
                  <w:r>
                    <w:rPr>
                      <w:rFonts w:hint="eastAsia" w:ascii="Times New Roman" w:hAnsi="Times New Roman"/>
                      <w:color w:val="auto"/>
                      <w:szCs w:val="21"/>
                      <w:highlight w:val="none"/>
                    </w:rPr>
                    <w:t>：</w:t>
                  </w:r>
                  <w:r>
                    <w:rPr>
                      <w:rFonts w:ascii="Times New Roman" w:hAnsi="Times New Roman"/>
                      <w:color w:val="auto"/>
                      <w:szCs w:val="21"/>
                      <w:highlight w:val="none"/>
                    </w:rPr>
                    <w:t>采用一般地面硬化。</w:t>
                  </w:r>
                </w:p>
              </w:tc>
            </w:tr>
            <w:tr w14:paraId="63F20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83" w:type="dxa"/>
                  <w:vMerge w:val="continue"/>
                  <w:tcBorders>
                    <w:tl2br w:val="nil"/>
                    <w:tr2bl w:val="nil"/>
                  </w:tcBorders>
                  <w:noWrap/>
                  <w:vAlign w:val="center"/>
                </w:tcPr>
                <w:p w14:paraId="75FCECCF">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p>
              </w:tc>
              <w:tc>
                <w:tcPr>
                  <w:tcW w:w="1535" w:type="dxa"/>
                  <w:gridSpan w:val="2"/>
                  <w:tcBorders>
                    <w:tl2br w:val="nil"/>
                    <w:tr2bl w:val="nil"/>
                  </w:tcBorders>
                  <w:noWrap/>
                  <w:vAlign w:val="center"/>
                </w:tcPr>
                <w:p w14:paraId="772E0A65">
                  <w:pPr>
                    <w:keepNext w:val="0"/>
                    <w:keepLines w:val="0"/>
                    <w:pageBreakBefore w:val="0"/>
                    <w:widowControl w:val="0"/>
                    <w:kinsoku/>
                    <w:wordWrap/>
                    <w:overflowPunct/>
                    <w:topLinePunct w:val="0"/>
                    <w:bidi w:val="0"/>
                    <w:snapToGrid/>
                    <w:ind w:left="0" w:leftChars="0" w:right="0" w:rightChars="0"/>
                    <w:jc w:val="center"/>
                    <w:textAlignment w:val="auto"/>
                    <w:rPr>
                      <w:rFonts w:ascii="Times New Roman" w:hAnsi="Times New Roman"/>
                      <w:color w:val="auto"/>
                      <w:szCs w:val="21"/>
                      <w:highlight w:val="none"/>
                    </w:rPr>
                  </w:pPr>
                  <w:r>
                    <w:rPr>
                      <w:rFonts w:ascii="Times New Roman" w:hAnsi="Times New Roman"/>
                      <w:color w:val="auto"/>
                      <w:szCs w:val="21"/>
                      <w:highlight w:val="none"/>
                    </w:rPr>
                    <w:t>生态环境</w:t>
                  </w:r>
                </w:p>
              </w:tc>
              <w:tc>
                <w:tcPr>
                  <w:tcW w:w="5513" w:type="dxa"/>
                  <w:tcBorders>
                    <w:tl2br w:val="nil"/>
                    <w:tr2bl w:val="nil"/>
                  </w:tcBorders>
                  <w:noWrap/>
                  <w:vAlign w:val="center"/>
                </w:tcPr>
                <w:p w14:paraId="659C218E">
                  <w:pPr>
                    <w:keepNext w:val="0"/>
                    <w:keepLines w:val="0"/>
                    <w:pageBreakBefore w:val="0"/>
                    <w:widowControl w:val="0"/>
                    <w:kinsoku/>
                    <w:wordWrap/>
                    <w:overflowPunct/>
                    <w:topLinePunct w:val="0"/>
                    <w:bidi w:val="0"/>
                    <w:snapToGrid/>
                    <w:ind w:left="0" w:leftChars="0" w:right="0" w:rightChars="0"/>
                    <w:textAlignment w:val="auto"/>
                    <w:rPr>
                      <w:rFonts w:ascii="Times New Roman" w:hAnsi="Times New Roman"/>
                      <w:color w:val="auto"/>
                      <w:szCs w:val="21"/>
                      <w:highlight w:val="none"/>
                    </w:rPr>
                  </w:pPr>
                  <w:r>
                    <w:rPr>
                      <w:rFonts w:ascii="Times New Roman" w:hAnsi="Times New Roman"/>
                      <w:color w:val="auto"/>
                      <w:szCs w:val="21"/>
                      <w:highlight w:val="none"/>
                    </w:rPr>
                    <w:t>主要影响为工程占地及施工对土地利用状况的影响，对项目施工区域植物的破坏、对动物的干扰，以及水土流失等影响。应对措施是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highlight w:val="none"/>
                    </w:rPr>
                    <w:t>。</w:t>
                  </w:r>
                </w:p>
              </w:tc>
            </w:tr>
          </w:tbl>
          <w:p w14:paraId="37A688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b/>
                <w:color w:val="auto"/>
                <w:szCs w:val="21"/>
                <w:highlight w:val="none"/>
              </w:rPr>
            </w:pPr>
            <w:r>
              <w:rPr>
                <w:rFonts w:ascii="Times New Roman" w:hAnsi="Times New Roman"/>
                <w:b/>
                <w:color w:val="auto"/>
                <w:szCs w:val="21"/>
                <w:highlight w:val="none"/>
              </w:rPr>
              <w:t>表2-</w:t>
            </w:r>
            <w:r>
              <w:rPr>
                <w:rFonts w:hint="eastAsia" w:ascii="Times New Roman" w:hAnsi="Times New Roman"/>
                <w:b/>
                <w:color w:val="auto"/>
                <w:szCs w:val="21"/>
                <w:highlight w:val="none"/>
              </w:rPr>
              <w:t>2</w:t>
            </w:r>
            <w:r>
              <w:rPr>
                <w:rFonts w:ascii="Times New Roman" w:hAnsi="Times New Roman"/>
                <w:b/>
                <w:color w:val="auto"/>
                <w:szCs w:val="21"/>
                <w:highlight w:val="none"/>
              </w:rPr>
              <w:t xml:space="preserve">  项目井场坐标一览表（中心点）</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700"/>
              <w:gridCol w:w="1350"/>
              <w:gridCol w:w="1425"/>
              <w:gridCol w:w="625"/>
              <w:gridCol w:w="858"/>
              <w:gridCol w:w="1109"/>
              <w:gridCol w:w="965"/>
            </w:tblGrid>
            <w:tr w14:paraId="025D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restart"/>
                  <w:tcBorders>
                    <w:top w:val="single" w:color="auto" w:sz="4" w:space="0"/>
                    <w:left w:val="single" w:color="auto" w:sz="4" w:space="0"/>
                    <w:bottom w:val="single" w:color="auto" w:sz="4" w:space="0"/>
                    <w:right w:val="single" w:color="auto" w:sz="4" w:space="0"/>
                  </w:tcBorders>
                  <w:noWrap/>
                  <w:vAlign w:val="center"/>
                </w:tcPr>
                <w:p w14:paraId="49F79E86">
                  <w:pPr>
                    <w:jc w:val="center"/>
                    <w:rPr>
                      <w:rFonts w:ascii="Times New Roman" w:hAnsi="Times New Roman"/>
                      <w:b/>
                      <w:bCs w:val="0"/>
                      <w:color w:val="auto"/>
                      <w:szCs w:val="21"/>
                      <w:highlight w:val="none"/>
                    </w:rPr>
                  </w:pPr>
                  <w:r>
                    <w:rPr>
                      <w:rFonts w:hint="eastAsia" w:ascii="Times New Roman" w:hAnsi="Times New Roman"/>
                      <w:b/>
                      <w:bCs w:val="0"/>
                      <w:color w:val="auto"/>
                      <w:szCs w:val="21"/>
                      <w:highlight w:val="none"/>
                      <w:lang w:val="en-US" w:eastAsia="zh-CN"/>
                    </w:rPr>
                    <w:t>钻孔孔</w:t>
                  </w:r>
                  <w:r>
                    <w:rPr>
                      <w:rFonts w:ascii="Times New Roman" w:hAnsi="Times New Roman"/>
                      <w:b/>
                      <w:bCs w:val="0"/>
                      <w:color w:val="auto"/>
                      <w:szCs w:val="21"/>
                      <w:highlight w:val="none"/>
                    </w:rPr>
                    <w:t>号</w:t>
                  </w:r>
                </w:p>
              </w:tc>
              <w:tc>
                <w:tcPr>
                  <w:tcW w:w="446" w:type="pct"/>
                  <w:vMerge w:val="restart"/>
                  <w:tcBorders>
                    <w:top w:val="single" w:color="auto" w:sz="4" w:space="0"/>
                    <w:left w:val="single" w:color="auto" w:sz="4" w:space="0"/>
                    <w:right w:val="single" w:color="auto" w:sz="4" w:space="0"/>
                  </w:tcBorders>
                  <w:noWrap/>
                  <w:vAlign w:val="center"/>
                </w:tcPr>
                <w:p w14:paraId="609399DF">
                  <w:pPr>
                    <w:jc w:val="center"/>
                    <w:rPr>
                      <w:rFonts w:hint="default" w:ascii="Times New Roman" w:hAnsi="Times New Roman" w:eastAsia="宋体"/>
                      <w:b/>
                      <w:bCs w:val="0"/>
                      <w:color w:val="auto"/>
                      <w:szCs w:val="21"/>
                      <w:highlight w:val="none"/>
                      <w:lang w:val="en-US" w:eastAsia="zh-CN"/>
                    </w:rPr>
                  </w:pPr>
                  <w:r>
                    <w:rPr>
                      <w:rFonts w:hint="eastAsia" w:ascii="Times New Roman" w:hAnsi="Times New Roman"/>
                      <w:b/>
                      <w:bCs w:val="0"/>
                      <w:color w:val="auto"/>
                      <w:szCs w:val="21"/>
                      <w:highlight w:val="none"/>
                      <w:lang w:val="en-US" w:eastAsia="zh-CN"/>
                    </w:rPr>
                    <w:t>钻孔编号</w:t>
                  </w:r>
                </w:p>
              </w:tc>
              <w:tc>
                <w:tcPr>
                  <w:tcW w:w="2167" w:type="pct"/>
                  <w:gridSpan w:val="3"/>
                  <w:tcBorders>
                    <w:top w:val="single" w:color="auto" w:sz="4" w:space="0"/>
                    <w:left w:val="single" w:color="auto" w:sz="4" w:space="0"/>
                    <w:bottom w:val="single" w:color="auto" w:sz="4" w:space="0"/>
                    <w:right w:val="single" w:color="auto" w:sz="4" w:space="0"/>
                  </w:tcBorders>
                  <w:noWrap/>
                  <w:vAlign w:val="center"/>
                </w:tcPr>
                <w:p w14:paraId="146BB66F">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钻井坐标</w:t>
                  </w:r>
                </w:p>
              </w:tc>
              <w:tc>
                <w:tcPr>
                  <w:tcW w:w="547" w:type="pct"/>
                  <w:vMerge w:val="restart"/>
                  <w:tcBorders>
                    <w:top w:val="single" w:color="auto" w:sz="4" w:space="0"/>
                    <w:left w:val="single" w:color="auto" w:sz="4" w:space="0"/>
                    <w:bottom w:val="single" w:color="auto" w:sz="4" w:space="0"/>
                    <w:right w:val="single" w:color="auto" w:sz="4" w:space="0"/>
                  </w:tcBorders>
                  <w:noWrap/>
                  <w:vAlign w:val="center"/>
                </w:tcPr>
                <w:p w14:paraId="1B3D18B9">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预计孔深（m）</w:t>
                  </w:r>
                </w:p>
              </w:tc>
              <w:tc>
                <w:tcPr>
                  <w:tcW w:w="707" w:type="pct"/>
                  <w:vMerge w:val="restart"/>
                  <w:tcBorders>
                    <w:top w:val="single" w:color="auto" w:sz="4" w:space="0"/>
                    <w:left w:val="single" w:color="auto" w:sz="4" w:space="0"/>
                    <w:bottom w:val="single" w:color="auto" w:sz="4" w:space="0"/>
                    <w:right w:val="single" w:color="auto" w:sz="4" w:space="0"/>
                  </w:tcBorders>
                  <w:noWrap/>
                  <w:vAlign w:val="center"/>
                </w:tcPr>
                <w:p w14:paraId="226C366F">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终孔</w:t>
                  </w:r>
                </w:p>
                <w:p w14:paraId="78DDF536">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层位</w:t>
                  </w:r>
                </w:p>
              </w:tc>
              <w:tc>
                <w:tcPr>
                  <w:tcW w:w="615" w:type="pct"/>
                  <w:vMerge w:val="restart"/>
                  <w:tcBorders>
                    <w:top w:val="single" w:color="auto" w:sz="4" w:space="0"/>
                    <w:left w:val="single" w:color="auto" w:sz="4" w:space="0"/>
                    <w:right w:val="single" w:color="auto" w:sz="4" w:space="0"/>
                  </w:tcBorders>
                  <w:noWrap/>
                  <w:vAlign w:val="center"/>
                </w:tcPr>
                <w:p w14:paraId="22931FE5">
                  <w:pPr>
                    <w:jc w:val="center"/>
                    <w:rPr>
                      <w:rFonts w:ascii="Times New Roman" w:hAnsi="Times New Roman"/>
                      <w:b/>
                      <w:bCs w:val="0"/>
                      <w:color w:val="auto"/>
                      <w:szCs w:val="21"/>
                      <w:highlight w:val="none"/>
                    </w:rPr>
                  </w:pPr>
                  <w:r>
                    <w:rPr>
                      <w:rFonts w:hint="eastAsia" w:ascii="Times New Roman" w:hAnsi="Times New Roman"/>
                      <w:b/>
                      <w:bCs w:val="0"/>
                      <w:color w:val="auto"/>
                      <w:szCs w:val="21"/>
                      <w:highlight w:val="none"/>
                    </w:rPr>
                    <w:t>井口孔径（mm）</w:t>
                  </w:r>
                </w:p>
              </w:tc>
            </w:tr>
            <w:tr w14:paraId="7F95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16" w:type="pct"/>
                  <w:vMerge w:val="continue"/>
                  <w:tcBorders>
                    <w:top w:val="single" w:color="auto" w:sz="4" w:space="0"/>
                    <w:left w:val="single" w:color="auto" w:sz="4" w:space="0"/>
                    <w:bottom w:val="single" w:color="auto" w:sz="4" w:space="0"/>
                    <w:right w:val="single" w:color="auto" w:sz="4" w:space="0"/>
                  </w:tcBorders>
                  <w:noWrap/>
                  <w:vAlign w:val="center"/>
                </w:tcPr>
                <w:p w14:paraId="6E7016F6">
                  <w:pPr>
                    <w:widowControl/>
                    <w:jc w:val="center"/>
                    <w:rPr>
                      <w:rFonts w:ascii="Times New Roman" w:hAnsi="Times New Roman"/>
                      <w:b/>
                      <w:bCs w:val="0"/>
                      <w:color w:val="auto"/>
                      <w:szCs w:val="21"/>
                      <w:highlight w:val="none"/>
                    </w:rPr>
                  </w:pPr>
                </w:p>
              </w:tc>
              <w:tc>
                <w:tcPr>
                  <w:tcW w:w="446" w:type="pct"/>
                  <w:vMerge w:val="continue"/>
                  <w:tcBorders>
                    <w:left w:val="single" w:color="auto" w:sz="4" w:space="0"/>
                    <w:bottom w:val="single" w:color="auto" w:sz="4" w:space="0"/>
                    <w:right w:val="single" w:color="auto" w:sz="4" w:space="0"/>
                  </w:tcBorders>
                  <w:noWrap/>
                  <w:vAlign w:val="center"/>
                </w:tcPr>
                <w:p w14:paraId="797C1E6D">
                  <w:pPr>
                    <w:jc w:val="center"/>
                    <w:rPr>
                      <w:rFonts w:ascii="Times New Roman" w:hAnsi="Times New Roman"/>
                      <w:b/>
                      <w:bCs w:val="0"/>
                      <w:color w:val="auto"/>
                      <w:szCs w:val="21"/>
                      <w:highlight w:val="none"/>
                    </w:rPr>
                  </w:pPr>
                </w:p>
              </w:tc>
              <w:tc>
                <w:tcPr>
                  <w:tcW w:w="860" w:type="pct"/>
                  <w:tcBorders>
                    <w:top w:val="single" w:color="auto" w:sz="4" w:space="0"/>
                    <w:left w:val="single" w:color="auto" w:sz="4" w:space="0"/>
                    <w:bottom w:val="single" w:color="auto" w:sz="4" w:space="0"/>
                    <w:right w:val="single" w:color="auto" w:sz="4" w:space="0"/>
                  </w:tcBorders>
                  <w:noWrap/>
                  <w:vAlign w:val="center"/>
                </w:tcPr>
                <w:p w14:paraId="6CEC1402">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X</w:t>
                  </w:r>
                </w:p>
              </w:tc>
              <w:tc>
                <w:tcPr>
                  <w:tcW w:w="908" w:type="pct"/>
                  <w:tcBorders>
                    <w:top w:val="single" w:color="auto" w:sz="4" w:space="0"/>
                    <w:left w:val="single" w:color="auto" w:sz="4" w:space="0"/>
                    <w:bottom w:val="single" w:color="auto" w:sz="4" w:space="0"/>
                    <w:right w:val="single" w:color="auto" w:sz="4" w:space="0"/>
                  </w:tcBorders>
                  <w:noWrap/>
                  <w:vAlign w:val="center"/>
                </w:tcPr>
                <w:p w14:paraId="49005DE5">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Y</w:t>
                  </w:r>
                </w:p>
              </w:tc>
              <w:tc>
                <w:tcPr>
                  <w:tcW w:w="398" w:type="pct"/>
                  <w:tcBorders>
                    <w:top w:val="single" w:color="auto" w:sz="4" w:space="0"/>
                    <w:left w:val="single" w:color="auto" w:sz="4" w:space="0"/>
                    <w:bottom w:val="single" w:color="auto" w:sz="4" w:space="0"/>
                    <w:right w:val="single" w:color="auto" w:sz="4" w:space="0"/>
                  </w:tcBorders>
                  <w:noWrap/>
                  <w:vAlign w:val="center"/>
                </w:tcPr>
                <w:p w14:paraId="1B872B6F">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Z</w:t>
                  </w:r>
                </w:p>
              </w:tc>
              <w:tc>
                <w:tcPr>
                  <w:tcW w:w="547" w:type="pct"/>
                  <w:vMerge w:val="continue"/>
                  <w:tcBorders>
                    <w:top w:val="single" w:color="auto" w:sz="4" w:space="0"/>
                    <w:left w:val="single" w:color="auto" w:sz="4" w:space="0"/>
                    <w:bottom w:val="single" w:color="auto" w:sz="4" w:space="0"/>
                    <w:right w:val="single" w:color="auto" w:sz="4" w:space="0"/>
                  </w:tcBorders>
                  <w:noWrap/>
                  <w:vAlign w:val="center"/>
                </w:tcPr>
                <w:p w14:paraId="711C1866">
                  <w:pPr>
                    <w:widowControl/>
                    <w:jc w:val="center"/>
                    <w:rPr>
                      <w:rFonts w:ascii="Times New Roman" w:hAnsi="Times New Roman"/>
                      <w:bCs/>
                      <w:color w:val="auto"/>
                      <w:szCs w:val="21"/>
                      <w:highlight w:val="none"/>
                    </w:rPr>
                  </w:pPr>
                </w:p>
              </w:tc>
              <w:tc>
                <w:tcPr>
                  <w:tcW w:w="707" w:type="pct"/>
                  <w:vMerge w:val="continue"/>
                  <w:tcBorders>
                    <w:top w:val="single" w:color="auto" w:sz="4" w:space="0"/>
                    <w:left w:val="single" w:color="auto" w:sz="4" w:space="0"/>
                    <w:bottom w:val="single" w:color="auto" w:sz="4" w:space="0"/>
                    <w:right w:val="single" w:color="auto" w:sz="4" w:space="0"/>
                  </w:tcBorders>
                  <w:noWrap/>
                  <w:vAlign w:val="center"/>
                </w:tcPr>
                <w:p w14:paraId="2A8F4711">
                  <w:pPr>
                    <w:widowControl/>
                    <w:jc w:val="center"/>
                    <w:rPr>
                      <w:rFonts w:ascii="Times New Roman" w:hAnsi="Times New Roman"/>
                      <w:bCs/>
                      <w:color w:val="auto"/>
                      <w:szCs w:val="21"/>
                      <w:highlight w:val="none"/>
                    </w:rPr>
                  </w:pPr>
                </w:p>
              </w:tc>
              <w:tc>
                <w:tcPr>
                  <w:tcW w:w="615" w:type="pct"/>
                  <w:vMerge w:val="continue"/>
                  <w:tcBorders>
                    <w:left w:val="single" w:color="auto" w:sz="4" w:space="0"/>
                    <w:bottom w:val="single" w:color="auto" w:sz="4" w:space="0"/>
                    <w:right w:val="single" w:color="auto" w:sz="4" w:space="0"/>
                  </w:tcBorders>
                  <w:noWrap/>
                  <w:vAlign w:val="center"/>
                </w:tcPr>
                <w:p w14:paraId="14C0F97B">
                  <w:pPr>
                    <w:widowControl/>
                    <w:jc w:val="center"/>
                    <w:rPr>
                      <w:rFonts w:ascii="Times New Roman" w:hAnsi="Times New Roman"/>
                      <w:bCs/>
                      <w:color w:val="auto"/>
                      <w:szCs w:val="21"/>
                      <w:highlight w:val="none"/>
                    </w:rPr>
                  </w:pPr>
                </w:p>
              </w:tc>
            </w:tr>
            <w:tr w14:paraId="23E7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8EB709">
                  <w:pPr>
                    <w:jc w:val="center"/>
                    <w:rPr>
                      <w:rFonts w:hint="default" w:ascii="Times New Roman" w:hAnsi="Times New Roman"/>
                      <w:bCs/>
                      <w:color w:val="auto"/>
                      <w:szCs w:val="21"/>
                      <w:highlight w:val="none"/>
                      <w:lang w:val="en-US" w:eastAsia="zh-CN"/>
                    </w:rPr>
                  </w:pPr>
                  <w:r>
                    <w:rPr>
                      <w:rFonts w:hint="eastAsia" w:ascii="Times New Roman" w:hAnsi="Times New Roman"/>
                      <w:bCs/>
                      <w:color w:val="auto"/>
                      <w:szCs w:val="21"/>
                      <w:highlight w:val="none"/>
                      <w:lang w:val="en-US" w:eastAsia="zh-CN"/>
                    </w:rPr>
                    <w:t>40</w:t>
                  </w:r>
                  <w:r>
                    <w:rPr>
                      <w:rFonts w:hint="eastAsia" w:ascii="Times New Roman" w:hAnsi="Times New Roman"/>
                      <w:bCs/>
                      <w:color w:val="auto"/>
                      <w:szCs w:val="21"/>
                      <w:highlight w:val="none"/>
                    </w:rPr>
                    <w:t>-B</w:t>
                  </w:r>
                  <w:r>
                    <w:rPr>
                      <w:rFonts w:hint="eastAsia" w:ascii="Times New Roman" w:hAnsi="Times New Roman"/>
                      <w:bCs/>
                      <w:color w:val="auto"/>
                      <w:szCs w:val="21"/>
                      <w:highlight w:val="none"/>
                      <w:lang w:val="en-US" w:eastAsia="zh-CN"/>
                    </w:rPr>
                    <w:t>7</w:t>
                  </w:r>
                </w:p>
              </w:tc>
              <w:tc>
                <w:tcPr>
                  <w:tcW w:w="446" w:type="pct"/>
                  <w:tcBorders>
                    <w:top w:val="single" w:color="auto" w:sz="4" w:space="0"/>
                    <w:left w:val="single" w:color="auto" w:sz="4" w:space="0"/>
                    <w:bottom w:val="single" w:color="auto" w:sz="4" w:space="0"/>
                    <w:right w:val="single" w:color="auto" w:sz="4" w:space="0"/>
                  </w:tcBorders>
                  <w:noWrap/>
                  <w:vAlign w:val="center"/>
                </w:tcPr>
                <w:p w14:paraId="6977C9B6">
                  <w:pPr>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1#</w:t>
                  </w:r>
                </w:p>
              </w:tc>
              <w:tc>
                <w:tcPr>
                  <w:tcW w:w="860" w:type="pct"/>
                  <w:tcBorders>
                    <w:top w:val="single" w:color="auto" w:sz="4" w:space="0"/>
                    <w:left w:val="single" w:color="auto" w:sz="4" w:space="0"/>
                    <w:bottom w:val="single" w:color="auto" w:sz="4" w:space="0"/>
                    <w:right w:val="single" w:color="auto" w:sz="4" w:space="0"/>
                  </w:tcBorders>
                  <w:noWrap/>
                  <w:vAlign w:val="center"/>
                </w:tcPr>
                <w:p w14:paraId="10022C08">
                  <w:pPr>
                    <w:jc w:val="center"/>
                    <w:rPr>
                      <w:rFonts w:ascii="Times New Roman" w:hAnsi="Times New Roman"/>
                      <w:bCs/>
                      <w:color w:val="auto"/>
                      <w:szCs w:val="21"/>
                      <w:highlight w:val="none"/>
                    </w:rPr>
                  </w:pPr>
                  <w:r>
                    <w:rPr>
                      <w:rFonts w:hint="eastAsia" w:ascii="Times New Roman" w:hAnsi="Times New Roman"/>
                      <w:bCs/>
                      <w:color w:val="auto"/>
                      <w:szCs w:val="21"/>
                      <w:highlight w:val="none"/>
                    </w:rPr>
                    <w:t>3642949.867</w:t>
                  </w:r>
                </w:p>
              </w:tc>
              <w:tc>
                <w:tcPr>
                  <w:tcW w:w="908" w:type="pct"/>
                  <w:tcBorders>
                    <w:top w:val="single" w:color="auto" w:sz="4" w:space="0"/>
                    <w:left w:val="single" w:color="auto" w:sz="4" w:space="0"/>
                    <w:bottom w:val="single" w:color="auto" w:sz="4" w:space="0"/>
                    <w:right w:val="single" w:color="auto" w:sz="4" w:space="0"/>
                  </w:tcBorders>
                  <w:noWrap/>
                  <w:vAlign w:val="center"/>
                </w:tcPr>
                <w:p w14:paraId="2E23B05D">
                  <w:pPr>
                    <w:jc w:val="center"/>
                    <w:rPr>
                      <w:rFonts w:ascii="Times New Roman" w:hAnsi="Times New Roman"/>
                      <w:bCs/>
                      <w:color w:val="auto"/>
                      <w:szCs w:val="21"/>
                      <w:highlight w:val="none"/>
                    </w:rPr>
                  </w:pPr>
                  <w:r>
                    <w:rPr>
                      <w:rFonts w:hint="eastAsia" w:ascii="Times New Roman" w:hAnsi="Times New Roman"/>
                      <w:bCs/>
                      <w:color w:val="auto"/>
                      <w:szCs w:val="21"/>
                      <w:highlight w:val="none"/>
                    </w:rPr>
                    <w:t>39471126.942</w:t>
                  </w:r>
                </w:p>
              </w:tc>
              <w:tc>
                <w:tcPr>
                  <w:tcW w:w="398" w:type="pct"/>
                  <w:tcBorders>
                    <w:top w:val="single" w:color="auto" w:sz="4" w:space="0"/>
                    <w:left w:val="single" w:color="auto" w:sz="4" w:space="0"/>
                    <w:bottom w:val="single" w:color="auto" w:sz="4" w:space="0"/>
                    <w:right w:val="single" w:color="auto" w:sz="4" w:space="0"/>
                  </w:tcBorders>
                  <w:noWrap/>
                  <w:vAlign w:val="center"/>
                </w:tcPr>
                <w:p w14:paraId="51C62E1D">
                  <w:pPr>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22.9</w:t>
                  </w:r>
                </w:p>
              </w:tc>
              <w:tc>
                <w:tcPr>
                  <w:tcW w:w="547" w:type="pct"/>
                  <w:tcBorders>
                    <w:top w:val="single" w:color="auto" w:sz="4" w:space="0"/>
                    <w:left w:val="single" w:color="auto" w:sz="4" w:space="0"/>
                    <w:bottom w:val="single" w:color="auto" w:sz="4" w:space="0"/>
                    <w:right w:val="single" w:color="auto" w:sz="4" w:space="0"/>
                  </w:tcBorders>
                  <w:noWrap/>
                  <w:vAlign w:val="center"/>
                </w:tcPr>
                <w:p w14:paraId="7B6D8EC7">
                  <w:pPr>
                    <w:jc w:val="center"/>
                    <w:rPr>
                      <w:rFonts w:hint="default" w:ascii="Times New Roman" w:hAnsi="Times New Roman"/>
                      <w:bCs/>
                      <w:color w:val="auto"/>
                      <w:szCs w:val="21"/>
                      <w:highlight w:val="none"/>
                      <w:lang w:val="en-US"/>
                    </w:rPr>
                  </w:pPr>
                  <w:r>
                    <w:rPr>
                      <w:rFonts w:hint="eastAsia" w:ascii="Times New Roman" w:hAnsi="Times New Roman"/>
                      <w:bCs/>
                      <w:color w:val="auto"/>
                      <w:szCs w:val="21"/>
                      <w:highlight w:val="none"/>
                      <w:lang w:val="en-US" w:eastAsia="zh-CN"/>
                    </w:rPr>
                    <w:t>934</w:t>
                  </w:r>
                </w:p>
              </w:tc>
              <w:tc>
                <w:tcPr>
                  <w:tcW w:w="707" w:type="pct"/>
                  <w:vMerge w:val="restart"/>
                  <w:tcBorders>
                    <w:top w:val="single" w:color="auto" w:sz="4" w:space="0"/>
                    <w:left w:val="single" w:color="auto" w:sz="4" w:space="0"/>
                    <w:right w:val="single" w:color="auto" w:sz="4" w:space="0"/>
                  </w:tcBorders>
                  <w:noWrap/>
                  <w:vAlign w:val="center"/>
                </w:tcPr>
                <w:p w14:paraId="22FD3E20">
                  <w:pPr>
                    <w:jc w:val="center"/>
                    <w:rPr>
                      <w:rFonts w:ascii="Times New Roman" w:hAnsi="Times New Roman"/>
                      <w:bCs/>
                      <w:color w:val="auto"/>
                      <w:szCs w:val="21"/>
                      <w:highlight w:val="none"/>
                    </w:rPr>
                  </w:pPr>
                  <w:r>
                    <w:rPr>
                      <w:rFonts w:hint="eastAsia" w:ascii="Times New Roman" w:hAnsi="Times New Roman"/>
                      <w:bCs/>
                      <w:color w:val="auto"/>
                      <w:szCs w:val="21"/>
                      <w:highlight w:val="none"/>
                    </w:rPr>
                    <w:t>终孔深度以11-1煤为准</w:t>
                  </w:r>
                </w:p>
              </w:tc>
              <w:tc>
                <w:tcPr>
                  <w:tcW w:w="615" w:type="pct"/>
                  <w:tcBorders>
                    <w:top w:val="single" w:color="auto" w:sz="4" w:space="0"/>
                    <w:left w:val="single" w:color="auto" w:sz="4" w:space="0"/>
                    <w:right w:val="single" w:color="auto" w:sz="4" w:space="0"/>
                  </w:tcBorders>
                  <w:noWrap/>
                  <w:vAlign w:val="center"/>
                </w:tcPr>
                <w:p w14:paraId="4C88AB90">
                  <w:pPr>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94</w:t>
                  </w:r>
                </w:p>
              </w:tc>
            </w:tr>
            <w:tr w14:paraId="3961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BEC80C">
                  <w:pPr>
                    <w:jc w:val="center"/>
                    <w:rPr>
                      <w:rFonts w:hint="eastAsia" w:ascii="Times New Roman" w:hAnsi="Times New Roman"/>
                      <w:bCs/>
                      <w:color w:val="auto"/>
                      <w:szCs w:val="21"/>
                      <w:highlight w:val="none"/>
                      <w:lang w:val="en-US" w:eastAsia="zh-CN"/>
                    </w:rPr>
                  </w:pPr>
                  <w:r>
                    <w:rPr>
                      <w:rFonts w:hint="eastAsia" w:ascii="Times New Roman" w:hAnsi="Times New Roman"/>
                      <w:bCs/>
                      <w:color w:val="auto"/>
                      <w:szCs w:val="21"/>
                      <w:highlight w:val="none"/>
                      <w:lang w:val="en-US" w:eastAsia="zh-CN"/>
                    </w:rPr>
                    <w:t>39-B8</w:t>
                  </w:r>
                </w:p>
              </w:tc>
              <w:tc>
                <w:tcPr>
                  <w:tcW w:w="446" w:type="pct"/>
                  <w:tcBorders>
                    <w:top w:val="single" w:color="auto" w:sz="4" w:space="0"/>
                    <w:left w:val="single" w:color="auto" w:sz="4" w:space="0"/>
                    <w:bottom w:val="single" w:color="auto" w:sz="4" w:space="0"/>
                    <w:right w:val="single" w:color="auto" w:sz="4" w:space="0"/>
                  </w:tcBorders>
                  <w:noWrap/>
                  <w:vAlign w:val="center"/>
                </w:tcPr>
                <w:p w14:paraId="1BE8EA5F">
                  <w:pPr>
                    <w:jc w:val="center"/>
                    <w:rPr>
                      <w:rFonts w:hint="eastAsia" w:ascii="Times New Roman" w:hAnsi="Times New Roman"/>
                      <w:bCs/>
                      <w:color w:val="auto"/>
                      <w:szCs w:val="21"/>
                      <w:highlight w:val="none"/>
                    </w:rPr>
                  </w:pPr>
                  <w:r>
                    <w:rPr>
                      <w:rFonts w:hint="eastAsia" w:ascii="Times New Roman" w:hAnsi="Times New Roman"/>
                      <w:bCs/>
                      <w:color w:val="auto"/>
                      <w:szCs w:val="21"/>
                      <w:highlight w:val="none"/>
                      <w:lang w:val="en-US" w:eastAsia="zh-CN"/>
                    </w:rPr>
                    <w:t>2#</w:t>
                  </w:r>
                </w:p>
              </w:tc>
              <w:tc>
                <w:tcPr>
                  <w:tcW w:w="860" w:type="pct"/>
                  <w:tcBorders>
                    <w:top w:val="single" w:color="auto" w:sz="4" w:space="0"/>
                    <w:left w:val="single" w:color="auto" w:sz="4" w:space="0"/>
                    <w:bottom w:val="single" w:color="auto" w:sz="4" w:space="0"/>
                    <w:right w:val="single" w:color="auto" w:sz="4" w:space="0"/>
                  </w:tcBorders>
                  <w:noWrap/>
                  <w:vAlign w:val="center"/>
                </w:tcPr>
                <w:p w14:paraId="405EE00D">
                  <w:pPr>
                    <w:jc w:val="center"/>
                    <w:rPr>
                      <w:rFonts w:ascii="Times New Roman" w:hAnsi="Times New Roman"/>
                      <w:bCs/>
                      <w:color w:val="auto"/>
                      <w:szCs w:val="21"/>
                      <w:highlight w:val="none"/>
                    </w:rPr>
                  </w:pPr>
                  <w:r>
                    <w:rPr>
                      <w:rFonts w:hint="eastAsia" w:ascii="Times New Roman" w:hAnsi="Times New Roman"/>
                      <w:bCs/>
                      <w:color w:val="auto"/>
                      <w:szCs w:val="21"/>
                      <w:highlight w:val="none"/>
                    </w:rPr>
                    <w:t>3642838.582</w:t>
                  </w:r>
                </w:p>
              </w:tc>
              <w:tc>
                <w:tcPr>
                  <w:tcW w:w="908" w:type="pct"/>
                  <w:tcBorders>
                    <w:top w:val="single" w:color="auto" w:sz="4" w:space="0"/>
                    <w:left w:val="single" w:color="auto" w:sz="4" w:space="0"/>
                    <w:bottom w:val="single" w:color="auto" w:sz="4" w:space="0"/>
                    <w:right w:val="single" w:color="auto" w:sz="4" w:space="0"/>
                  </w:tcBorders>
                  <w:noWrap/>
                  <w:vAlign w:val="center"/>
                </w:tcPr>
                <w:p w14:paraId="4E20A86B">
                  <w:pPr>
                    <w:jc w:val="center"/>
                    <w:rPr>
                      <w:rFonts w:ascii="Times New Roman" w:hAnsi="Times New Roman"/>
                      <w:bCs/>
                      <w:color w:val="auto"/>
                      <w:szCs w:val="21"/>
                      <w:highlight w:val="none"/>
                    </w:rPr>
                  </w:pPr>
                  <w:r>
                    <w:rPr>
                      <w:rFonts w:hint="eastAsia" w:ascii="Times New Roman" w:hAnsi="Times New Roman"/>
                      <w:bCs/>
                      <w:color w:val="auto"/>
                      <w:szCs w:val="21"/>
                      <w:highlight w:val="none"/>
                    </w:rPr>
                    <w:t>39471536.298</w:t>
                  </w:r>
                </w:p>
              </w:tc>
              <w:tc>
                <w:tcPr>
                  <w:tcW w:w="398" w:type="pct"/>
                  <w:tcBorders>
                    <w:top w:val="single" w:color="auto" w:sz="4" w:space="0"/>
                    <w:left w:val="single" w:color="auto" w:sz="4" w:space="0"/>
                    <w:bottom w:val="single" w:color="auto" w:sz="4" w:space="0"/>
                    <w:right w:val="single" w:color="auto" w:sz="4" w:space="0"/>
                  </w:tcBorders>
                  <w:noWrap/>
                  <w:vAlign w:val="center"/>
                </w:tcPr>
                <w:p w14:paraId="26BDA024">
                  <w:pPr>
                    <w:jc w:val="center"/>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22.9</w:t>
                  </w:r>
                </w:p>
              </w:tc>
              <w:tc>
                <w:tcPr>
                  <w:tcW w:w="547" w:type="pct"/>
                  <w:tcBorders>
                    <w:top w:val="single" w:color="auto" w:sz="4" w:space="0"/>
                    <w:left w:val="single" w:color="auto" w:sz="4" w:space="0"/>
                    <w:bottom w:val="single" w:color="auto" w:sz="4" w:space="0"/>
                    <w:right w:val="single" w:color="auto" w:sz="4" w:space="0"/>
                  </w:tcBorders>
                  <w:noWrap/>
                  <w:vAlign w:val="center"/>
                </w:tcPr>
                <w:p w14:paraId="02224E17">
                  <w:pPr>
                    <w:jc w:val="center"/>
                    <w:rPr>
                      <w:rFonts w:hint="default" w:ascii="Times New Roman" w:hAnsi="Times New Roman"/>
                      <w:bCs/>
                      <w:color w:val="auto"/>
                      <w:szCs w:val="21"/>
                      <w:highlight w:val="none"/>
                      <w:lang w:val="en-US"/>
                    </w:rPr>
                  </w:pPr>
                  <w:r>
                    <w:rPr>
                      <w:rFonts w:hint="eastAsia" w:ascii="Times New Roman" w:hAnsi="Times New Roman"/>
                      <w:bCs/>
                      <w:color w:val="auto"/>
                      <w:szCs w:val="21"/>
                      <w:highlight w:val="none"/>
                      <w:lang w:val="en-US" w:eastAsia="zh-CN"/>
                    </w:rPr>
                    <w:t>951</w:t>
                  </w:r>
                </w:p>
              </w:tc>
              <w:tc>
                <w:tcPr>
                  <w:tcW w:w="707" w:type="pct"/>
                  <w:vMerge w:val="continue"/>
                  <w:tcBorders>
                    <w:left w:val="single" w:color="auto" w:sz="4" w:space="0"/>
                    <w:right w:val="single" w:color="auto" w:sz="4" w:space="0"/>
                  </w:tcBorders>
                  <w:noWrap/>
                  <w:vAlign w:val="center"/>
                </w:tcPr>
                <w:p w14:paraId="36B134C0">
                  <w:pPr>
                    <w:widowControl/>
                    <w:jc w:val="center"/>
                    <w:rPr>
                      <w:rFonts w:ascii="Times New Roman" w:hAnsi="Times New Roman"/>
                      <w:bCs/>
                      <w:color w:val="auto"/>
                      <w:szCs w:val="21"/>
                      <w:highlight w:val="none"/>
                    </w:rPr>
                  </w:pPr>
                </w:p>
              </w:tc>
              <w:tc>
                <w:tcPr>
                  <w:tcW w:w="615" w:type="pct"/>
                  <w:tcBorders>
                    <w:left w:val="single" w:color="auto" w:sz="4" w:space="0"/>
                    <w:right w:val="single" w:color="auto" w:sz="4" w:space="0"/>
                  </w:tcBorders>
                  <w:noWrap/>
                  <w:vAlign w:val="center"/>
                </w:tcPr>
                <w:p w14:paraId="1CDAD25C">
                  <w:pPr>
                    <w:widowControl/>
                    <w:jc w:val="center"/>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94</w:t>
                  </w:r>
                </w:p>
              </w:tc>
            </w:tr>
            <w:tr w14:paraId="4AEC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16" w:type="pct"/>
                  <w:tcBorders>
                    <w:top w:val="single" w:color="auto" w:sz="4" w:space="0"/>
                    <w:left w:val="single" w:color="auto" w:sz="4" w:space="0"/>
                    <w:bottom w:val="single" w:color="auto" w:sz="4" w:space="0"/>
                    <w:right w:val="single" w:color="auto" w:sz="4" w:space="0"/>
                  </w:tcBorders>
                  <w:noWrap/>
                  <w:vAlign w:val="center"/>
                </w:tcPr>
                <w:p w14:paraId="0F810161">
                  <w:pPr>
                    <w:jc w:val="center"/>
                    <w:rPr>
                      <w:rFonts w:hint="eastAsia" w:ascii="Times New Roman" w:hAnsi="Times New Roman"/>
                      <w:bCs/>
                      <w:color w:val="auto"/>
                      <w:szCs w:val="21"/>
                      <w:lang w:val="en-US" w:eastAsia="zh-CN"/>
                    </w:rPr>
                  </w:pPr>
                  <w:r>
                    <w:rPr>
                      <w:rFonts w:hint="eastAsia" w:ascii="Times New Roman" w:hAnsi="Times New Roman"/>
                      <w:bCs/>
                      <w:color w:val="auto"/>
                      <w:szCs w:val="21"/>
                      <w:highlight w:val="none"/>
                    </w:rPr>
                    <w:t>奥灰-1孔</w:t>
                  </w:r>
                </w:p>
              </w:tc>
              <w:tc>
                <w:tcPr>
                  <w:tcW w:w="446" w:type="pct"/>
                  <w:tcBorders>
                    <w:top w:val="single" w:color="auto" w:sz="4" w:space="0"/>
                    <w:left w:val="single" w:color="auto" w:sz="4" w:space="0"/>
                    <w:bottom w:val="single" w:color="auto" w:sz="4" w:space="0"/>
                    <w:right w:val="single" w:color="auto" w:sz="4" w:space="0"/>
                  </w:tcBorders>
                  <w:noWrap/>
                  <w:vAlign w:val="center"/>
                </w:tcPr>
                <w:p w14:paraId="00D685FB">
                  <w:pPr>
                    <w:jc w:val="center"/>
                    <w:rPr>
                      <w:rFonts w:hint="eastAsia" w:ascii="Times New Roman" w:hAnsi="Times New Roman"/>
                      <w:bCs/>
                      <w:color w:val="auto"/>
                      <w:szCs w:val="21"/>
                      <w:lang w:val="en-US" w:eastAsia="zh-CN"/>
                    </w:rPr>
                  </w:pPr>
                  <w:r>
                    <w:rPr>
                      <w:rFonts w:hint="eastAsia" w:ascii="Times New Roman" w:hAnsi="Times New Roman"/>
                      <w:bCs/>
                      <w:color w:val="auto"/>
                      <w:szCs w:val="21"/>
                      <w:highlight w:val="none"/>
                      <w:lang w:val="en-US" w:eastAsia="zh-CN"/>
                    </w:rPr>
                    <w:t>3#</w:t>
                  </w:r>
                </w:p>
              </w:tc>
              <w:tc>
                <w:tcPr>
                  <w:tcW w:w="860" w:type="pct"/>
                  <w:tcBorders>
                    <w:top w:val="single" w:color="auto" w:sz="4" w:space="0"/>
                    <w:left w:val="single" w:color="auto" w:sz="4" w:space="0"/>
                    <w:bottom w:val="single" w:color="auto" w:sz="4" w:space="0"/>
                    <w:right w:val="single" w:color="auto" w:sz="4" w:space="0"/>
                  </w:tcBorders>
                  <w:noWrap/>
                  <w:vAlign w:val="center"/>
                </w:tcPr>
                <w:p w14:paraId="6FB07A83">
                  <w:pPr>
                    <w:jc w:val="center"/>
                    <w:rPr>
                      <w:rFonts w:hint="eastAsia" w:ascii="Times New Roman" w:hAnsi="Times New Roman"/>
                      <w:bCs/>
                      <w:color w:val="auto"/>
                      <w:szCs w:val="21"/>
                    </w:rPr>
                  </w:pPr>
                  <w:r>
                    <w:rPr>
                      <w:rFonts w:hint="eastAsia" w:ascii="Times New Roman" w:hAnsi="Times New Roman"/>
                      <w:bCs/>
                      <w:color w:val="auto"/>
                      <w:szCs w:val="21"/>
                      <w:highlight w:val="none"/>
                    </w:rPr>
                    <w:t>39476686.58</w:t>
                  </w:r>
                </w:p>
              </w:tc>
              <w:tc>
                <w:tcPr>
                  <w:tcW w:w="908" w:type="pct"/>
                  <w:tcBorders>
                    <w:top w:val="single" w:color="auto" w:sz="4" w:space="0"/>
                    <w:left w:val="single" w:color="auto" w:sz="4" w:space="0"/>
                    <w:bottom w:val="single" w:color="auto" w:sz="4" w:space="0"/>
                    <w:right w:val="single" w:color="auto" w:sz="4" w:space="0"/>
                  </w:tcBorders>
                  <w:noWrap/>
                  <w:vAlign w:val="center"/>
                </w:tcPr>
                <w:p w14:paraId="132FF685">
                  <w:pPr>
                    <w:jc w:val="center"/>
                    <w:rPr>
                      <w:rFonts w:hint="eastAsia" w:ascii="Times New Roman" w:hAnsi="Times New Roman"/>
                      <w:bCs/>
                      <w:color w:val="auto"/>
                      <w:szCs w:val="21"/>
                    </w:rPr>
                  </w:pPr>
                  <w:r>
                    <w:rPr>
                      <w:rFonts w:hint="eastAsia" w:ascii="Times New Roman" w:hAnsi="Times New Roman"/>
                      <w:bCs/>
                      <w:color w:val="auto"/>
                      <w:szCs w:val="21"/>
                      <w:highlight w:val="none"/>
                    </w:rPr>
                    <w:t>3641919.01</w:t>
                  </w:r>
                </w:p>
              </w:tc>
              <w:tc>
                <w:tcPr>
                  <w:tcW w:w="398" w:type="pct"/>
                  <w:tcBorders>
                    <w:top w:val="single" w:color="auto" w:sz="4" w:space="0"/>
                    <w:left w:val="single" w:color="auto" w:sz="4" w:space="0"/>
                    <w:bottom w:val="single" w:color="auto" w:sz="4" w:space="0"/>
                    <w:right w:val="single" w:color="auto" w:sz="4" w:space="0"/>
                  </w:tcBorders>
                  <w:noWrap/>
                  <w:vAlign w:val="center"/>
                </w:tcPr>
                <w:p w14:paraId="672703B5">
                  <w:pPr>
                    <w:jc w:val="center"/>
                    <w:rPr>
                      <w:rFonts w:ascii="Times New Roman" w:hAnsi="Times New Roman"/>
                      <w:bCs/>
                      <w:color w:val="auto"/>
                      <w:szCs w:val="21"/>
                    </w:rPr>
                  </w:pPr>
                  <w:r>
                    <w:rPr>
                      <w:rFonts w:hint="eastAsia" w:ascii="Times New Roman" w:hAnsi="Times New Roman"/>
                      <w:bCs/>
                      <w:color w:val="auto"/>
                      <w:szCs w:val="21"/>
                      <w:highlight w:val="none"/>
                      <w:lang w:val="en-US" w:eastAsia="zh-CN"/>
                    </w:rPr>
                    <w:t>23.0</w:t>
                  </w:r>
                </w:p>
              </w:tc>
              <w:tc>
                <w:tcPr>
                  <w:tcW w:w="547" w:type="pct"/>
                  <w:tcBorders>
                    <w:top w:val="single" w:color="auto" w:sz="4" w:space="0"/>
                    <w:left w:val="single" w:color="auto" w:sz="4" w:space="0"/>
                    <w:bottom w:val="single" w:color="auto" w:sz="4" w:space="0"/>
                    <w:right w:val="single" w:color="auto" w:sz="4" w:space="0"/>
                  </w:tcBorders>
                  <w:noWrap/>
                  <w:vAlign w:val="center"/>
                </w:tcPr>
                <w:p w14:paraId="22EFB8F6">
                  <w:pPr>
                    <w:jc w:val="center"/>
                    <w:rPr>
                      <w:rFonts w:hint="eastAsia" w:ascii="Times New Roman" w:hAnsi="Times New Roman"/>
                      <w:bCs/>
                      <w:color w:val="auto"/>
                      <w:szCs w:val="21"/>
                      <w:lang w:val="en-US" w:eastAsia="zh-CN"/>
                    </w:rPr>
                  </w:pPr>
                  <w:r>
                    <w:rPr>
                      <w:rFonts w:hint="eastAsia" w:ascii="Times New Roman" w:hAnsi="Times New Roman"/>
                      <w:bCs/>
                      <w:color w:val="auto"/>
                      <w:szCs w:val="21"/>
                      <w:highlight w:val="none"/>
                      <w:lang w:val="en-US" w:eastAsia="zh-CN"/>
                    </w:rPr>
                    <w:t>1100</w:t>
                  </w:r>
                </w:p>
              </w:tc>
              <w:tc>
                <w:tcPr>
                  <w:tcW w:w="707" w:type="pct"/>
                  <w:tcBorders>
                    <w:left w:val="single" w:color="auto" w:sz="4" w:space="0"/>
                    <w:right w:val="single" w:color="auto" w:sz="4" w:space="0"/>
                  </w:tcBorders>
                  <w:noWrap/>
                  <w:vAlign w:val="center"/>
                </w:tcPr>
                <w:p w14:paraId="37A164DE">
                  <w:pPr>
                    <w:widowControl/>
                    <w:jc w:val="center"/>
                    <w:rPr>
                      <w:rFonts w:hint="eastAsia" w:ascii="Times New Roman" w:hAnsi="Times New Roman"/>
                      <w:bCs/>
                      <w:color w:val="auto"/>
                      <w:szCs w:val="21"/>
                      <w:highlight w:val="none"/>
                    </w:rPr>
                  </w:pPr>
                  <w:r>
                    <w:rPr>
                      <w:rFonts w:hint="eastAsia" w:ascii="Times New Roman" w:hAnsi="Times New Roman"/>
                      <w:bCs/>
                      <w:color w:val="auto"/>
                      <w:szCs w:val="21"/>
                      <w:highlight w:val="none"/>
                    </w:rPr>
                    <w:t>奥陶系</w:t>
                  </w:r>
                </w:p>
              </w:tc>
              <w:tc>
                <w:tcPr>
                  <w:tcW w:w="615" w:type="pct"/>
                  <w:tcBorders>
                    <w:left w:val="single" w:color="auto" w:sz="4" w:space="0"/>
                    <w:right w:val="single" w:color="auto" w:sz="4" w:space="0"/>
                  </w:tcBorders>
                  <w:noWrap/>
                  <w:vAlign w:val="center"/>
                </w:tcPr>
                <w:p w14:paraId="32797905">
                  <w:pPr>
                    <w:widowControl/>
                    <w:jc w:val="center"/>
                    <w:rPr>
                      <w:rFonts w:hint="eastAsia" w:ascii="Times New Roman" w:hAnsi="Times New Roman"/>
                      <w:bCs/>
                      <w:color w:val="auto"/>
                      <w:szCs w:val="21"/>
                      <w:lang w:val="en-US" w:eastAsia="zh-CN"/>
                    </w:rPr>
                  </w:pPr>
                  <w:r>
                    <w:rPr>
                      <w:rFonts w:hint="eastAsia" w:ascii="Times New Roman" w:hAnsi="Times New Roman"/>
                      <w:bCs/>
                      <w:color w:val="auto"/>
                      <w:szCs w:val="21"/>
                      <w:highlight w:val="none"/>
                      <w:lang w:val="en-US" w:eastAsia="zh-CN"/>
                    </w:rPr>
                    <w:t>146</w:t>
                  </w:r>
                </w:p>
              </w:tc>
            </w:tr>
          </w:tbl>
          <w:p w14:paraId="1DBC82A7">
            <w:pPr>
              <w:spacing w:line="360" w:lineRule="auto"/>
              <w:ind w:firstLine="482" w:firstLineChars="200"/>
              <w:rPr>
                <w:rFonts w:ascii="Times New Roman" w:hAnsi="Times New Roman"/>
                <w:b/>
                <w:bCs/>
                <w:color w:val="auto"/>
                <w:sz w:val="24"/>
                <w:highlight w:val="none"/>
                <w:shd w:val="clear" w:color="auto" w:fill="FFFFFF"/>
              </w:rPr>
            </w:pPr>
            <w:r>
              <w:rPr>
                <w:rFonts w:ascii="Times New Roman" w:hAnsi="Times New Roman"/>
                <w:b/>
                <w:bCs/>
                <w:color w:val="auto"/>
                <w:sz w:val="24"/>
                <w:highlight w:val="none"/>
                <w:shd w:val="clear" w:color="auto" w:fill="FFFFFF"/>
              </w:rPr>
              <w:t>4、项目工程任务</w:t>
            </w:r>
          </w:p>
          <w:p w14:paraId="00F306A0">
            <w:pPr>
              <w:tabs>
                <w:tab w:val="left" w:pos="4815"/>
              </w:tabs>
              <w:spacing w:line="360" w:lineRule="auto"/>
              <w:ind w:firstLine="480" w:firstLineChars="200"/>
              <w:rPr>
                <w:rFonts w:hint="eastAsia" w:ascii="Times New Roman" w:hAnsi="宋体"/>
                <w:color w:val="auto"/>
                <w:sz w:val="24"/>
                <w:highlight w:val="none"/>
              </w:rPr>
            </w:pPr>
            <w:r>
              <w:rPr>
                <w:rFonts w:hint="eastAsia" w:ascii="Times New Roman" w:hAnsi="宋体"/>
                <w:color w:val="auto"/>
                <w:sz w:val="24"/>
                <w:highlight w:val="none"/>
              </w:rPr>
              <w:t>4.1煤采区概况</w:t>
            </w:r>
          </w:p>
          <w:p w14:paraId="1B226BE7">
            <w:pPr>
              <w:tabs>
                <w:tab w:val="left" w:pos="4815"/>
              </w:tabs>
              <w:spacing w:line="360" w:lineRule="auto"/>
              <w:ind w:firstLine="480" w:firstLineChars="200"/>
              <w:rPr>
                <w:rFonts w:hint="eastAsia" w:ascii="Times New Roman" w:hAnsi="宋体" w:eastAsia="宋体"/>
                <w:color w:val="auto"/>
                <w:sz w:val="24"/>
                <w:highlight w:val="none"/>
                <w:lang w:eastAsia="zh-CN"/>
              </w:rPr>
            </w:pPr>
            <w:r>
              <w:rPr>
                <w:rFonts w:hint="eastAsia" w:ascii="Times New Roman" w:hAnsi="宋体"/>
                <w:color w:val="auto"/>
                <w:sz w:val="24"/>
                <w:highlight w:val="none"/>
              </w:rPr>
              <w:t>朱集西煤矿地处安徽省淮南市潘集区，矿井设计能力400万t，开采的煤层主要为二叠系山西组、下石盒子组和上石盒子组煤，为松散层覆盖下的全隐覆煤田，矿区松散层平均厚度为320-540m，井田总体构造形态为一轴向北西西的背、向斜。背斜轴部附近两翼地层倾角较大，为20°～25°，南部宽缓向斜地层倾角平缓，为5°～10°。目前矿井生产采区四个，分别为11-2四采区、11-2五采区、13-1煤五采区和13-1四采区，两个准备采区，分别为一采区和六采区。全矿井有17条勘探线控制，控制程度较高，勘探钻孔主要分布在中部南部，北部对井田边界和边界断层控制程度较低，井田东部和西部主要是探勘线密度不够，局部断层控制程度较弱</w:t>
            </w:r>
            <w:r>
              <w:rPr>
                <w:rFonts w:hint="eastAsia" w:ascii="Times New Roman" w:hAnsi="宋体"/>
                <w:color w:val="auto"/>
                <w:sz w:val="24"/>
                <w:highlight w:val="none"/>
                <w:lang w:eastAsia="zh-CN"/>
              </w:rPr>
              <w:t>，</w:t>
            </w:r>
            <w:r>
              <w:rPr>
                <w:rFonts w:hint="eastAsia" w:ascii="Times New Roman" w:hAnsi="宋体"/>
                <w:color w:val="auto"/>
                <w:sz w:val="24"/>
              </w:rPr>
              <w:t>存在一定地质勘探盲区。</w:t>
            </w:r>
          </w:p>
          <w:p w14:paraId="16E33AB9">
            <w:pPr>
              <w:tabs>
                <w:tab w:val="left" w:pos="4815"/>
              </w:tabs>
              <w:spacing w:line="360" w:lineRule="auto"/>
              <w:ind w:firstLine="480" w:firstLineChars="200"/>
              <w:rPr>
                <w:rFonts w:hint="eastAsia" w:ascii="Times New Roman" w:hAnsi="宋体"/>
                <w:color w:val="auto"/>
                <w:sz w:val="24"/>
                <w:highlight w:val="none"/>
              </w:rPr>
            </w:pPr>
            <w:r>
              <w:rPr>
                <w:rFonts w:hint="eastAsia" w:ascii="Times New Roman" w:hAnsi="宋体"/>
                <w:color w:val="auto"/>
                <w:sz w:val="24"/>
                <w:highlight w:val="none"/>
              </w:rPr>
              <w:t>4.2工作面概况</w:t>
            </w:r>
          </w:p>
          <w:p w14:paraId="15FCEFE1">
            <w:pPr>
              <w:tabs>
                <w:tab w:val="left" w:pos="4815"/>
              </w:tabs>
              <w:spacing w:line="360" w:lineRule="auto"/>
              <w:ind w:firstLine="480" w:firstLineChars="200"/>
              <w:rPr>
                <w:rFonts w:hint="eastAsia" w:ascii="Times New Roman" w:hAnsi="宋体"/>
                <w:color w:val="auto"/>
                <w:sz w:val="24"/>
                <w:highlight w:val="none"/>
              </w:rPr>
            </w:pPr>
            <w:r>
              <w:rPr>
                <w:rFonts w:hint="eastAsia" w:ascii="Times New Roman" w:hAnsi="宋体"/>
                <w:color w:val="auto"/>
                <w:sz w:val="24"/>
                <w:highlight w:val="none"/>
              </w:rPr>
              <w:t>（1）工作面情况</w:t>
            </w:r>
          </w:p>
          <w:p w14:paraId="4146E1FF">
            <w:pPr>
              <w:tabs>
                <w:tab w:val="left" w:pos="4815"/>
              </w:tabs>
              <w:spacing w:line="360" w:lineRule="auto"/>
              <w:ind w:firstLine="480" w:firstLineChars="200"/>
              <w:rPr>
                <w:rFonts w:hint="eastAsia" w:ascii="Times New Roman" w:hAnsi="Times New Roman"/>
                <w:color w:val="auto"/>
                <w:sz w:val="24"/>
                <w:highlight w:val="none"/>
              </w:rPr>
            </w:pPr>
            <w:r>
              <w:rPr>
                <w:rFonts w:hint="eastAsia" w:ascii="Times New Roman" w:hAnsi="宋体"/>
                <w:color w:val="auto"/>
                <w:sz w:val="24"/>
                <w:highlight w:val="none"/>
              </w:rPr>
              <w:t>朱集西煤矿202</w:t>
            </w:r>
            <w:r>
              <w:rPr>
                <w:rFonts w:hint="eastAsia" w:ascii="Times New Roman" w:hAnsi="宋体"/>
                <w:color w:val="auto"/>
                <w:sz w:val="24"/>
                <w:highlight w:val="none"/>
                <w:lang w:val="en-US" w:eastAsia="zh-CN"/>
              </w:rPr>
              <w:t>5</w:t>
            </w:r>
            <w:r>
              <w:rPr>
                <w:rFonts w:hint="eastAsia" w:ascii="Times New Roman" w:hAnsi="宋体"/>
                <w:color w:val="auto"/>
                <w:sz w:val="24"/>
                <w:highlight w:val="none"/>
              </w:rPr>
              <w:t>年地面补勘钻孔</w:t>
            </w:r>
            <w:r>
              <w:rPr>
                <w:rFonts w:hint="eastAsia" w:ascii="Times New Roman" w:hAnsi="宋体"/>
                <w:color w:val="auto"/>
                <w:sz w:val="24"/>
                <w:highlight w:val="none"/>
                <w:lang w:val="en-US" w:eastAsia="zh-CN"/>
              </w:rPr>
              <w:t>2</w:t>
            </w:r>
            <w:r>
              <w:rPr>
                <w:rFonts w:hint="eastAsia" w:ascii="Times New Roman" w:hAnsi="宋体"/>
                <w:color w:val="auto"/>
                <w:sz w:val="24"/>
                <w:highlight w:val="none"/>
              </w:rPr>
              <w:t>个</w:t>
            </w:r>
            <w:r>
              <w:rPr>
                <w:rFonts w:hint="eastAsia" w:ascii="Times New Roman" w:hAnsi="宋体"/>
                <w:color w:val="auto"/>
                <w:sz w:val="24"/>
                <w:highlight w:val="none"/>
                <w:lang w:eastAsia="zh-CN"/>
              </w:rPr>
              <w:t>，</w:t>
            </w:r>
            <w:r>
              <w:rPr>
                <w:rFonts w:hint="eastAsia" w:ascii="Times New Roman" w:hAnsi="宋体"/>
                <w:color w:val="auto"/>
                <w:sz w:val="24"/>
                <w:highlight w:val="none"/>
              </w:rPr>
              <w:t>地面奥灰长观孔</w:t>
            </w:r>
            <w:r>
              <w:rPr>
                <w:rFonts w:hint="eastAsia" w:ascii="Times New Roman" w:hAnsi="宋体"/>
                <w:color w:val="auto"/>
                <w:sz w:val="24"/>
                <w:highlight w:val="none"/>
                <w:lang w:val="en-US" w:eastAsia="zh-CN"/>
              </w:rPr>
              <w:t>1个，</w:t>
            </w:r>
            <w:r>
              <w:rPr>
                <w:rFonts w:hint="eastAsia" w:ascii="Times New Roman" w:hAnsi="宋体"/>
                <w:color w:val="auto"/>
                <w:sz w:val="24"/>
                <w:highlight w:val="none"/>
                <w:lang w:eastAsia="zh-CN"/>
              </w:rPr>
              <w:t>地面补勘钻孔项目工作面主要为一采区，涉及39、40、41勘探线及一采区西边界，需控制该区域FD10（可靠逆断层，∠40～60°、H=0～45m）、FD45（较弱逆断层，∠40-75°、H=0-20m）两条逆断层摆动情况及武集背斜构造，区域松散层厚度450～470m，同样含12层可采煤层，煤系富水性弱；地面奥灰长观孔项目工作面为井田内指定区域（孔口坐标X=39476686.58、Y=3641919.01、Z=+23.0），矿井水文地质条件中等，该孔设计孔深1100m，终孔层位为奥陶系，预计揭露奥灰含水层深度1003m、厚度260m，旨在长期监测奥灰含水层水位变化。</w:t>
            </w:r>
          </w:p>
          <w:p w14:paraId="4174E79B">
            <w:pPr>
              <w:overflowPunct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w:t>
            </w:r>
            <w:r>
              <w:rPr>
                <w:rFonts w:hint="eastAsia" w:ascii="Times New Roman" w:hAnsi="Times New Roman"/>
                <w:color w:val="auto"/>
                <w:sz w:val="24"/>
                <w:highlight w:val="none"/>
              </w:rPr>
              <w:t>2</w:t>
            </w:r>
            <w:r>
              <w:rPr>
                <w:rFonts w:ascii="Times New Roman" w:hAnsi="Times New Roman"/>
                <w:color w:val="auto"/>
                <w:sz w:val="24"/>
                <w:highlight w:val="none"/>
              </w:rPr>
              <w:t>）地质构造情况</w:t>
            </w:r>
          </w:p>
          <w:p w14:paraId="5E5B4B40">
            <w:pPr>
              <w:tabs>
                <w:tab w:val="left" w:pos="4815"/>
              </w:tabs>
              <w:spacing w:line="360" w:lineRule="auto"/>
              <w:ind w:firstLine="480" w:firstLineChars="200"/>
              <w:rPr>
                <w:rFonts w:hint="eastAsia" w:ascii="Times New Roman" w:hAnsi="宋体" w:eastAsia="宋体"/>
                <w:color w:val="auto"/>
                <w:sz w:val="24"/>
                <w:highlight w:val="none"/>
                <w:lang w:eastAsia="zh-CN"/>
              </w:rPr>
            </w:pPr>
            <w:r>
              <w:rPr>
                <w:rFonts w:hint="eastAsia" w:ascii="Times New Roman" w:hAnsi="宋体"/>
                <w:color w:val="auto"/>
                <w:sz w:val="24"/>
                <w:highlight w:val="none"/>
              </w:rPr>
              <w:t>本勘探区域主要含煤地层为二叠系山西组及上、下石盒子组，可分为七个含煤段</w:t>
            </w:r>
            <w:r>
              <w:rPr>
                <w:rFonts w:hint="eastAsia" w:ascii="Times New Roman" w:hAnsi="宋体"/>
                <w:color w:val="auto"/>
                <w:sz w:val="24"/>
                <w:highlight w:val="none"/>
                <w:lang w:eastAsia="zh-CN"/>
              </w:rPr>
              <w:t>。在本区勘探各可采煤层均为黑色，条痕褐黑色，沥青光泽～玻璃光泽为主，少量金刚光泽，土状光泽；以粉末状、块状、条带状结构为主，少量粒状及鳞片状；质脆，断口一般为参差状、阶梯状。宏观煤岩成分以暗煤、亮煤为主、夹少量镜煤条带和丝炭。宏观煤岩类型多为半暗型煤，少数为半亮型煤，局部有光亮型煤。</w:t>
            </w:r>
          </w:p>
          <w:p w14:paraId="3FF9BBD5">
            <w:pPr>
              <w:tabs>
                <w:tab w:val="left" w:pos="4815"/>
              </w:tabs>
              <w:spacing w:line="360" w:lineRule="auto"/>
              <w:ind w:firstLine="480" w:firstLineChars="200"/>
              <w:rPr>
                <w:rFonts w:hint="eastAsia" w:ascii="Times New Roman" w:hAnsi="宋体"/>
                <w:color w:val="auto"/>
                <w:sz w:val="24"/>
                <w:highlight w:val="none"/>
                <w:lang w:eastAsia="zh-CN"/>
              </w:rPr>
            </w:pPr>
            <w:r>
              <w:rPr>
                <w:rFonts w:hint="eastAsia" w:ascii="Times New Roman" w:hAnsi="宋体"/>
                <w:color w:val="auto"/>
                <w:sz w:val="24"/>
                <w:highlight w:val="none"/>
              </w:rPr>
              <w:t>勘探区域水文地质条件较为简单，新生界松散层厚度450～470m，松散层自上而下主要发育四个含水层三个隔水层，含水层分别为一含、二含、三含和四含，隔水层主要由粘土、砂质粘土及钙质粘土组成。基岩段二叠系上下石盒子组和山西组砂岩裂隙水为各煤层主要含水来源，本勘探区域附近31-1钻孔13-1煤层顶板砂岩含水层段抽水试验数据为：S=56.33m，Q=0.0041 l/s，q=0.000073 l/s﹒m，K=0.001287 m/d，R=20.21 m。现将各主要可采煤层顶板50m，底板20m内砂岩厚度统计如下表</w:t>
            </w:r>
            <w:r>
              <w:rPr>
                <w:rFonts w:hint="eastAsia" w:ascii="Times New Roman" w:hAnsi="宋体"/>
                <w:color w:val="auto"/>
                <w:sz w:val="24"/>
                <w:highlight w:val="none"/>
                <w:lang w:eastAsia="zh-CN"/>
              </w:rPr>
              <w:t>。</w:t>
            </w:r>
          </w:p>
          <w:p w14:paraId="479E33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 xml:space="preserve">表2-3  </w:t>
            </w:r>
            <w:r>
              <w:rPr>
                <w:rFonts w:hint="eastAsia" w:ascii="Times New Roman" w:hAnsi="Times New Roman" w:eastAsia="宋体" w:cs="Times New Roman"/>
                <w:b/>
                <w:color w:val="auto"/>
                <w:szCs w:val="21"/>
                <w:highlight w:val="none"/>
              </w:rPr>
              <w:t>勘探区</w:t>
            </w:r>
            <w:r>
              <w:rPr>
                <w:rFonts w:hint="eastAsia" w:ascii="Times New Roman" w:hAnsi="Times New Roman" w:eastAsia="宋体" w:cs="Times New Roman"/>
                <w:b/>
                <w:color w:val="auto"/>
                <w:szCs w:val="21"/>
                <w:highlight w:val="none"/>
                <w:lang w:val="en-US" w:eastAsia="zh-CN"/>
              </w:rPr>
              <w:t>煤顶底板砂岩厚度</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93"/>
              <w:gridCol w:w="1393"/>
              <w:gridCol w:w="1393"/>
              <w:gridCol w:w="1459"/>
              <w:gridCol w:w="1347"/>
            </w:tblGrid>
            <w:tr w14:paraId="65C3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noWrap w:val="0"/>
                  <w:vAlign w:val="center"/>
                </w:tcPr>
                <w:p w14:paraId="155B878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煤层</w:t>
                  </w:r>
                </w:p>
                <w:p w14:paraId="323FB60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888" w:type="pct"/>
                  <w:noWrap w:val="0"/>
                  <w:vAlign w:val="center"/>
                </w:tcPr>
                <w:p w14:paraId="05F5B77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13-1煤顶底板砂岩厚度（m）</w:t>
                  </w:r>
                </w:p>
              </w:tc>
              <w:tc>
                <w:tcPr>
                  <w:tcW w:w="888" w:type="pct"/>
                  <w:noWrap w:val="0"/>
                  <w:vAlign w:val="center"/>
                </w:tcPr>
                <w:p w14:paraId="09781F7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11-2煤顶底板砂岩厚度（m）</w:t>
                  </w:r>
                </w:p>
              </w:tc>
              <w:tc>
                <w:tcPr>
                  <w:tcW w:w="888" w:type="pct"/>
                  <w:noWrap w:val="0"/>
                  <w:vAlign w:val="center"/>
                </w:tcPr>
                <w:p w14:paraId="56ED643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8煤顶底板砂岩厚度（m）</w:t>
                  </w:r>
                </w:p>
              </w:tc>
              <w:tc>
                <w:tcPr>
                  <w:tcW w:w="930" w:type="pct"/>
                  <w:noWrap w:val="0"/>
                  <w:vAlign w:val="center"/>
                </w:tcPr>
                <w:p w14:paraId="2D5CA6A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5-1煤顶底板砂岩厚度（m）</w:t>
                  </w:r>
                </w:p>
              </w:tc>
              <w:tc>
                <w:tcPr>
                  <w:tcW w:w="859" w:type="pct"/>
                  <w:noWrap w:val="0"/>
                  <w:vAlign w:val="center"/>
                </w:tcPr>
                <w:p w14:paraId="41C57E6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4-1煤顶底板砂岩厚度（m）</w:t>
                  </w:r>
                </w:p>
              </w:tc>
            </w:tr>
            <w:tr w14:paraId="4F42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noWrap w:val="0"/>
                  <w:vAlign w:val="center"/>
                </w:tcPr>
                <w:p w14:paraId="25E3FB0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最小值</w:t>
                  </w:r>
                </w:p>
              </w:tc>
              <w:tc>
                <w:tcPr>
                  <w:tcW w:w="888" w:type="pct"/>
                  <w:noWrap w:val="0"/>
                  <w:vAlign w:val="center"/>
                </w:tcPr>
                <w:p w14:paraId="4D1C17E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888" w:type="pct"/>
                  <w:noWrap w:val="0"/>
                  <w:vAlign w:val="center"/>
                </w:tcPr>
                <w:p w14:paraId="00EA636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888" w:type="pct"/>
                  <w:noWrap w:val="0"/>
                  <w:vAlign w:val="center"/>
                </w:tcPr>
                <w:p w14:paraId="162B894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930" w:type="pct"/>
                  <w:noWrap w:val="0"/>
                  <w:vAlign w:val="center"/>
                </w:tcPr>
                <w:p w14:paraId="07A95C3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8.7</w:t>
                  </w:r>
                </w:p>
              </w:tc>
              <w:tc>
                <w:tcPr>
                  <w:tcW w:w="859" w:type="pct"/>
                  <w:noWrap w:val="0"/>
                  <w:vAlign w:val="center"/>
                </w:tcPr>
                <w:p w14:paraId="27F1A19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5350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noWrap w:val="0"/>
                  <w:vAlign w:val="center"/>
                </w:tcPr>
                <w:p w14:paraId="3932C49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最大值</w:t>
                  </w:r>
                </w:p>
              </w:tc>
              <w:tc>
                <w:tcPr>
                  <w:tcW w:w="888" w:type="pct"/>
                  <w:noWrap w:val="0"/>
                  <w:vAlign w:val="center"/>
                </w:tcPr>
                <w:p w14:paraId="7AB4AB5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13.0</w:t>
                  </w:r>
                </w:p>
              </w:tc>
              <w:tc>
                <w:tcPr>
                  <w:tcW w:w="888" w:type="pct"/>
                  <w:noWrap w:val="0"/>
                  <w:vAlign w:val="center"/>
                </w:tcPr>
                <w:p w14:paraId="62BDEA0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w:t>
                  </w:r>
                </w:p>
              </w:tc>
              <w:tc>
                <w:tcPr>
                  <w:tcW w:w="888" w:type="pct"/>
                  <w:noWrap w:val="0"/>
                  <w:vAlign w:val="center"/>
                </w:tcPr>
                <w:p w14:paraId="1EFE855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930" w:type="pct"/>
                  <w:noWrap w:val="0"/>
                  <w:vAlign w:val="center"/>
                </w:tcPr>
                <w:p w14:paraId="3C3A936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15.6</w:t>
                  </w:r>
                </w:p>
              </w:tc>
              <w:tc>
                <w:tcPr>
                  <w:tcW w:w="859" w:type="pct"/>
                  <w:noWrap w:val="0"/>
                  <w:vAlign w:val="center"/>
                </w:tcPr>
                <w:p w14:paraId="2FFCC3C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w:t>
                  </w:r>
                </w:p>
              </w:tc>
            </w:tr>
            <w:tr w14:paraId="5B49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noWrap w:val="0"/>
                  <w:vAlign w:val="center"/>
                </w:tcPr>
                <w:p w14:paraId="3129404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平均值</w:t>
                  </w:r>
                </w:p>
              </w:tc>
              <w:tc>
                <w:tcPr>
                  <w:tcW w:w="888" w:type="pct"/>
                  <w:noWrap w:val="0"/>
                  <w:vAlign w:val="center"/>
                </w:tcPr>
                <w:p w14:paraId="36A30B8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w:t>
                  </w:r>
                </w:p>
              </w:tc>
              <w:tc>
                <w:tcPr>
                  <w:tcW w:w="888" w:type="pct"/>
                  <w:noWrap w:val="0"/>
                  <w:vAlign w:val="center"/>
                </w:tcPr>
                <w:p w14:paraId="660D39C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w:t>
                  </w:r>
                </w:p>
              </w:tc>
              <w:tc>
                <w:tcPr>
                  <w:tcW w:w="888" w:type="pct"/>
                  <w:noWrap w:val="0"/>
                  <w:vAlign w:val="center"/>
                </w:tcPr>
                <w:p w14:paraId="285AB43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10.1</w:t>
                  </w:r>
                </w:p>
              </w:tc>
              <w:tc>
                <w:tcPr>
                  <w:tcW w:w="930" w:type="pct"/>
                  <w:noWrap w:val="0"/>
                  <w:vAlign w:val="center"/>
                </w:tcPr>
                <w:p w14:paraId="6955A0C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w:t>
                  </w:r>
                </w:p>
              </w:tc>
              <w:tc>
                <w:tcPr>
                  <w:tcW w:w="859" w:type="pct"/>
                  <w:noWrap w:val="0"/>
                  <w:vAlign w:val="center"/>
                </w:tcPr>
                <w:p w14:paraId="57578E5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bl>
          <w:p w14:paraId="4E6A1870">
            <w:pPr>
              <w:tabs>
                <w:tab w:val="left" w:pos="4815"/>
              </w:tabs>
              <w:spacing w:line="360" w:lineRule="auto"/>
              <w:ind w:firstLine="480" w:firstLineChars="200"/>
              <w:rPr>
                <w:rFonts w:ascii="Times New Roman" w:hAnsi="Times New Roman"/>
                <w:color w:val="auto"/>
                <w:highlight w:val="none"/>
              </w:rPr>
            </w:pPr>
            <w:r>
              <w:rPr>
                <w:rFonts w:hint="eastAsia" w:ascii="Times New Roman" w:hAnsi="宋体"/>
                <w:color w:val="auto"/>
                <w:sz w:val="24"/>
                <w:highlight w:val="none"/>
              </w:rPr>
              <w:t>从</w:t>
            </w:r>
            <w:r>
              <w:rPr>
                <w:rFonts w:hint="eastAsia" w:ascii="Times New Roman" w:hAnsi="宋体"/>
                <w:color w:val="auto"/>
                <w:sz w:val="24"/>
                <w:highlight w:val="none"/>
                <w:lang w:val="en-US" w:eastAsia="zh-CN"/>
              </w:rPr>
              <w:t>上表</w:t>
            </w:r>
            <w:r>
              <w:rPr>
                <w:rFonts w:hint="eastAsia" w:ascii="Times New Roman" w:hAnsi="宋体"/>
                <w:color w:val="auto"/>
                <w:sz w:val="24"/>
                <w:highlight w:val="none"/>
              </w:rPr>
              <w:t>可以看出，主要可采煤层顶底板砂岩厚度变化较大，煤系砂岩的富水性又取决于砂岩裂隙的发育程度、开启大小和延展长度，而裂隙发育的不均一性，导致煤系富水性有很大差异。据周围煤系地层抽水试验资料及区域资料钻孔单位涌水量较小，煤系富水性弱，从抽水Q~S曲线分析向“疏干”方向变化，停抽后，水位恢复缓慢。表明是以储存量为主的不均一裂隙含水层（段）。</w:t>
            </w:r>
          </w:p>
        </w:tc>
      </w:tr>
    </w:tbl>
    <w:p w14:paraId="06090C46">
      <w:pPr>
        <w:pStyle w:val="21"/>
        <w:jc w:val="center"/>
        <w:outlineLvl w:val="0"/>
        <w:rPr>
          <w:rFonts w:ascii="Times New Roman" w:hAnsi="Times New Roman" w:eastAsia="黑体"/>
          <w:snapToGrid w:val="0"/>
          <w:color w:val="auto"/>
          <w:sz w:val="30"/>
          <w:szCs w:val="30"/>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3753"/>
      </w:tblGrid>
      <w:tr w14:paraId="7566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dxa"/>
            <w:vAlign w:val="center"/>
          </w:tcPr>
          <w:p w14:paraId="5E0C87FF">
            <w:pPr>
              <w:adjustRightInd w:val="0"/>
              <w:snapToGrid w:val="0"/>
              <w:jc w:val="center"/>
              <w:rPr>
                <w:rFonts w:ascii="Times New Roman" w:hAnsi="Times New Roman" w:eastAsia="黑体"/>
                <w:snapToGrid w:val="0"/>
                <w:color w:val="auto"/>
                <w:sz w:val="30"/>
                <w:szCs w:val="30"/>
                <w:highlight w:val="none"/>
              </w:rPr>
            </w:pPr>
            <w:r>
              <w:rPr>
                <w:rFonts w:hint="eastAsia" w:ascii="Times New Roman" w:hAnsi="Times New Roman"/>
                <w:color w:val="auto"/>
                <w:kern w:val="0"/>
                <w:sz w:val="24"/>
                <w:highlight w:val="none"/>
              </w:rPr>
              <w:t>项目组成及规模</w:t>
            </w:r>
          </w:p>
        </w:tc>
        <w:tc>
          <w:tcPr>
            <w:tcW w:w="13753" w:type="dxa"/>
          </w:tcPr>
          <w:p w14:paraId="020645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表2-4  钻孔点位及井场现状一览表</w:t>
            </w:r>
          </w:p>
          <w:tbl>
            <w:tblPr>
              <w:tblStyle w:val="24"/>
              <w:tblW w:w="13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991"/>
              <w:gridCol w:w="1662"/>
              <w:gridCol w:w="6056"/>
              <w:gridCol w:w="870"/>
              <w:gridCol w:w="1170"/>
              <w:gridCol w:w="1192"/>
              <w:gridCol w:w="1031"/>
            </w:tblGrid>
            <w:tr w14:paraId="7108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 w:type="pct"/>
                  <w:vAlign w:val="center"/>
                </w:tcPr>
                <w:p w14:paraId="7F89322F">
                  <w:pPr>
                    <w:pStyle w:val="37"/>
                    <w:spacing w:before="0"/>
                    <w:rPr>
                      <w:rFonts w:cs="Times New Roman"/>
                      <w:b/>
                      <w:bCs/>
                      <w:sz w:val="21"/>
                    </w:rPr>
                  </w:pPr>
                  <w:r>
                    <w:rPr>
                      <w:rFonts w:cs="Times New Roman"/>
                      <w:b/>
                      <w:bCs/>
                      <w:sz w:val="21"/>
                    </w:rPr>
                    <w:t>序号</w:t>
                  </w:r>
                </w:p>
              </w:tc>
              <w:tc>
                <w:tcPr>
                  <w:tcW w:w="366" w:type="pct"/>
                  <w:vAlign w:val="center"/>
                </w:tcPr>
                <w:p w14:paraId="42CE5104">
                  <w:pPr>
                    <w:pStyle w:val="37"/>
                    <w:spacing w:before="0"/>
                    <w:rPr>
                      <w:rFonts w:cs="Times New Roman"/>
                      <w:b/>
                      <w:bCs/>
                      <w:sz w:val="21"/>
                    </w:rPr>
                  </w:pPr>
                  <w:r>
                    <w:rPr>
                      <w:rFonts w:cs="Times New Roman"/>
                      <w:b/>
                      <w:bCs/>
                      <w:sz w:val="21"/>
                    </w:rPr>
                    <w:t>钻孔孔位及编号</w:t>
                  </w:r>
                </w:p>
              </w:tc>
              <w:tc>
                <w:tcPr>
                  <w:tcW w:w="614" w:type="pct"/>
                  <w:vAlign w:val="center"/>
                </w:tcPr>
                <w:p w14:paraId="29E82F9A">
                  <w:pPr>
                    <w:pStyle w:val="37"/>
                    <w:spacing w:before="0"/>
                    <w:rPr>
                      <w:rFonts w:cs="Times New Roman"/>
                      <w:b/>
                      <w:bCs/>
                      <w:sz w:val="21"/>
                    </w:rPr>
                  </w:pPr>
                  <w:r>
                    <w:rPr>
                      <w:rFonts w:cs="Times New Roman"/>
                      <w:b/>
                      <w:bCs/>
                      <w:sz w:val="21"/>
                    </w:rPr>
                    <w:t>钻孔坐标</w:t>
                  </w:r>
                </w:p>
              </w:tc>
              <w:tc>
                <w:tcPr>
                  <w:tcW w:w="2238" w:type="pct"/>
                  <w:vAlign w:val="center"/>
                </w:tcPr>
                <w:p w14:paraId="6765B55D">
                  <w:pPr>
                    <w:pStyle w:val="37"/>
                    <w:spacing w:before="0"/>
                    <w:rPr>
                      <w:rFonts w:cs="Times New Roman"/>
                      <w:b/>
                      <w:bCs/>
                      <w:sz w:val="21"/>
                    </w:rPr>
                  </w:pPr>
                  <w:r>
                    <w:rPr>
                      <w:rFonts w:cs="Times New Roman"/>
                      <w:b/>
                      <w:bCs/>
                      <w:sz w:val="21"/>
                    </w:rPr>
                    <w:t>现状图片</w:t>
                  </w:r>
                </w:p>
              </w:tc>
              <w:tc>
                <w:tcPr>
                  <w:tcW w:w="321" w:type="pct"/>
                  <w:vAlign w:val="center"/>
                </w:tcPr>
                <w:p w14:paraId="63CC8373">
                  <w:pPr>
                    <w:pStyle w:val="37"/>
                    <w:spacing w:before="0"/>
                    <w:rPr>
                      <w:rFonts w:cs="Times New Roman"/>
                      <w:b/>
                      <w:bCs/>
                      <w:sz w:val="21"/>
                    </w:rPr>
                  </w:pPr>
                  <w:r>
                    <w:rPr>
                      <w:rFonts w:cs="Times New Roman"/>
                      <w:b/>
                      <w:bCs/>
                      <w:sz w:val="21"/>
                    </w:rPr>
                    <w:t>占地类型</w:t>
                  </w:r>
                </w:p>
              </w:tc>
              <w:tc>
                <w:tcPr>
                  <w:tcW w:w="432" w:type="pct"/>
                  <w:vAlign w:val="center"/>
                </w:tcPr>
                <w:p w14:paraId="5E03FB10">
                  <w:pPr>
                    <w:pStyle w:val="37"/>
                    <w:spacing w:before="0"/>
                    <w:rPr>
                      <w:rFonts w:cs="Times New Roman"/>
                      <w:b/>
                      <w:bCs/>
                      <w:color w:val="auto"/>
                      <w:sz w:val="21"/>
                      <w:highlight w:val="none"/>
                    </w:rPr>
                  </w:pPr>
                  <w:r>
                    <w:rPr>
                      <w:rFonts w:cs="Times New Roman"/>
                      <w:b/>
                      <w:bCs/>
                      <w:color w:val="auto"/>
                      <w:sz w:val="21"/>
                      <w:highlight w:val="none"/>
                    </w:rPr>
                    <w:t>井场占地面积（m</w:t>
                  </w:r>
                  <w:r>
                    <w:rPr>
                      <w:rFonts w:cs="Times New Roman"/>
                      <w:b/>
                      <w:bCs/>
                      <w:color w:val="auto"/>
                      <w:sz w:val="21"/>
                      <w:highlight w:val="none"/>
                      <w:vertAlign w:val="superscript"/>
                    </w:rPr>
                    <w:t>2</w:t>
                  </w:r>
                  <w:r>
                    <w:rPr>
                      <w:rFonts w:cs="Times New Roman"/>
                      <w:b/>
                      <w:bCs/>
                      <w:color w:val="auto"/>
                      <w:sz w:val="21"/>
                      <w:highlight w:val="none"/>
                    </w:rPr>
                    <w:t>）</w:t>
                  </w:r>
                </w:p>
              </w:tc>
              <w:tc>
                <w:tcPr>
                  <w:tcW w:w="440" w:type="pct"/>
                  <w:vAlign w:val="center"/>
                </w:tcPr>
                <w:p w14:paraId="036EA1E0">
                  <w:pPr>
                    <w:pStyle w:val="37"/>
                    <w:spacing w:before="0"/>
                    <w:rPr>
                      <w:rFonts w:cs="Times New Roman"/>
                      <w:b/>
                      <w:bCs/>
                      <w:color w:val="auto"/>
                      <w:sz w:val="21"/>
                      <w:highlight w:val="none"/>
                    </w:rPr>
                  </w:pPr>
                  <w:r>
                    <w:rPr>
                      <w:rFonts w:hint="eastAsia" w:cs="Times New Roman"/>
                      <w:b/>
                      <w:bCs/>
                      <w:color w:val="auto"/>
                      <w:sz w:val="21"/>
                      <w:highlight w:val="none"/>
                      <w:lang w:val="en-US" w:eastAsia="zh-CN"/>
                    </w:rPr>
                    <w:t>表土堆放区占地面积</w:t>
                  </w:r>
                  <w:r>
                    <w:rPr>
                      <w:rFonts w:cs="Times New Roman"/>
                      <w:b/>
                      <w:bCs/>
                      <w:color w:val="auto"/>
                      <w:sz w:val="21"/>
                      <w:highlight w:val="none"/>
                    </w:rPr>
                    <w:t>（m</w:t>
                  </w:r>
                  <w:r>
                    <w:rPr>
                      <w:rFonts w:cs="Times New Roman"/>
                      <w:b/>
                      <w:bCs/>
                      <w:color w:val="auto"/>
                      <w:sz w:val="21"/>
                      <w:highlight w:val="none"/>
                      <w:vertAlign w:val="superscript"/>
                    </w:rPr>
                    <w:t>2</w:t>
                  </w:r>
                  <w:r>
                    <w:rPr>
                      <w:rFonts w:cs="Times New Roman"/>
                      <w:b/>
                      <w:bCs/>
                      <w:color w:val="auto"/>
                      <w:sz w:val="21"/>
                      <w:highlight w:val="none"/>
                    </w:rPr>
                    <w:t>）</w:t>
                  </w:r>
                </w:p>
              </w:tc>
              <w:tc>
                <w:tcPr>
                  <w:tcW w:w="381" w:type="pct"/>
                  <w:shd w:val="clear" w:color="auto" w:fill="auto"/>
                  <w:vAlign w:val="center"/>
                </w:tcPr>
                <w:p w14:paraId="48B71006">
                  <w:pPr>
                    <w:pStyle w:val="37"/>
                    <w:spacing w:before="0"/>
                    <w:rPr>
                      <w:rFonts w:ascii="Times New Roman" w:hAnsi="Times New Roman" w:eastAsia="宋体" w:cs="Times New Roman"/>
                      <w:b/>
                      <w:bCs/>
                      <w:snapToGrid w:val="0"/>
                      <w:color w:val="auto"/>
                      <w:kern w:val="2"/>
                      <w:sz w:val="21"/>
                      <w:szCs w:val="21"/>
                      <w:highlight w:val="none"/>
                      <w:lang w:val="en-US" w:eastAsia="zh-CN" w:bidi="ar-SA"/>
                    </w:rPr>
                  </w:pPr>
                  <w:r>
                    <w:rPr>
                      <w:rFonts w:cs="Times New Roman"/>
                      <w:b/>
                      <w:bCs/>
                      <w:color w:val="auto"/>
                      <w:sz w:val="21"/>
                      <w:highlight w:val="none"/>
                    </w:rPr>
                    <w:t>表土剥离量（m</w:t>
                  </w:r>
                  <w:r>
                    <w:rPr>
                      <w:rFonts w:cs="Times New Roman"/>
                      <w:b/>
                      <w:bCs/>
                      <w:color w:val="auto"/>
                      <w:sz w:val="21"/>
                      <w:highlight w:val="none"/>
                      <w:vertAlign w:val="superscript"/>
                    </w:rPr>
                    <w:t>3</w:t>
                  </w:r>
                  <w:r>
                    <w:rPr>
                      <w:rFonts w:cs="Times New Roman"/>
                      <w:b/>
                      <w:bCs/>
                      <w:color w:val="auto"/>
                      <w:sz w:val="21"/>
                      <w:highlight w:val="none"/>
                    </w:rPr>
                    <w:t>）</w:t>
                  </w:r>
                </w:p>
              </w:tc>
            </w:tr>
            <w:tr w14:paraId="6319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 w:type="pct"/>
                  <w:vAlign w:val="center"/>
                </w:tcPr>
                <w:p w14:paraId="220AD1FF">
                  <w:pPr>
                    <w:pStyle w:val="37"/>
                    <w:spacing w:before="0"/>
                    <w:rPr>
                      <w:rFonts w:cs="Times New Roman"/>
                      <w:sz w:val="21"/>
                    </w:rPr>
                  </w:pPr>
                  <w:r>
                    <w:rPr>
                      <w:rFonts w:cs="Times New Roman"/>
                      <w:sz w:val="21"/>
                    </w:rPr>
                    <w:t>1</w:t>
                  </w:r>
                </w:p>
              </w:tc>
              <w:tc>
                <w:tcPr>
                  <w:tcW w:w="366" w:type="pct"/>
                  <w:vAlign w:val="center"/>
                </w:tcPr>
                <w:p w14:paraId="23B2E956">
                  <w:pPr>
                    <w:jc w:val="center"/>
                    <w:rPr>
                      <w:rFonts w:ascii="Times New Roman" w:hAnsi="Times New Roman"/>
                      <w:bCs/>
                      <w:szCs w:val="21"/>
                    </w:rPr>
                  </w:pPr>
                  <w:r>
                    <w:rPr>
                      <w:rFonts w:ascii="Times New Roman" w:hAnsi="Times New Roman"/>
                      <w:bCs/>
                      <w:szCs w:val="21"/>
                    </w:rPr>
                    <w:t>40-B7（</w:t>
                  </w:r>
                  <w:r>
                    <w:rPr>
                      <w:rFonts w:hint="eastAsia" w:ascii="Times New Roman" w:hAnsi="Times New Roman"/>
                      <w:bCs/>
                      <w:szCs w:val="21"/>
                      <w:lang w:val="en-US" w:eastAsia="zh-CN"/>
                    </w:rPr>
                    <w:t>1</w:t>
                  </w:r>
                  <w:r>
                    <w:rPr>
                      <w:rFonts w:ascii="Times New Roman" w:hAnsi="Times New Roman"/>
                      <w:bCs/>
                      <w:szCs w:val="21"/>
                    </w:rPr>
                    <w:t>#）</w:t>
                  </w:r>
                </w:p>
              </w:tc>
              <w:tc>
                <w:tcPr>
                  <w:tcW w:w="614" w:type="pct"/>
                  <w:vAlign w:val="center"/>
                </w:tcPr>
                <w:p w14:paraId="50FF4B9D">
                  <w:pPr>
                    <w:pStyle w:val="37"/>
                    <w:spacing w:before="0"/>
                    <w:rPr>
                      <w:rFonts w:cs="Times New Roman"/>
                      <w:sz w:val="21"/>
                    </w:rPr>
                  </w:pPr>
                  <w:r>
                    <w:rPr>
                      <w:rFonts w:cs="Times New Roman"/>
                      <w:sz w:val="21"/>
                    </w:rPr>
                    <w:t>116°41'52.1437"，32°54'33.4447"</w:t>
                  </w:r>
                </w:p>
              </w:tc>
              <w:tc>
                <w:tcPr>
                  <w:tcW w:w="2238" w:type="pct"/>
                  <w:vAlign w:val="center"/>
                </w:tcPr>
                <w:p w14:paraId="1842DC14">
                  <w:pPr>
                    <w:pStyle w:val="37"/>
                    <w:spacing w:before="0"/>
                    <w:rPr>
                      <w:rFonts w:cs="Times New Roman"/>
                      <w:sz w:val="21"/>
                    </w:rPr>
                  </w:pPr>
                  <w:r>
                    <w:rPr>
                      <w:rFonts w:cs="Times New Roman"/>
                      <w:sz w:val="21"/>
                    </w:rPr>
                    <w:drawing>
                      <wp:inline distT="0" distB="0" distL="114300" distR="114300">
                        <wp:extent cx="3734435" cy="2560320"/>
                        <wp:effectExtent l="0" t="0" r="1841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3734435" cy="2560320"/>
                                </a:xfrm>
                                <a:prstGeom prst="rect">
                                  <a:avLst/>
                                </a:prstGeom>
                                <a:noFill/>
                                <a:ln>
                                  <a:noFill/>
                                </a:ln>
                              </pic:spPr>
                            </pic:pic>
                          </a:graphicData>
                        </a:graphic>
                      </wp:inline>
                    </w:drawing>
                  </w:r>
                </w:p>
              </w:tc>
              <w:tc>
                <w:tcPr>
                  <w:tcW w:w="321" w:type="pct"/>
                  <w:vAlign w:val="center"/>
                </w:tcPr>
                <w:p w14:paraId="2D84651D">
                  <w:pPr>
                    <w:jc w:val="center"/>
                    <w:rPr>
                      <w:rFonts w:ascii="Times New Roman" w:hAnsi="Times New Roman"/>
                      <w:szCs w:val="21"/>
                    </w:rPr>
                  </w:pPr>
                  <w:r>
                    <w:rPr>
                      <w:rFonts w:ascii="Times New Roman" w:hAnsi="Times New Roman"/>
                      <w:szCs w:val="21"/>
                    </w:rPr>
                    <w:t>基本农田</w:t>
                  </w:r>
                </w:p>
              </w:tc>
              <w:tc>
                <w:tcPr>
                  <w:tcW w:w="432" w:type="pct"/>
                  <w:vAlign w:val="center"/>
                </w:tcPr>
                <w:p w14:paraId="6DB14FE9">
                  <w:pPr>
                    <w:widowControl/>
                    <w:jc w:val="center"/>
                    <w:textAlignment w:val="center"/>
                    <w:rPr>
                      <w:rFonts w:hint="default" w:ascii="Times New Roman" w:hAnsi="Times New Roman" w:eastAsia="宋体"/>
                      <w:color w:val="auto"/>
                      <w:szCs w:val="21"/>
                      <w:highlight w:val="yellow"/>
                      <w:lang w:val="en-US" w:eastAsia="zh-CN"/>
                    </w:rPr>
                  </w:pPr>
                  <w:r>
                    <w:rPr>
                      <w:rFonts w:hint="eastAsia" w:ascii="Times New Roman" w:hAnsi="Times New Roman"/>
                      <w:snapToGrid w:val="0"/>
                      <w:color w:val="auto"/>
                      <w:kern w:val="0"/>
                      <w:szCs w:val="21"/>
                      <w:highlight w:val="none"/>
                      <w:lang w:val="en-US" w:eastAsia="zh-CN"/>
                    </w:rPr>
                    <w:t>829</w:t>
                  </w:r>
                </w:p>
              </w:tc>
              <w:tc>
                <w:tcPr>
                  <w:tcW w:w="440" w:type="pct"/>
                  <w:vAlign w:val="center"/>
                </w:tcPr>
                <w:p w14:paraId="3925E883">
                  <w:pPr>
                    <w:widowControl/>
                    <w:jc w:val="center"/>
                    <w:textAlignment w:val="center"/>
                    <w:rPr>
                      <w:rFonts w:hint="default" w:ascii="Times New Roman" w:hAnsi="Times New Roman" w:eastAsia="宋体"/>
                      <w:snapToGrid w:val="0"/>
                      <w:color w:val="auto"/>
                      <w:kern w:val="0"/>
                      <w:szCs w:val="21"/>
                      <w:highlight w:val="yellow"/>
                      <w:lang w:val="en-US" w:eastAsia="zh-CN"/>
                    </w:rPr>
                  </w:pPr>
                  <w:r>
                    <w:rPr>
                      <w:rFonts w:hint="eastAsia" w:ascii="Times New Roman" w:hAnsi="Times New Roman"/>
                      <w:color w:val="auto"/>
                      <w:kern w:val="0"/>
                      <w:szCs w:val="21"/>
                      <w:highlight w:val="none"/>
                      <w:lang w:val="en-US" w:eastAsia="zh-CN" w:bidi="ar"/>
                    </w:rPr>
                    <w:t>110</w:t>
                  </w:r>
                </w:p>
              </w:tc>
              <w:tc>
                <w:tcPr>
                  <w:tcW w:w="381" w:type="pct"/>
                  <w:shd w:val="clear" w:color="auto" w:fill="auto"/>
                  <w:vAlign w:val="center"/>
                </w:tcPr>
                <w:p w14:paraId="319EA510">
                  <w:pPr>
                    <w:widowControl/>
                    <w:jc w:val="center"/>
                    <w:textAlignment w:val="center"/>
                    <w:rPr>
                      <w:rFonts w:hint="default" w:ascii="Times New Roman" w:hAnsi="Times New Roman" w:eastAsia="宋体" w:cs="Times New Roman"/>
                      <w:snapToGrid w:val="0"/>
                      <w:color w:val="auto"/>
                      <w:kern w:val="0"/>
                      <w:sz w:val="21"/>
                      <w:szCs w:val="21"/>
                      <w:highlight w:val="yellow"/>
                      <w:lang w:val="en-US" w:eastAsia="zh-CN" w:bidi="ar-SA"/>
                    </w:rPr>
                  </w:pPr>
                  <w:r>
                    <w:rPr>
                      <w:rFonts w:hint="eastAsia" w:ascii="Times New Roman" w:hAnsi="Times New Roman"/>
                      <w:color w:val="auto"/>
                      <w:kern w:val="0"/>
                      <w:szCs w:val="21"/>
                      <w:highlight w:val="none"/>
                      <w:lang w:val="en-US" w:eastAsia="zh-CN" w:bidi="ar"/>
                    </w:rPr>
                    <w:t>149</w:t>
                  </w:r>
                </w:p>
              </w:tc>
            </w:tr>
            <w:tr w14:paraId="547E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 w:type="pct"/>
                  <w:vAlign w:val="center"/>
                </w:tcPr>
                <w:p w14:paraId="05B06263">
                  <w:pPr>
                    <w:pStyle w:val="8"/>
                    <w:rPr>
                      <w:rFonts w:hint="default" w:eastAsia="宋体"/>
                      <w:lang w:val="en-US" w:eastAsia="zh-CN"/>
                    </w:rPr>
                  </w:pPr>
                </w:p>
                <w:p w14:paraId="1CA8DC6A">
                  <w:pPr>
                    <w:pStyle w:val="37"/>
                    <w:spacing w:before="0"/>
                    <w:rPr>
                      <w:rFonts w:cs="Times New Roman"/>
                      <w:sz w:val="21"/>
                    </w:rPr>
                  </w:pPr>
                  <w:r>
                    <w:rPr>
                      <w:rFonts w:cs="Times New Roman"/>
                      <w:sz w:val="21"/>
                    </w:rPr>
                    <w:t>2</w:t>
                  </w:r>
                </w:p>
              </w:tc>
              <w:tc>
                <w:tcPr>
                  <w:tcW w:w="366" w:type="pct"/>
                  <w:vAlign w:val="center"/>
                </w:tcPr>
                <w:p w14:paraId="37D00598">
                  <w:pPr>
                    <w:jc w:val="center"/>
                    <w:rPr>
                      <w:rFonts w:ascii="Times New Roman" w:hAnsi="Times New Roman"/>
                      <w:bCs/>
                      <w:szCs w:val="21"/>
                    </w:rPr>
                  </w:pPr>
                  <w:r>
                    <w:rPr>
                      <w:rFonts w:ascii="Times New Roman" w:hAnsi="Times New Roman"/>
                      <w:bCs/>
                      <w:szCs w:val="21"/>
                    </w:rPr>
                    <w:t>39-B8（</w:t>
                  </w:r>
                  <w:r>
                    <w:rPr>
                      <w:rFonts w:hint="eastAsia" w:ascii="Times New Roman" w:hAnsi="Times New Roman"/>
                      <w:bCs/>
                      <w:szCs w:val="21"/>
                      <w:lang w:val="en-US" w:eastAsia="zh-CN"/>
                    </w:rPr>
                    <w:t>2</w:t>
                  </w:r>
                  <w:r>
                    <w:rPr>
                      <w:rFonts w:ascii="Times New Roman" w:hAnsi="Times New Roman"/>
                      <w:bCs/>
                      <w:szCs w:val="21"/>
                    </w:rPr>
                    <w:t>#）</w:t>
                  </w:r>
                </w:p>
              </w:tc>
              <w:tc>
                <w:tcPr>
                  <w:tcW w:w="614" w:type="pct"/>
                  <w:vAlign w:val="center"/>
                </w:tcPr>
                <w:p w14:paraId="1BC63D20">
                  <w:pPr>
                    <w:pStyle w:val="37"/>
                    <w:spacing w:before="0"/>
                    <w:rPr>
                      <w:rFonts w:cs="Times New Roman"/>
                      <w:sz w:val="21"/>
                    </w:rPr>
                  </w:pPr>
                  <w:r>
                    <w:rPr>
                      <w:rFonts w:cs="Times New Roman"/>
                      <w:sz w:val="21"/>
                    </w:rPr>
                    <w:t>116°42'07.8290"，32°54'29.9366"</w:t>
                  </w:r>
                </w:p>
              </w:tc>
              <w:tc>
                <w:tcPr>
                  <w:tcW w:w="2238" w:type="pct"/>
                  <w:vAlign w:val="center"/>
                </w:tcPr>
                <w:p w14:paraId="37F7768A">
                  <w:pPr>
                    <w:pStyle w:val="37"/>
                    <w:spacing w:before="0"/>
                    <w:rPr>
                      <w:rFonts w:cs="Times New Roman"/>
                      <w:sz w:val="21"/>
                    </w:rPr>
                  </w:pPr>
                  <w:r>
                    <w:rPr>
                      <w:rFonts w:cs="Times New Roman"/>
                      <w:sz w:val="21"/>
                    </w:rPr>
                    <w:drawing>
                      <wp:inline distT="0" distB="0" distL="114300" distR="114300">
                        <wp:extent cx="3759200" cy="2006600"/>
                        <wp:effectExtent l="0" t="0" r="1270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3759200" cy="2006600"/>
                                </a:xfrm>
                                <a:prstGeom prst="rect">
                                  <a:avLst/>
                                </a:prstGeom>
                                <a:noFill/>
                                <a:ln>
                                  <a:noFill/>
                                </a:ln>
                              </pic:spPr>
                            </pic:pic>
                          </a:graphicData>
                        </a:graphic>
                      </wp:inline>
                    </w:drawing>
                  </w:r>
                </w:p>
              </w:tc>
              <w:tc>
                <w:tcPr>
                  <w:tcW w:w="321" w:type="pct"/>
                  <w:vAlign w:val="center"/>
                </w:tcPr>
                <w:p w14:paraId="255CC0F7">
                  <w:pPr>
                    <w:pStyle w:val="37"/>
                    <w:spacing w:before="0"/>
                    <w:rPr>
                      <w:rFonts w:ascii="Times New Roman" w:hAnsi="Times New Roman"/>
                      <w:szCs w:val="21"/>
                    </w:rPr>
                  </w:pPr>
                  <w:r>
                    <w:rPr>
                      <w:rFonts w:cs="Times New Roman"/>
                      <w:sz w:val="21"/>
                    </w:rPr>
                    <w:t>基本农田</w:t>
                  </w:r>
                </w:p>
              </w:tc>
              <w:tc>
                <w:tcPr>
                  <w:tcW w:w="432" w:type="pct"/>
                  <w:vAlign w:val="center"/>
                </w:tcPr>
                <w:p w14:paraId="20A567C7">
                  <w:pPr>
                    <w:widowControl/>
                    <w:jc w:val="center"/>
                    <w:textAlignment w:val="center"/>
                    <w:rPr>
                      <w:rFonts w:hint="default" w:ascii="Times New Roman" w:hAnsi="Times New Roman"/>
                      <w:snapToGrid w:val="0"/>
                      <w:color w:val="auto"/>
                      <w:kern w:val="0"/>
                      <w:szCs w:val="21"/>
                      <w:highlight w:val="yellow"/>
                      <w:lang w:val="en-US" w:eastAsia="zh-CN"/>
                    </w:rPr>
                  </w:pPr>
                  <w:r>
                    <w:rPr>
                      <w:rFonts w:hint="eastAsia" w:ascii="Times New Roman" w:hAnsi="Times New Roman"/>
                      <w:snapToGrid w:val="0"/>
                      <w:color w:val="auto"/>
                      <w:kern w:val="0"/>
                      <w:szCs w:val="21"/>
                      <w:highlight w:val="none"/>
                      <w:lang w:val="en-US" w:eastAsia="zh-CN"/>
                    </w:rPr>
                    <w:t>1243</w:t>
                  </w:r>
                </w:p>
              </w:tc>
              <w:tc>
                <w:tcPr>
                  <w:tcW w:w="440" w:type="pct"/>
                  <w:vAlign w:val="center"/>
                </w:tcPr>
                <w:p w14:paraId="0874E03D">
                  <w:pPr>
                    <w:widowControl/>
                    <w:jc w:val="center"/>
                    <w:textAlignment w:val="center"/>
                    <w:rPr>
                      <w:rFonts w:hint="default" w:ascii="Times New Roman" w:hAnsi="Times New Roman" w:eastAsia="宋体"/>
                      <w:color w:val="auto"/>
                      <w:kern w:val="0"/>
                      <w:szCs w:val="21"/>
                      <w:highlight w:val="yellow"/>
                      <w:lang w:val="en-US" w:eastAsia="zh-CN" w:bidi="ar"/>
                    </w:rPr>
                  </w:pPr>
                  <w:r>
                    <w:rPr>
                      <w:rFonts w:hint="eastAsia" w:ascii="Times New Roman" w:hAnsi="Times New Roman"/>
                      <w:color w:val="auto"/>
                      <w:kern w:val="0"/>
                      <w:szCs w:val="21"/>
                      <w:highlight w:val="none"/>
                      <w:lang w:val="en-US" w:eastAsia="zh-CN" w:bidi="ar"/>
                    </w:rPr>
                    <w:t>140</w:t>
                  </w:r>
                </w:p>
              </w:tc>
              <w:tc>
                <w:tcPr>
                  <w:tcW w:w="381" w:type="pct"/>
                  <w:shd w:val="clear" w:color="auto" w:fill="auto"/>
                  <w:vAlign w:val="center"/>
                </w:tcPr>
                <w:p w14:paraId="73FB3101">
                  <w:pPr>
                    <w:widowControl/>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eastAsia" w:ascii="Times New Roman" w:hAnsi="Times New Roman"/>
                      <w:color w:val="auto"/>
                      <w:kern w:val="0"/>
                      <w:szCs w:val="21"/>
                      <w:highlight w:val="none"/>
                      <w:lang w:val="en-US" w:eastAsia="zh-CN" w:bidi="ar"/>
                    </w:rPr>
                    <w:t>163</w:t>
                  </w:r>
                </w:p>
              </w:tc>
            </w:tr>
            <w:tr w14:paraId="52B6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 w:type="pct"/>
                  <w:vAlign w:val="center"/>
                </w:tcPr>
                <w:p w14:paraId="2901F951">
                  <w:pPr>
                    <w:pStyle w:val="37"/>
                    <w:spacing w:before="0"/>
                    <w:rPr>
                      <w:rFonts w:hint="default" w:eastAsia="宋体" w:cs="Times New Roman"/>
                      <w:sz w:val="21"/>
                      <w:lang w:val="en-US" w:eastAsia="zh-CN"/>
                    </w:rPr>
                  </w:pPr>
                  <w:r>
                    <w:rPr>
                      <w:rFonts w:hint="eastAsia" w:cs="Times New Roman"/>
                      <w:sz w:val="21"/>
                      <w:lang w:val="en-US" w:eastAsia="zh-CN"/>
                    </w:rPr>
                    <w:t>3</w:t>
                  </w:r>
                </w:p>
              </w:tc>
              <w:tc>
                <w:tcPr>
                  <w:tcW w:w="366" w:type="pct"/>
                  <w:vAlign w:val="center"/>
                </w:tcPr>
                <w:p w14:paraId="1C88C01F">
                  <w:pPr>
                    <w:jc w:val="center"/>
                    <w:rPr>
                      <w:rFonts w:ascii="Times New Roman" w:hAnsi="Times New Roman"/>
                      <w:szCs w:val="21"/>
                    </w:rPr>
                  </w:pPr>
                  <w:r>
                    <w:rPr>
                      <w:rFonts w:ascii="Times New Roman" w:hAnsi="Times New Roman"/>
                      <w:bCs/>
                      <w:szCs w:val="21"/>
                    </w:rPr>
                    <w:t>奥灰-1孔（</w:t>
                  </w:r>
                  <w:r>
                    <w:rPr>
                      <w:rFonts w:hint="eastAsia" w:ascii="Times New Roman" w:hAnsi="Times New Roman"/>
                      <w:bCs/>
                      <w:szCs w:val="21"/>
                      <w:lang w:val="en-US" w:eastAsia="zh-CN"/>
                    </w:rPr>
                    <w:t>3</w:t>
                  </w:r>
                  <w:r>
                    <w:rPr>
                      <w:rFonts w:ascii="Times New Roman" w:hAnsi="Times New Roman"/>
                      <w:bCs/>
                      <w:szCs w:val="21"/>
                    </w:rPr>
                    <w:t>#）</w:t>
                  </w:r>
                </w:p>
              </w:tc>
              <w:tc>
                <w:tcPr>
                  <w:tcW w:w="614" w:type="pct"/>
                  <w:vAlign w:val="center"/>
                </w:tcPr>
                <w:p w14:paraId="1D448508">
                  <w:pPr>
                    <w:pStyle w:val="37"/>
                    <w:spacing w:before="0"/>
                    <w:rPr>
                      <w:rFonts w:cs="Times New Roman"/>
                      <w:sz w:val="21"/>
                    </w:rPr>
                  </w:pPr>
                  <w:r>
                    <w:rPr>
                      <w:rFonts w:cs="Times New Roman"/>
                      <w:sz w:val="21"/>
                    </w:rPr>
                    <w:t>116°45'26.7073"，32°54'00.6396"</w:t>
                  </w:r>
                </w:p>
              </w:tc>
              <w:tc>
                <w:tcPr>
                  <w:tcW w:w="2238" w:type="pct"/>
                  <w:vAlign w:val="center"/>
                </w:tcPr>
                <w:p w14:paraId="36A2697A">
                  <w:pPr>
                    <w:pStyle w:val="37"/>
                    <w:spacing w:before="0"/>
                    <w:rPr>
                      <w:rFonts w:cs="Times New Roman"/>
                      <w:sz w:val="21"/>
                    </w:rPr>
                  </w:pPr>
                  <w:r>
                    <w:rPr>
                      <w:rFonts w:cs="Times New Roman"/>
                      <w:sz w:val="21"/>
                    </w:rPr>
                    <w:drawing>
                      <wp:inline distT="0" distB="0" distL="114300" distR="114300">
                        <wp:extent cx="3921125" cy="2596515"/>
                        <wp:effectExtent l="0" t="0" r="3175" b="133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3921125" cy="2596515"/>
                                </a:xfrm>
                                <a:prstGeom prst="rect">
                                  <a:avLst/>
                                </a:prstGeom>
                                <a:noFill/>
                                <a:ln>
                                  <a:noFill/>
                                </a:ln>
                              </pic:spPr>
                            </pic:pic>
                          </a:graphicData>
                        </a:graphic>
                      </wp:inline>
                    </w:drawing>
                  </w:r>
                </w:p>
              </w:tc>
              <w:tc>
                <w:tcPr>
                  <w:tcW w:w="321" w:type="pct"/>
                  <w:vAlign w:val="center"/>
                </w:tcPr>
                <w:p w14:paraId="61307F54">
                  <w:pPr>
                    <w:jc w:val="center"/>
                    <w:rPr>
                      <w:rFonts w:ascii="Times New Roman" w:hAnsi="Times New Roman"/>
                      <w:szCs w:val="21"/>
                    </w:rPr>
                  </w:pPr>
                  <w:r>
                    <w:rPr>
                      <w:rFonts w:ascii="Times New Roman" w:hAnsi="Times New Roman"/>
                      <w:szCs w:val="21"/>
                    </w:rPr>
                    <w:t>基本农田</w:t>
                  </w:r>
                </w:p>
              </w:tc>
              <w:tc>
                <w:tcPr>
                  <w:tcW w:w="432" w:type="pct"/>
                  <w:vAlign w:val="center"/>
                </w:tcPr>
                <w:p w14:paraId="605F80CD">
                  <w:pPr>
                    <w:widowControl/>
                    <w:jc w:val="center"/>
                    <w:textAlignment w:val="center"/>
                    <w:rPr>
                      <w:rFonts w:hint="default" w:ascii="Times New Roman" w:hAnsi="Times New Roman" w:eastAsia="宋体"/>
                      <w:color w:val="auto"/>
                      <w:szCs w:val="21"/>
                      <w:highlight w:val="yellow"/>
                      <w:lang w:val="en-US" w:eastAsia="zh-CN"/>
                    </w:rPr>
                  </w:pPr>
                  <w:r>
                    <w:rPr>
                      <w:rFonts w:hint="eastAsia" w:ascii="Times New Roman" w:hAnsi="Times New Roman"/>
                      <w:snapToGrid w:val="0"/>
                      <w:color w:val="auto"/>
                      <w:kern w:val="0"/>
                      <w:szCs w:val="21"/>
                      <w:highlight w:val="none"/>
                      <w:lang w:val="en-US" w:eastAsia="zh-CN"/>
                    </w:rPr>
                    <w:t>877</w:t>
                  </w:r>
                </w:p>
              </w:tc>
              <w:tc>
                <w:tcPr>
                  <w:tcW w:w="440" w:type="pct"/>
                  <w:vAlign w:val="center"/>
                </w:tcPr>
                <w:p w14:paraId="61D37630">
                  <w:pPr>
                    <w:widowControl/>
                    <w:jc w:val="center"/>
                    <w:textAlignment w:val="center"/>
                    <w:rPr>
                      <w:rFonts w:hint="default" w:ascii="Times New Roman" w:hAnsi="Times New Roman" w:eastAsia="宋体"/>
                      <w:snapToGrid w:val="0"/>
                      <w:color w:val="auto"/>
                      <w:kern w:val="0"/>
                      <w:szCs w:val="21"/>
                      <w:highlight w:val="yellow"/>
                      <w:lang w:val="en-US" w:eastAsia="zh-CN"/>
                    </w:rPr>
                  </w:pPr>
                  <w:r>
                    <w:rPr>
                      <w:rFonts w:hint="eastAsia" w:ascii="Times New Roman" w:hAnsi="Times New Roman"/>
                      <w:snapToGrid w:val="0"/>
                      <w:color w:val="auto"/>
                      <w:kern w:val="0"/>
                      <w:szCs w:val="21"/>
                      <w:highlight w:val="none"/>
                      <w:lang w:val="en-US" w:eastAsia="zh-CN"/>
                    </w:rPr>
                    <w:t>120</w:t>
                  </w:r>
                </w:p>
              </w:tc>
              <w:tc>
                <w:tcPr>
                  <w:tcW w:w="381" w:type="pct"/>
                  <w:shd w:val="clear" w:color="auto" w:fill="auto"/>
                  <w:vAlign w:val="center"/>
                </w:tcPr>
                <w:p w14:paraId="1CA11607">
                  <w:pPr>
                    <w:widowControl/>
                    <w:jc w:val="center"/>
                    <w:textAlignment w:val="center"/>
                    <w:rPr>
                      <w:rFonts w:hint="default" w:ascii="Times New Roman" w:hAnsi="Times New Roman" w:eastAsia="宋体" w:cs="Times New Roman"/>
                      <w:snapToGrid w:val="0"/>
                      <w:color w:val="auto"/>
                      <w:kern w:val="0"/>
                      <w:sz w:val="21"/>
                      <w:szCs w:val="21"/>
                      <w:highlight w:val="yellow"/>
                      <w:lang w:val="en-US" w:eastAsia="zh-CN" w:bidi="ar-SA"/>
                    </w:rPr>
                  </w:pPr>
                  <w:r>
                    <w:rPr>
                      <w:rFonts w:hint="eastAsia" w:ascii="Times New Roman" w:hAnsi="Times New Roman"/>
                      <w:snapToGrid w:val="0"/>
                      <w:color w:val="auto"/>
                      <w:kern w:val="0"/>
                      <w:szCs w:val="21"/>
                      <w:highlight w:val="none"/>
                      <w:lang w:val="en-US" w:eastAsia="zh-CN"/>
                    </w:rPr>
                    <w:t>153</w:t>
                  </w:r>
                </w:p>
              </w:tc>
            </w:tr>
            <w:tr w14:paraId="1AC4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24" w:type="pct"/>
                  <w:gridSpan w:val="4"/>
                  <w:vAlign w:val="center"/>
                </w:tcPr>
                <w:p w14:paraId="42AE59BA">
                  <w:pPr>
                    <w:pStyle w:val="37"/>
                    <w:spacing w:before="0"/>
                    <w:rPr>
                      <w:rFonts w:cs="Times New Roman"/>
                      <w:color w:val="auto"/>
                      <w:sz w:val="21"/>
                    </w:rPr>
                  </w:pPr>
                  <w:r>
                    <w:rPr>
                      <w:rFonts w:hint="eastAsia" w:cs="Times New Roman"/>
                      <w:color w:val="auto"/>
                      <w:sz w:val="21"/>
                    </w:rPr>
                    <w:t>合计</w:t>
                  </w:r>
                </w:p>
              </w:tc>
              <w:tc>
                <w:tcPr>
                  <w:tcW w:w="321" w:type="pct"/>
                  <w:vAlign w:val="center"/>
                </w:tcPr>
                <w:p w14:paraId="55094D89">
                  <w:pPr>
                    <w:jc w:val="center"/>
                    <w:rPr>
                      <w:rFonts w:ascii="Times New Roman" w:hAnsi="Times New Roman"/>
                      <w:color w:val="auto"/>
                      <w:szCs w:val="21"/>
                    </w:rPr>
                  </w:pPr>
                  <w:r>
                    <w:rPr>
                      <w:rFonts w:hint="eastAsia" w:ascii="Times New Roman" w:hAnsi="Times New Roman"/>
                      <w:color w:val="auto"/>
                      <w:szCs w:val="21"/>
                    </w:rPr>
                    <w:t>/</w:t>
                  </w:r>
                </w:p>
              </w:tc>
              <w:tc>
                <w:tcPr>
                  <w:tcW w:w="432" w:type="pct"/>
                  <w:vAlign w:val="center"/>
                </w:tcPr>
                <w:p w14:paraId="53C8720A">
                  <w:pPr>
                    <w:widowControl/>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snapToGrid w:val="0"/>
                      <w:color w:val="auto"/>
                      <w:kern w:val="0"/>
                      <w:szCs w:val="21"/>
                      <w:lang w:val="en-US" w:eastAsia="zh-CN"/>
                    </w:rPr>
                    <w:t>2229</w:t>
                  </w:r>
                </w:p>
              </w:tc>
              <w:tc>
                <w:tcPr>
                  <w:tcW w:w="440" w:type="pct"/>
                  <w:vAlign w:val="center"/>
                </w:tcPr>
                <w:p w14:paraId="612830EC">
                  <w:pPr>
                    <w:widowControl/>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snapToGrid w:val="0"/>
                      <w:color w:val="auto"/>
                      <w:kern w:val="0"/>
                      <w:szCs w:val="21"/>
                      <w:lang w:val="en-US" w:eastAsia="zh-CN"/>
                    </w:rPr>
                    <w:t>370</w:t>
                  </w:r>
                </w:p>
              </w:tc>
              <w:tc>
                <w:tcPr>
                  <w:tcW w:w="381" w:type="pct"/>
                  <w:shd w:val="clear" w:color="auto" w:fill="auto"/>
                  <w:vAlign w:val="center"/>
                </w:tcPr>
                <w:p w14:paraId="0CB8C981">
                  <w:pPr>
                    <w:widowControl/>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snapToGrid w:val="0"/>
                      <w:color w:val="auto"/>
                      <w:kern w:val="0"/>
                      <w:szCs w:val="21"/>
                      <w:lang w:val="en-US" w:eastAsia="zh-CN"/>
                    </w:rPr>
                    <w:t>465</w:t>
                  </w:r>
                </w:p>
              </w:tc>
            </w:tr>
          </w:tbl>
          <w:p w14:paraId="57BF432B">
            <w:pPr>
              <w:pStyle w:val="36"/>
              <w:jc w:val="both"/>
              <w:rPr>
                <w:rFonts w:ascii="Times New Roman" w:hAnsi="Times New Roman" w:eastAsia="黑体"/>
                <w:snapToGrid w:val="0"/>
                <w:color w:val="auto"/>
                <w:sz w:val="30"/>
                <w:szCs w:val="30"/>
                <w:highlight w:val="none"/>
              </w:rPr>
            </w:pPr>
            <w:r>
              <w:rPr>
                <w:rFonts w:hint="eastAsia"/>
                <w:color w:val="auto"/>
                <w:highlight w:val="none"/>
                <w:lang w:val="en-US" w:eastAsia="zh-CN"/>
              </w:rPr>
              <w:t>注：表土剥离高度20cm~30cm，本项目平均高度按25cm计，表土堆放区内表土不进行剥离。</w:t>
            </w:r>
          </w:p>
        </w:tc>
      </w:tr>
    </w:tbl>
    <w:p w14:paraId="51670879">
      <w:pPr>
        <w:pStyle w:val="21"/>
        <w:jc w:val="center"/>
        <w:outlineLvl w:val="0"/>
        <w:rPr>
          <w:rFonts w:ascii="Times New Roman" w:hAnsi="Times New Roman" w:eastAsia="黑体"/>
          <w:snapToGrid w:val="0"/>
          <w:color w:val="auto"/>
          <w:sz w:val="30"/>
          <w:szCs w:val="30"/>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69"/>
      </w:tblGrid>
      <w:tr w14:paraId="48E3A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46" w:hRule="atLeast"/>
          <w:jc w:val="center"/>
        </w:trPr>
        <w:tc>
          <w:tcPr>
            <w:tcW w:w="454" w:type="dxa"/>
            <w:noWrap/>
            <w:vAlign w:val="center"/>
          </w:tcPr>
          <w:p w14:paraId="6BE2AD68">
            <w:pPr>
              <w:adjustRightInd w:val="0"/>
              <w:snapToGrid w:val="0"/>
              <w:jc w:val="center"/>
              <w:rPr>
                <w:rFonts w:ascii="Times New Roman" w:hAnsi="Times New Roman"/>
                <w:color w:val="auto"/>
                <w:kern w:val="0"/>
                <w:sz w:val="24"/>
              </w:rPr>
            </w:pPr>
            <w:r>
              <w:rPr>
                <w:rFonts w:ascii="Times New Roman" w:hAnsi="Times New Roman"/>
                <w:color w:val="auto"/>
                <w:kern w:val="0"/>
                <w:sz w:val="24"/>
              </w:rPr>
              <w:t>总平面及现场布置</w:t>
            </w:r>
          </w:p>
        </w:tc>
        <w:tc>
          <w:tcPr>
            <w:tcW w:w="8068" w:type="dxa"/>
            <w:noWrap/>
            <w:vAlign w:val="center"/>
          </w:tcPr>
          <w:p w14:paraId="3FCA00B3">
            <w:pPr>
              <w:spacing w:line="360" w:lineRule="auto"/>
              <w:ind w:firstLine="480" w:firstLineChars="200"/>
              <w:rPr>
                <w:rFonts w:ascii="Times New Roman" w:hAnsi="Times New Roman"/>
                <w:color w:val="auto"/>
                <w:szCs w:val="21"/>
              </w:rPr>
            </w:pPr>
            <w:r>
              <w:rPr>
                <w:rFonts w:ascii="Times New Roman" w:hAnsi="Times New Roman"/>
                <w:color w:val="auto"/>
                <w:sz w:val="24"/>
                <w:shd w:val="clear" w:color="auto" w:fill="FFFFFF"/>
              </w:rPr>
              <w:t>本项目</w:t>
            </w:r>
            <w:r>
              <w:rPr>
                <w:rFonts w:hint="eastAsia" w:ascii="Times New Roman" w:hAnsi="Times New Roman"/>
                <w:color w:val="auto"/>
                <w:sz w:val="24"/>
                <w:shd w:val="clear" w:color="auto" w:fill="FFFFFF"/>
              </w:rPr>
              <w:t>每个钻场按照统一的标准布置，同时结合场地实际情况进行微调，施工现场实际用地面积基本接近，现场布置基本相似，均以钻机为中心，周边布置均设置钻井作业区、</w:t>
            </w:r>
            <w:r>
              <w:rPr>
                <w:rFonts w:hint="eastAsia" w:ascii="Times New Roman" w:hAnsi="Times New Roman"/>
                <w:color w:val="auto"/>
                <w:sz w:val="24"/>
                <w:shd w:val="clear" w:color="auto" w:fill="FFFFFF"/>
                <w:lang w:eastAsia="zh-CN"/>
              </w:rPr>
              <w:t>储水池</w:t>
            </w:r>
            <w:r>
              <w:rPr>
                <w:rFonts w:hint="eastAsia" w:ascii="Times New Roman" w:hAnsi="Times New Roman"/>
                <w:color w:val="auto"/>
                <w:sz w:val="24"/>
                <w:shd w:val="clear" w:color="auto" w:fill="FFFFFF"/>
              </w:rPr>
              <w:t>、</w:t>
            </w:r>
            <w:r>
              <w:rPr>
                <w:rFonts w:hint="eastAsia" w:ascii="Times New Roman" w:hAnsi="Times New Roman"/>
                <w:color w:val="auto"/>
                <w:sz w:val="24"/>
                <w:shd w:val="clear" w:color="auto" w:fill="FFFFFF"/>
                <w:lang w:eastAsia="zh-CN"/>
              </w:rPr>
              <w:t>泥浆池</w:t>
            </w:r>
            <w:r>
              <w:rPr>
                <w:rFonts w:hint="eastAsia" w:ascii="Times New Roman" w:hAnsi="Times New Roman"/>
                <w:color w:val="auto"/>
                <w:sz w:val="24"/>
                <w:shd w:val="clear" w:color="auto" w:fill="FFFFFF"/>
              </w:rPr>
              <w:t>、干化池、施工材料区、设备及库房、临时办公区、表土剥离堆放场、</w:t>
            </w:r>
            <w:r>
              <w:rPr>
                <w:rFonts w:hint="eastAsia" w:ascii="Times New Roman" w:hAnsi="Times New Roman"/>
                <w:color w:val="auto"/>
                <w:sz w:val="24"/>
                <w:shd w:val="clear" w:color="auto" w:fill="FFFFFF"/>
                <w:lang w:eastAsia="zh-CN"/>
              </w:rPr>
              <w:t>岩芯</w:t>
            </w:r>
            <w:r>
              <w:rPr>
                <w:rFonts w:hint="eastAsia" w:ascii="Times New Roman" w:hAnsi="Times New Roman"/>
                <w:color w:val="auto"/>
                <w:sz w:val="24"/>
                <w:shd w:val="clear" w:color="auto" w:fill="FFFFFF"/>
              </w:rPr>
              <w:t>摆放区、沉淀池、施工便道等辅助设施。根据施工工序并结合现场情况，施工场地出入口设置在靠近道路的一侧，高噪声设备布置在远离居民区的一侧，办公区设置在远离钻孔工作区。</w:t>
            </w:r>
            <w:r>
              <w:rPr>
                <w:rFonts w:ascii="Times New Roman" w:hAnsi="Times New Roman"/>
                <w:color w:val="auto"/>
                <w:sz w:val="24"/>
                <w:shd w:val="clear" w:color="auto" w:fill="FFFFFF"/>
              </w:rPr>
              <w:t>项目总平面布置采取的原则是紧密结合地形、使工艺流程顺畅、功能分区明确、建筑物布置紧凑、对外交通运输联系方便、用地节约；在满足施工的前提下，使井场布置简洁、集中</w:t>
            </w:r>
            <w:r>
              <w:rPr>
                <w:rFonts w:hint="eastAsia" w:ascii="Times New Roman" w:hAnsi="Times New Roman"/>
                <w:color w:val="auto"/>
                <w:sz w:val="24"/>
                <w:shd w:val="clear" w:color="auto" w:fill="FFFFFF"/>
              </w:rPr>
              <w:t>，</w:t>
            </w:r>
            <w:r>
              <w:rPr>
                <w:rFonts w:hint="eastAsia" w:ascii="Times New Roman" w:hAnsi="Times New Roman"/>
                <w:color w:val="auto"/>
                <w:sz w:val="24"/>
              </w:rPr>
              <w:t>各井场</w:t>
            </w:r>
            <w:r>
              <w:rPr>
                <w:rFonts w:hint="eastAsia" w:ascii="Times New Roman" w:hAnsi="Times New Roman"/>
                <w:color w:val="auto"/>
                <w:sz w:val="24"/>
                <w:lang w:val="en-US" w:eastAsia="zh-CN"/>
              </w:rPr>
              <w:t>施工</w:t>
            </w:r>
            <w:r>
              <w:rPr>
                <w:rFonts w:hint="eastAsia" w:ascii="Times New Roman" w:hAnsi="Times New Roman"/>
                <w:color w:val="auto"/>
                <w:sz w:val="24"/>
              </w:rPr>
              <w:t>平面布置图见附图3。</w:t>
            </w:r>
          </w:p>
        </w:tc>
      </w:tr>
      <w:tr w14:paraId="76D9E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2" w:hRule="atLeast"/>
          <w:jc w:val="center"/>
        </w:trPr>
        <w:tc>
          <w:tcPr>
            <w:tcW w:w="454" w:type="dxa"/>
            <w:noWrap/>
            <w:vAlign w:val="center"/>
          </w:tcPr>
          <w:p w14:paraId="040C4032">
            <w:pPr>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施工方案</w:t>
            </w:r>
          </w:p>
        </w:tc>
        <w:tc>
          <w:tcPr>
            <w:tcW w:w="8068" w:type="dxa"/>
            <w:noWrap/>
            <w:vAlign w:val="center"/>
          </w:tcPr>
          <w:p w14:paraId="191FA120">
            <w:pPr>
              <w:pStyle w:val="14"/>
              <w:tabs>
                <w:tab w:val="left" w:pos="0"/>
              </w:tabs>
              <w:spacing w:line="360" w:lineRule="auto"/>
              <w:ind w:firstLine="482" w:firstLineChars="200"/>
              <w:contextualSpacing/>
              <w:rPr>
                <w:rFonts w:ascii="Times New Roman" w:hAnsi="Times New Roman"/>
                <w:b/>
                <w:bCs/>
                <w:color w:val="auto"/>
                <w:sz w:val="24"/>
                <w:highlight w:val="none"/>
              </w:rPr>
            </w:pPr>
            <w:r>
              <w:rPr>
                <w:rFonts w:hint="eastAsia" w:ascii="Times New Roman" w:hAnsi="Times New Roman"/>
                <w:b/>
                <w:bCs/>
                <w:color w:val="auto"/>
                <w:sz w:val="24"/>
                <w:highlight w:val="none"/>
                <w:lang w:val="en-US" w:eastAsia="zh-CN"/>
              </w:rPr>
              <w:t>一</w:t>
            </w:r>
            <w:r>
              <w:rPr>
                <w:rFonts w:ascii="Times New Roman" w:hAnsi="Times New Roman"/>
                <w:b/>
                <w:bCs/>
                <w:color w:val="auto"/>
                <w:sz w:val="24"/>
                <w:highlight w:val="none"/>
              </w:rPr>
              <w:t>、施工工艺</w:t>
            </w:r>
          </w:p>
          <w:p w14:paraId="5E3F5EC1">
            <w:pPr>
              <w:pStyle w:val="14"/>
              <w:tabs>
                <w:tab w:val="left" w:pos="0"/>
              </w:tabs>
              <w:spacing w:line="360" w:lineRule="auto"/>
              <w:ind w:firstLine="480" w:firstLineChars="200"/>
              <w:contextualSpacing/>
              <w:rPr>
                <w:rFonts w:hint="default" w:ascii="Times New Roman" w:hAnsi="Times New Roman" w:eastAsia="宋体"/>
                <w:bCs/>
                <w:color w:val="auto"/>
                <w:sz w:val="24"/>
                <w:highlight w:val="none"/>
                <w:lang w:val="en-US" w:eastAsia="zh-CN"/>
              </w:rPr>
            </w:pPr>
            <w:r>
              <w:rPr>
                <w:rFonts w:hint="eastAsia" w:ascii="Times New Roman" w:hAnsi="Times New Roman"/>
                <w:bCs/>
                <w:color w:val="auto"/>
                <w:sz w:val="24"/>
                <w:highlight w:val="none"/>
                <w:lang w:val="en-US" w:eastAsia="zh-CN"/>
              </w:rPr>
              <w:t>本项目施工工艺包括地面补勘钻井工程、奥灰长观孔钻井工程。施工前期需对场地进行平整、表土剥离、</w:t>
            </w:r>
            <w:r>
              <w:rPr>
                <w:rFonts w:ascii="Times New Roman" w:hAnsi="Times New Roman"/>
                <w:bCs/>
                <w:color w:val="auto"/>
                <w:sz w:val="24"/>
                <w:highlight w:val="none"/>
              </w:rPr>
              <w:t>安装钻探设备、搭设临时建筑物以及相关附属设施建设</w:t>
            </w:r>
            <w:r>
              <w:rPr>
                <w:rFonts w:hint="eastAsia" w:ascii="Times New Roman" w:hAnsi="Times New Roman"/>
                <w:bCs/>
                <w:color w:val="auto"/>
                <w:sz w:val="24"/>
                <w:highlight w:val="none"/>
                <w:lang w:val="en-US" w:eastAsia="zh-CN"/>
              </w:rPr>
              <w:t>等。</w:t>
            </w:r>
          </w:p>
          <w:p w14:paraId="2CFEA9E7">
            <w:pPr>
              <w:pStyle w:val="31"/>
              <w:adjustRightInd/>
              <w:spacing w:line="360" w:lineRule="auto"/>
              <w:ind w:firstLine="482" w:firstLineChars="200"/>
              <w:jc w:val="both"/>
              <w:rPr>
                <w:rFonts w:hint="default" w:ascii="Times New Roman" w:hAnsi="Times New Roman" w:eastAsia="宋体"/>
                <w:b/>
                <w:bCs/>
                <w:color w:val="auto"/>
                <w:highlight w:val="none"/>
                <w:lang w:val="en-US" w:eastAsia="zh-CN"/>
              </w:rPr>
            </w:pPr>
            <w:r>
              <w:rPr>
                <w:rFonts w:hint="eastAsia" w:ascii="Times New Roman" w:hAnsi="Times New Roman"/>
                <w:b/>
                <w:bCs/>
                <w:color w:val="auto"/>
                <w:highlight w:val="none"/>
                <w:lang w:val="en-US" w:eastAsia="zh-CN"/>
              </w:rPr>
              <w:t>1</w:t>
            </w:r>
            <w:r>
              <w:rPr>
                <w:rFonts w:ascii="Times New Roman" w:hAnsi="Times New Roman"/>
                <w:b/>
                <w:bCs/>
                <w:color w:val="auto"/>
                <w:highlight w:val="none"/>
              </w:rPr>
              <w:t>、</w:t>
            </w:r>
            <w:r>
              <w:rPr>
                <w:rFonts w:hint="eastAsia" w:ascii="Times New Roman" w:hAnsi="Times New Roman"/>
                <w:b/>
                <w:bCs/>
                <w:color w:val="auto"/>
                <w:highlight w:val="none"/>
                <w:lang w:val="en-US" w:eastAsia="zh-CN"/>
              </w:rPr>
              <w:t>地面补勘钻井</w:t>
            </w:r>
            <w:r>
              <w:rPr>
                <w:rFonts w:ascii="Times New Roman" w:hAnsi="Times New Roman"/>
                <w:b/>
                <w:bCs/>
                <w:color w:val="auto"/>
                <w:highlight w:val="none"/>
              </w:rPr>
              <w:t>工程</w:t>
            </w:r>
          </w:p>
          <w:p w14:paraId="72165E29">
            <w:pPr>
              <w:spacing w:line="360" w:lineRule="auto"/>
              <w:jc w:val="center"/>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eastAsia="zh-CN"/>
              </w:rPr>
              <w:drawing>
                <wp:inline distT="0" distB="0" distL="114300" distR="114300">
                  <wp:extent cx="4824095" cy="3714115"/>
                  <wp:effectExtent l="0" t="0" r="5080" b="635"/>
                  <wp:docPr id="7" name="F360BE8B-6686-4F3D-AEAF-501FE73E4058-1" descr="地面补勘钻井工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1" descr="地面补勘钻井工程(1)"/>
                          <pic:cNvPicPr>
                            <a:picLocks noChangeAspect="1"/>
                          </pic:cNvPicPr>
                        </pic:nvPicPr>
                        <pic:blipFill>
                          <a:blip r:embed="rId12"/>
                          <a:stretch>
                            <a:fillRect/>
                          </a:stretch>
                        </pic:blipFill>
                        <pic:spPr>
                          <a:xfrm>
                            <a:off x="0" y="0"/>
                            <a:ext cx="4824095" cy="3714115"/>
                          </a:xfrm>
                          <a:prstGeom prst="rect">
                            <a:avLst/>
                          </a:prstGeom>
                        </pic:spPr>
                      </pic:pic>
                    </a:graphicData>
                  </a:graphic>
                </wp:inline>
              </w:drawing>
            </w:r>
          </w:p>
          <w:p w14:paraId="6DC2CA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图2-1  工艺流程图</w:t>
            </w:r>
          </w:p>
          <w:p w14:paraId="16638027">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工艺流程简述：</w:t>
            </w:r>
          </w:p>
          <w:p w14:paraId="43003A82">
            <w:pPr>
              <w:pStyle w:val="38"/>
              <w:adjustRightInd/>
              <w:snapToGrid/>
              <w:ind w:firstLine="480"/>
              <w:rPr>
                <w:rFonts w:hint="eastAsia" w:ascii="Times New Roman" w:hAnsi="Times New Roman" w:eastAsia="宋体"/>
                <w:color w:val="auto"/>
                <w:sz w:val="24"/>
                <w:szCs w:val="24"/>
                <w:highlight w:val="none"/>
                <w:lang w:eastAsia="zh-CN"/>
              </w:rPr>
            </w:pPr>
            <w:r>
              <w:rPr>
                <w:rFonts w:hint="eastAsia" w:ascii="Times New Roman" w:eastAsia="宋体"/>
                <w:color w:val="auto"/>
                <w:sz w:val="24"/>
                <w:szCs w:val="24"/>
                <w:highlight w:val="none"/>
                <w:lang w:val="en-US" w:eastAsia="zh-CN"/>
              </w:rPr>
              <w:t>本项目</w:t>
            </w:r>
            <w:r>
              <w:rPr>
                <w:rFonts w:hint="eastAsia" w:ascii="Times New Roman" w:eastAsia="宋体"/>
                <w:color w:val="auto"/>
                <w:sz w:val="24"/>
                <w:szCs w:val="24"/>
                <w:highlight w:val="none"/>
              </w:rPr>
              <w:t>各钻孔终孔深度以过11-1煤为准</w:t>
            </w:r>
            <w:r>
              <w:rPr>
                <w:rFonts w:hint="eastAsia" w:ascii="Times New Roman" w:eastAsia="宋体"/>
                <w:color w:val="auto"/>
                <w:sz w:val="24"/>
                <w:szCs w:val="24"/>
                <w:highlight w:val="none"/>
                <w:lang w:eastAsia="zh-CN"/>
              </w:rPr>
              <w:t>，</w:t>
            </w:r>
            <w:r>
              <w:rPr>
                <w:rFonts w:hint="eastAsia" w:ascii="Times New Roman" w:eastAsia="宋体"/>
                <w:color w:val="auto"/>
                <w:sz w:val="24"/>
                <w:szCs w:val="24"/>
                <w:highlight w:val="none"/>
              </w:rPr>
              <w:t>各孔均自17煤至终孔全取芯。正常地层岩芯采取率不小于80％，断层破碎带岩芯采取率不小于65％。煤层及煤层顶底板岩芯采取率不小于90％</w:t>
            </w:r>
            <w:r>
              <w:rPr>
                <w:rFonts w:hint="eastAsia" w:ascii="Times New Roman" w:eastAsia="宋体"/>
                <w:color w:val="auto"/>
                <w:sz w:val="24"/>
                <w:szCs w:val="24"/>
                <w:highlight w:val="none"/>
                <w:lang w:eastAsia="zh-CN"/>
              </w:rPr>
              <w:t>。</w:t>
            </w:r>
          </w:p>
          <w:p w14:paraId="7EB9C07F">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rPr>
              <w:t>（1）</w:t>
            </w:r>
            <w:r>
              <w:rPr>
                <w:rFonts w:hint="eastAsia" w:ascii="Times New Roman" w:hAnsi="宋体"/>
                <w:bCs/>
                <w:color w:val="auto"/>
                <w:sz w:val="24"/>
                <w:highlight w:val="none"/>
                <w:lang w:val="en-US" w:eastAsia="zh-CN"/>
              </w:rPr>
              <w:t>泥浆配置</w:t>
            </w:r>
          </w:p>
          <w:p w14:paraId="5BFD26D0">
            <w:pPr>
              <w:spacing w:line="360" w:lineRule="auto"/>
              <w:ind w:firstLine="480" w:firstLineChars="200"/>
              <w:outlineLvl w:val="1"/>
              <w:rPr>
                <w:rFonts w:hint="eastAsia" w:ascii="Times New Roman" w:hAnsi="宋体" w:eastAsia="宋体"/>
                <w:bCs/>
                <w:color w:val="auto"/>
                <w:sz w:val="24"/>
                <w:highlight w:val="none"/>
                <w:lang w:val="en-US" w:eastAsia="zh-CN"/>
              </w:rPr>
            </w:pPr>
            <w:r>
              <w:rPr>
                <w:rFonts w:hint="eastAsia" w:ascii="Times New Roman" w:hAnsi="宋体"/>
                <w:bCs/>
                <w:color w:val="auto"/>
                <w:sz w:val="24"/>
                <w:highlight w:val="none"/>
              </w:rPr>
              <w:t>以水、纤维素、腐植酸为原料，在</w:t>
            </w:r>
            <w:r>
              <w:rPr>
                <w:rFonts w:hint="eastAsia" w:ascii="Times New Roman" w:hAnsi="宋体"/>
                <w:bCs/>
                <w:color w:val="auto"/>
                <w:sz w:val="24"/>
                <w:highlight w:val="none"/>
                <w:lang w:val="en-US" w:eastAsia="zh-CN"/>
              </w:rPr>
              <w:t>泥浆池内进行搅拌配置，配置完成后</w:t>
            </w:r>
            <w:r>
              <w:rPr>
                <w:rFonts w:hint="eastAsia" w:ascii="Times New Roman" w:hAnsi="宋体"/>
                <w:bCs/>
                <w:color w:val="auto"/>
                <w:sz w:val="24"/>
                <w:highlight w:val="none"/>
              </w:rPr>
              <w:t>一路被输送至泥浆泵，为后续钻进工序提供循环用泥浆；另一路进入泥浆池暂存，泥浆池兼具泥浆储存、浓度调节功能，且池内泥浆可通过循环管道回流至“泥浆配置”工序，实现泥浆的循环利用，减少资源消耗与废弃物产生</w:t>
            </w:r>
            <w:r>
              <w:rPr>
                <w:rFonts w:hint="eastAsia" w:ascii="Times New Roman" w:hAnsi="宋体"/>
                <w:bCs/>
                <w:color w:val="auto"/>
                <w:sz w:val="24"/>
                <w:highlight w:val="none"/>
                <w:lang w:eastAsia="zh-CN"/>
              </w:rPr>
              <w:t>。</w:t>
            </w:r>
          </w:p>
          <w:p w14:paraId="58CBE0F7">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2</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一开钻进</w:t>
            </w:r>
          </w:p>
          <w:p w14:paraId="11675851">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泥浆泵将配置好的泥浆持续泵入钻孔作业系统，配合钻机、钻井泵</w:t>
            </w:r>
            <w:r>
              <w:rPr>
                <w:rFonts w:hint="eastAsia" w:ascii="Times New Roman" w:hAnsi="宋体"/>
                <w:bCs/>
                <w:color w:val="auto"/>
                <w:sz w:val="24"/>
                <w:highlight w:val="none"/>
                <w:lang w:val="en-US" w:eastAsia="zh-CN"/>
              </w:rPr>
              <w:t>进行</w:t>
            </w:r>
            <w:r>
              <w:rPr>
                <w:rFonts w:hint="eastAsia" w:ascii="Times New Roman" w:hAnsi="宋体"/>
                <w:bCs/>
                <w:color w:val="auto"/>
                <w:sz w:val="24"/>
                <w:highlight w:val="none"/>
              </w:rPr>
              <w:t>“一开”钻进施工。本项目钻孔均为普通地质孔，基本无特殊要求，钻孔结构均为裸孔，口径设计开孔</w:t>
            </w:r>
            <w:r>
              <w:rPr>
                <w:rFonts w:hint="eastAsia" w:ascii="Times New Roman" w:hAnsi="宋体"/>
                <w:bCs/>
                <w:color w:val="auto"/>
                <w:sz w:val="24"/>
                <w:highlight w:val="none"/>
                <w:lang w:eastAsia="zh-CN"/>
              </w:rPr>
              <w:t>Φ94mm</w:t>
            </w:r>
            <w:r>
              <w:rPr>
                <w:rFonts w:hint="eastAsia" w:ascii="Times New Roman" w:hAnsi="宋体"/>
                <w:bCs/>
                <w:color w:val="auto"/>
                <w:sz w:val="24"/>
                <w:highlight w:val="none"/>
              </w:rPr>
              <w:t>。</w:t>
            </w:r>
          </w:p>
          <w:p w14:paraId="5F3C57D3">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根据区域以往钻孔经验，</w:t>
            </w:r>
            <w:r>
              <w:rPr>
                <w:rFonts w:hint="eastAsia" w:ascii="Times New Roman" w:hAnsi="宋体"/>
                <w:bCs/>
                <w:color w:val="auto"/>
                <w:sz w:val="24"/>
                <w:highlight w:val="none"/>
              </w:rPr>
              <w:t>项目</w:t>
            </w:r>
            <w:r>
              <w:rPr>
                <w:rFonts w:hint="eastAsia" w:ascii="Times New Roman" w:hAnsi="宋体"/>
                <w:bCs/>
                <w:color w:val="auto"/>
                <w:sz w:val="24"/>
                <w:highlight w:val="none"/>
                <w:lang w:val="en-US" w:eastAsia="zh-CN"/>
              </w:rPr>
              <w:t>所在区域</w:t>
            </w:r>
            <w:r>
              <w:rPr>
                <w:rFonts w:hint="eastAsia" w:ascii="Times New Roman" w:hAnsi="宋体"/>
                <w:bCs/>
                <w:color w:val="auto"/>
                <w:sz w:val="24"/>
                <w:highlight w:val="none"/>
              </w:rPr>
              <w:t>在竖井施工过程中一般不会出现地下水涌水现象，如果在含水层出现地下水涌水现象，施工方有成熟的技术，使用外购混凝土封堵地下水涌出处，使其得到控制。</w:t>
            </w:r>
          </w:p>
          <w:p w14:paraId="6896676D">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val="en-US" w:eastAsia="zh-CN"/>
              </w:rPr>
              <w:t>钻孔产生的</w:t>
            </w:r>
            <w:r>
              <w:rPr>
                <w:rFonts w:hint="default" w:ascii="Times New Roman" w:hAnsi="宋体" w:eastAsia="宋体"/>
                <w:bCs/>
                <w:color w:val="auto"/>
                <w:sz w:val="24"/>
                <w:highlight w:val="none"/>
                <w:lang w:val="en-US" w:eastAsia="zh-CN"/>
              </w:rPr>
              <w:t>泥浆水进入沉淀池后，依靠重力沉降作用，使其中的固体颗粒（钻屑、泥土等）逐渐沉积至池底，实现泥浆水的初步净化。沉淀后的泥浆水通过池内溢流或泵抽方式被输送至泥浆池，继续参与泥浆循环（可回流至“泥浆配置”工序重新调配，或直接供“泥浆泵”再次注入钻孔）；而沉淀池底部沉降的固体物质，待钻井结束后投加泥浆固化剂</w:t>
            </w:r>
            <w:r>
              <w:rPr>
                <w:rFonts w:hint="eastAsia" w:ascii="Times New Roman" w:hAnsi="宋体"/>
                <w:bCs/>
                <w:color w:val="auto"/>
                <w:sz w:val="24"/>
                <w:highlight w:val="none"/>
                <w:lang w:val="en-US" w:eastAsia="zh-CN"/>
              </w:rPr>
              <w:t>固化后作为建筑材料外售</w:t>
            </w:r>
            <w:r>
              <w:rPr>
                <w:rFonts w:hint="default" w:ascii="Times New Roman" w:hAnsi="宋体" w:eastAsia="宋体"/>
                <w:bCs/>
                <w:color w:val="auto"/>
                <w:sz w:val="24"/>
                <w:highlight w:val="none"/>
                <w:lang w:val="en-US" w:eastAsia="zh-CN"/>
              </w:rPr>
              <w:t>。</w:t>
            </w:r>
          </w:p>
          <w:p w14:paraId="501AA770">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3</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终孔测井</w:t>
            </w:r>
          </w:p>
          <w:p w14:paraId="2859FFBA">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“一开钻进”达到设计孔深后，开展终孔测井作业。通过测井仪器沿钻孔轨迹下放、探测，对钻孔内地层岩性、煤层赋存状态、地质构造等信息进行精准采集。</w:t>
            </w:r>
          </w:p>
          <w:p w14:paraId="3EFE5ACB">
            <w:pPr>
              <w:spacing w:line="360" w:lineRule="auto"/>
              <w:ind w:firstLine="480" w:firstLineChars="200"/>
              <w:outlineLvl w:val="1"/>
              <w:rPr>
                <w:rFonts w:hint="default" w:ascii="Times New Roman" w:hAnsi="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4</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封孔、生态修复</w:t>
            </w:r>
          </w:p>
          <w:p w14:paraId="7712C0FB">
            <w:pPr>
              <w:spacing w:line="360" w:lineRule="auto"/>
              <w:ind w:firstLine="480" w:firstLineChars="200"/>
              <w:outlineLvl w:val="1"/>
              <w:rPr>
                <w:rFonts w:hint="eastAsia" w:ascii="Times New Roman" w:hAnsi="宋体"/>
                <w:bCs/>
                <w:color w:val="auto"/>
                <w:sz w:val="24"/>
                <w:highlight w:val="none"/>
                <w:lang w:eastAsia="zh-CN"/>
              </w:rPr>
            </w:pPr>
            <w:r>
              <w:rPr>
                <w:rFonts w:hint="eastAsia" w:ascii="Times New Roman" w:hAnsi="宋体"/>
                <w:bCs/>
                <w:color w:val="auto"/>
                <w:sz w:val="24"/>
                <w:highlight w:val="none"/>
                <w:lang w:eastAsia="zh-CN"/>
              </w:rPr>
              <w:t>钻孔施工完成后拆除钻机并清理现场，采用</w:t>
            </w:r>
            <w:r>
              <w:rPr>
                <w:rFonts w:hint="eastAsia" w:ascii="Times New Roman" w:hAnsi="宋体"/>
                <w:bCs/>
                <w:color w:val="auto"/>
                <w:sz w:val="24"/>
                <w:highlight w:val="none"/>
                <w:lang w:val="en-US" w:eastAsia="zh-CN"/>
              </w:rPr>
              <w:t>商品混凝土</w:t>
            </w:r>
            <w:r>
              <w:rPr>
                <w:rFonts w:hint="eastAsia" w:ascii="Times New Roman" w:hAnsi="宋体"/>
                <w:bCs/>
                <w:color w:val="auto"/>
                <w:sz w:val="24"/>
                <w:highlight w:val="none"/>
                <w:lang w:eastAsia="zh-CN"/>
              </w:rPr>
              <w:t>进行全孔封闭，并在井口埋设永久性水泥暗标，作详细记录封孔情况。施工结束后按照复垦方案对临时占地进行复垦，剥离的表土回填，恢复原有生态环境功能。</w:t>
            </w:r>
          </w:p>
          <w:p w14:paraId="23862CB5">
            <w:pPr>
              <w:spacing w:line="360" w:lineRule="auto"/>
              <w:ind w:firstLine="480" w:firstLineChars="200"/>
              <w:outlineLvl w:val="1"/>
              <w:rPr>
                <w:rFonts w:hint="eastAsia" w:ascii="Times New Roman" w:hAnsi="宋体"/>
                <w:bCs/>
                <w:color w:val="auto"/>
                <w:sz w:val="24"/>
                <w:highlight w:val="none"/>
                <w:lang w:eastAsia="zh-CN"/>
              </w:rPr>
            </w:pPr>
            <w:r>
              <w:rPr>
                <w:rFonts w:hint="eastAsia" w:ascii="Times New Roman" w:hAnsi="宋体"/>
                <w:bCs/>
                <w:color w:val="auto"/>
                <w:sz w:val="24"/>
                <w:highlight w:val="none"/>
                <w:lang w:eastAsia="zh-CN"/>
              </w:rPr>
              <w:t>封井过程中会有少量施工扬尘和建筑垃圾，施工扬尘采取洒水抑尘、建筑垃圾通过专用车辆运输至政府制定地点处置。</w:t>
            </w:r>
          </w:p>
          <w:p w14:paraId="50E8822F">
            <w:pPr>
              <w:pStyle w:val="30"/>
              <w:ind w:firstLine="480"/>
              <w:rPr>
                <w:rFonts w:hint="default" w:eastAsia="宋体"/>
                <w:b/>
                <w:bCs/>
                <w:color w:val="auto"/>
                <w:highlight w:val="none"/>
                <w:lang w:val="en-US" w:eastAsia="zh-CN"/>
              </w:rPr>
            </w:pPr>
            <w:r>
              <w:rPr>
                <w:rFonts w:hint="eastAsia"/>
                <w:b/>
                <w:bCs/>
                <w:color w:val="auto"/>
                <w:highlight w:val="none"/>
                <w:lang w:val="en-US" w:eastAsia="zh-CN"/>
              </w:rPr>
              <w:t>2、奥灰长观孔钻孔工程</w:t>
            </w:r>
          </w:p>
          <w:p w14:paraId="638B774B">
            <w:pPr>
              <w:pStyle w:val="30"/>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716145" cy="5151755"/>
                  <wp:effectExtent l="0" t="0" r="8255" b="1270"/>
                  <wp:docPr id="10" name="F360BE8B-6686-4F3D-AEAF-501FE73E4058-2" descr="奥灰长观孔钻孔工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2" descr="奥灰长观孔钻孔工程(1)"/>
                          <pic:cNvPicPr>
                            <a:picLocks noChangeAspect="1"/>
                          </pic:cNvPicPr>
                        </pic:nvPicPr>
                        <pic:blipFill>
                          <a:blip r:embed="rId13"/>
                          <a:stretch>
                            <a:fillRect/>
                          </a:stretch>
                        </pic:blipFill>
                        <pic:spPr>
                          <a:xfrm>
                            <a:off x="0" y="0"/>
                            <a:ext cx="4716145" cy="5151755"/>
                          </a:xfrm>
                          <a:prstGeom prst="rect">
                            <a:avLst/>
                          </a:prstGeom>
                        </pic:spPr>
                      </pic:pic>
                    </a:graphicData>
                  </a:graphic>
                </wp:inline>
              </w:drawing>
            </w:r>
          </w:p>
          <w:p w14:paraId="7EA4B0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图2-2  工艺流程图</w:t>
            </w:r>
          </w:p>
          <w:p w14:paraId="53986B1A">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工艺流程简述：</w:t>
            </w:r>
          </w:p>
          <w:p w14:paraId="06E5AAE5">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rPr>
              <w:t>（1）</w:t>
            </w:r>
            <w:r>
              <w:rPr>
                <w:rFonts w:hint="eastAsia" w:ascii="Times New Roman" w:hAnsi="宋体"/>
                <w:bCs/>
                <w:color w:val="auto"/>
                <w:sz w:val="24"/>
                <w:highlight w:val="none"/>
                <w:lang w:val="en-US" w:eastAsia="zh-CN"/>
              </w:rPr>
              <w:t>泥浆配置</w:t>
            </w:r>
          </w:p>
          <w:p w14:paraId="22F95AE0">
            <w:pPr>
              <w:spacing w:line="360" w:lineRule="auto"/>
              <w:ind w:firstLine="480" w:firstLineChars="200"/>
              <w:outlineLvl w:val="1"/>
              <w:rPr>
                <w:rFonts w:hint="eastAsia" w:ascii="Times New Roman" w:hAnsi="宋体" w:eastAsia="宋体"/>
                <w:bCs/>
                <w:color w:val="auto"/>
                <w:sz w:val="24"/>
                <w:highlight w:val="none"/>
                <w:lang w:val="en-US" w:eastAsia="zh-CN"/>
              </w:rPr>
            </w:pPr>
            <w:r>
              <w:rPr>
                <w:rFonts w:hint="eastAsia" w:ascii="Times New Roman" w:hAnsi="宋体"/>
                <w:bCs/>
                <w:color w:val="auto"/>
                <w:sz w:val="24"/>
                <w:highlight w:val="none"/>
              </w:rPr>
              <w:t>以水、纤维素、腐植酸为原料，在</w:t>
            </w:r>
            <w:r>
              <w:rPr>
                <w:rFonts w:hint="eastAsia" w:ascii="Times New Roman" w:hAnsi="宋体"/>
                <w:bCs/>
                <w:color w:val="auto"/>
                <w:sz w:val="24"/>
                <w:highlight w:val="none"/>
                <w:lang w:val="en-US" w:eastAsia="zh-CN"/>
              </w:rPr>
              <w:t>泥浆池内进行搅拌配置，配置完成后</w:t>
            </w:r>
            <w:r>
              <w:rPr>
                <w:rFonts w:hint="eastAsia" w:ascii="Times New Roman" w:hAnsi="宋体"/>
                <w:bCs/>
                <w:color w:val="auto"/>
                <w:sz w:val="24"/>
                <w:highlight w:val="none"/>
              </w:rPr>
              <w:t>一路被输送至泥浆泵，为后续钻进工序提供循环用泥浆；另一路进入泥浆池暂存，泥浆池兼具泥浆储存、浓度调节功能，且池内泥浆可通过循环管道回流至</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泥浆配置</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工序，实现泥浆的循环利用，减少资源消耗与废弃物产生</w:t>
            </w:r>
            <w:r>
              <w:rPr>
                <w:rFonts w:hint="eastAsia" w:ascii="Times New Roman" w:hAnsi="宋体"/>
                <w:bCs/>
                <w:color w:val="auto"/>
                <w:sz w:val="24"/>
                <w:highlight w:val="none"/>
                <w:lang w:eastAsia="zh-CN"/>
              </w:rPr>
              <w:t>。</w:t>
            </w:r>
          </w:p>
          <w:p w14:paraId="34B128EB">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2</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一二开钻进、测井、下套管、三开钻井</w:t>
            </w:r>
          </w:p>
          <w:p w14:paraId="66944240">
            <w:pPr>
              <w:spacing w:line="360" w:lineRule="auto"/>
              <w:ind w:firstLine="480" w:firstLineChars="200"/>
              <w:outlineLvl w:val="1"/>
              <w:rPr>
                <w:rFonts w:hint="eastAsia" w:ascii="Times New Roman" w:hAnsi="宋体"/>
                <w:bCs/>
                <w:color w:val="auto"/>
                <w:sz w:val="24"/>
                <w:highlight w:val="none"/>
                <w:lang w:eastAsia="zh-CN"/>
              </w:rPr>
            </w:pPr>
            <w:r>
              <w:rPr>
                <w:rFonts w:hint="eastAsia" w:ascii="Times New Roman" w:hAnsi="宋体"/>
                <w:bCs/>
                <w:color w:val="auto"/>
                <w:sz w:val="24"/>
                <w:highlight w:val="none"/>
              </w:rPr>
              <w:t>泥浆泵将配置好的泥浆持续泵入钻孔作业系统，配合钻机、钻井泵</w:t>
            </w:r>
            <w:r>
              <w:rPr>
                <w:rFonts w:hint="eastAsia" w:ascii="Times New Roman" w:hAnsi="宋体"/>
                <w:bCs/>
                <w:color w:val="auto"/>
                <w:sz w:val="24"/>
                <w:highlight w:val="none"/>
                <w:lang w:val="en-US" w:eastAsia="zh-CN"/>
              </w:rPr>
              <w:t>进行</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一开</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钻进施工。本项目钻孔均为普通地质孔，基本无特殊要求，钻孔结构均为裸孔</w:t>
            </w:r>
            <w:r>
              <w:rPr>
                <w:rFonts w:hint="eastAsia" w:ascii="Times New Roman" w:hAnsi="宋体"/>
                <w:bCs/>
                <w:color w:val="auto"/>
                <w:sz w:val="24"/>
                <w:highlight w:val="none"/>
                <w:lang w:eastAsia="zh-CN"/>
              </w:rPr>
              <w:t>。一开孔径</w:t>
            </w:r>
            <w:r>
              <w:rPr>
                <w:rFonts w:hint="eastAsia" w:ascii="Times New Roman" w:hAnsi="宋体"/>
                <w:bCs/>
                <w:color w:val="auto"/>
                <w:sz w:val="24"/>
                <w:highlight w:val="none"/>
                <w:lang w:val="en-US" w:eastAsia="zh-CN"/>
              </w:rPr>
              <w:t>146</w:t>
            </w:r>
            <w:r>
              <w:rPr>
                <w:rFonts w:hint="eastAsia" w:ascii="Times New Roman" w:hAnsi="宋体"/>
                <w:bCs/>
                <w:color w:val="auto"/>
                <w:sz w:val="24"/>
                <w:highlight w:val="none"/>
                <w:lang w:eastAsia="zh-CN"/>
              </w:rPr>
              <w:t>mm，孔深为基岩面下20m，下入Φ1</w:t>
            </w:r>
            <w:r>
              <w:rPr>
                <w:rFonts w:hint="eastAsia" w:ascii="Times New Roman" w:hAnsi="宋体"/>
                <w:bCs/>
                <w:color w:val="auto"/>
                <w:sz w:val="24"/>
                <w:highlight w:val="none"/>
                <w:lang w:val="en-US" w:eastAsia="zh-CN"/>
              </w:rPr>
              <w:t>46</w:t>
            </w:r>
            <w:r>
              <w:rPr>
                <w:rFonts w:hint="eastAsia" w:ascii="Times New Roman" w:hAnsi="宋体"/>
                <w:bCs/>
                <w:color w:val="auto"/>
                <w:sz w:val="24"/>
                <w:highlight w:val="none"/>
                <w:lang w:eastAsia="zh-CN"/>
              </w:rPr>
              <w:t>×7mm套管并用水泥固管；二开孔径</w:t>
            </w:r>
            <w:r>
              <w:rPr>
                <w:rFonts w:hint="eastAsia" w:ascii="Times New Roman" w:hAnsi="宋体"/>
                <w:bCs/>
                <w:color w:val="auto"/>
                <w:sz w:val="24"/>
                <w:highlight w:val="none"/>
                <w:lang w:val="en-US" w:eastAsia="zh-CN"/>
              </w:rPr>
              <w:t>108</w:t>
            </w:r>
            <w:r>
              <w:rPr>
                <w:rFonts w:hint="eastAsia" w:ascii="Times New Roman" w:hAnsi="宋体"/>
                <w:bCs/>
                <w:color w:val="auto"/>
                <w:sz w:val="24"/>
                <w:highlight w:val="none"/>
                <w:lang w:eastAsia="zh-CN"/>
              </w:rPr>
              <w:t>mm，下入奥灰地层不少于5m，下入Φ127×6mm套管并用水泥固管，</w:t>
            </w:r>
            <w:r>
              <w:rPr>
                <w:rFonts w:hint="default" w:ascii="Times New Roman" w:hAnsi="Times New Roman" w:cs="Times New Roman"/>
                <w:color w:val="auto"/>
                <w:sz w:val="24"/>
                <w:highlight w:val="none"/>
              </w:rPr>
              <w:t>将套管内灌满清水，观察管内水面变化情况，连续3小时每小时下降或上升不超过2cm即为止水合格</w:t>
            </w:r>
            <w:r>
              <w:rPr>
                <w:rFonts w:hint="eastAsia" w:ascii="Times New Roman" w:hAnsi="宋体"/>
                <w:bCs/>
                <w:color w:val="auto"/>
                <w:sz w:val="24"/>
                <w:highlight w:val="none"/>
                <w:lang w:eastAsia="zh-CN"/>
              </w:rPr>
              <w:t>；三开抽水段孔径9</w:t>
            </w:r>
            <w:r>
              <w:rPr>
                <w:rFonts w:hint="eastAsia" w:ascii="Times New Roman" w:hAnsi="宋体"/>
                <w:bCs/>
                <w:color w:val="auto"/>
                <w:sz w:val="24"/>
                <w:highlight w:val="none"/>
                <w:lang w:val="en-US" w:eastAsia="zh-CN"/>
              </w:rPr>
              <w:t>4</w:t>
            </w:r>
            <w:r>
              <w:rPr>
                <w:rFonts w:hint="eastAsia" w:ascii="Times New Roman" w:hAnsi="宋体"/>
                <w:bCs/>
                <w:color w:val="auto"/>
                <w:sz w:val="24"/>
                <w:highlight w:val="none"/>
                <w:lang w:eastAsia="zh-CN"/>
              </w:rPr>
              <w:t>mm，孔深为终孔，裸孔。</w:t>
            </w:r>
          </w:p>
          <w:p w14:paraId="3C0E4D8A">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根据区域以往钻孔经验，</w:t>
            </w:r>
            <w:r>
              <w:rPr>
                <w:rFonts w:hint="eastAsia" w:ascii="Times New Roman" w:hAnsi="宋体"/>
                <w:bCs/>
                <w:color w:val="auto"/>
                <w:sz w:val="24"/>
                <w:highlight w:val="none"/>
              </w:rPr>
              <w:t>项目</w:t>
            </w:r>
            <w:r>
              <w:rPr>
                <w:rFonts w:hint="eastAsia" w:ascii="Times New Roman" w:hAnsi="宋体"/>
                <w:bCs/>
                <w:color w:val="auto"/>
                <w:sz w:val="24"/>
                <w:highlight w:val="none"/>
                <w:lang w:val="en-US" w:eastAsia="zh-CN"/>
              </w:rPr>
              <w:t>所在区域</w:t>
            </w:r>
            <w:r>
              <w:rPr>
                <w:rFonts w:hint="eastAsia" w:ascii="Times New Roman" w:hAnsi="宋体"/>
                <w:bCs/>
                <w:color w:val="auto"/>
                <w:sz w:val="24"/>
                <w:highlight w:val="none"/>
              </w:rPr>
              <w:t>在竖井施工过程中一般不会出现地下水涌水现象，如果在含水层出现地下水涌水现象，施工方有成熟的技术，使用外购混凝土封堵地下水涌出处，使其得到控制。</w:t>
            </w:r>
          </w:p>
          <w:p w14:paraId="21897E9D">
            <w:pPr>
              <w:spacing w:line="360" w:lineRule="auto"/>
              <w:ind w:firstLine="480" w:firstLineChars="200"/>
              <w:outlineLvl w:val="1"/>
              <w:rPr>
                <w:rFonts w:hint="default" w:ascii="Times New Roman" w:hAnsi="宋体" w:eastAsia="宋体"/>
                <w:bCs/>
                <w:color w:val="auto"/>
                <w:sz w:val="24"/>
                <w:highlight w:val="none"/>
                <w:lang w:val="en-US" w:eastAsia="zh-CN"/>
              </w:rPr>
            </w:pPr>
            <w:r>
              <w:rPr>
                <w:rFonts w:hint="eastAsia" w:ascii="Times New Roman" w:hAnsi="宋体"/>
                <w:bCs/>
                <w:color w:val="auto"/>
                <w:sz w:val="24"/>
                <w:highlight w:val="none"/>
                <w:lang w:val="en-US" w:eastAsia="zh-CN"/>
              </w:rPr>
              <w:t>钻孔产生的</w:t>
            </w:r>
            <w:r>
              <w:rPr>
                <w:rFonts w:hint="default" w:ascii="Times New Roman" w:hAnsi="宋体" w:eastAsia="宋体"/>
                <w:bCs/>
                <w:color w:val="auto"/>
                <w:sz w:val="24"/>
                <w:highlight w:val="none"/>
                <w:lang w:val="en-US" w:eastAsia="zh-CN"/>
              </w:rPr>
              <w:t>泥浆水进入沉淀池后，依靠重力沉降作用，使其中的固体颗粒（钻屑、泥土等）逐渐沉积至池底，实现泥浆水的初步净化。沉淀后的泥浆水通过池内溢流或泵抽方式被输送至泥浆池，继续参与泥浆循环（可回流至</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泥浆配置</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工序重新调配，或直接供</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泥浆泵</w:t>
            </w:r>
            <w:r>
              <w:rPr>
                <w:rFonts w:hint="eastAsia" w:ascii="Times New Roman" w:hAnsi="宋体"/>
                <w:bCs/>
                <w:color w:val="auto"/>
                <w:sz w:val="24"/>
                <w:highlight w:val="none"/>
                <w:lang w:val="en-US" w:eastAsia="zh-CN"/>
              </w:rPr>
              <w:t>”</w:t>
            </w:r>
            <w:r>
              <w:rPr>
                <w:rFonts w:hint="default" w:ascii="Times New Roman" w:hAnsi="宋体" w:eastAsia="宋体"/>
                <w:bCs/>
                <w:color w:val="auto"/>
                <w:sz w:val="24"/>
                <w:highlight w:val="none"/>
                <w:lang w:val="en-US" w:eastAsia="zh-CN"/>
              </w:rPr>
              <w:t>再次注入钻孔）；而沉淀池底部沉降的固体物质，待钻井结束后投加泥浆固化剂</w:t>
            </w:r>
            <w:r>
              <w:rPr>
                <w:rFonts w:hint="eastAsia" w:ascii="Times New Roman" w:hAnsi="宋体"/>
                <w:bCs/>
                <w:color w:val="auto"/>
                <w:sz w:val="24"/>
                <w:highlight w:val="none"/>
                <w:lang w:val="en-US" w:eastAsia="zh-CN"/>
              </w:rPr>
              <w:t>固化后作为建筑材料外售</w:t>
            </w:r>
            <w:r>
              <w:rPr>
                <w:rFonts w:hint="default" w:ascii="Times New Roman" w:hAnsi="宋体" w:eastAsia="宋体"/>
                <w:bCs/>
                <w:color w:val="auto"/>
                <w:sz w:val="24"/>
                <w:highlight w:val="none"/>
                <w:lang w:val="en-US" w:eastAsia="zh-CN"/>
              </w:rPr>
              <w:t>。</w:t>
            </w:r>
          </w:p>
          <w:p w14:paraId="47140813">
            <w:pPr>
              <w:spacing w:line="360" w:lineRule="auto"/>
              <w:ind w:firstLine="480" w:firstLineChars="200"/>
              <w:outlineLvl w:val="1"/>
              <w:rPr>
                <w:rFonts w:hint="default" w:ascii="Times New Roman" w:hAnsi="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3</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抽水试验、孔口保护</w:t>
            </w:r>
          </w:p>
          <w:p w14:paraId="68BC1052">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①抽水设备：潜水泵，型号为100QJ10-108。</w:t>
            </w:r>
          </w:p>
          <w:p w14:paraId="73BCBB9E">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②抽水试验前编制专门的抽水试验设计，并报矿方审批。设计内容包括抽水试验任务及要求，试验含水层（段）的起、止深度，孔径、止水套管的直径及下入层位、深度及止水方法，简易水文地质观测，采用的抽水设备、工具以及抽水试验质量要求等。</w:t>
            </w:r>
          </w:p>
          <w:p w14:paraId="7F6097BE">
            <w:pPr>
              <w:spacing w:line="360" w:lineRule="auto"/>
              <w:ind w:firstLine="480" w:firstLineChars="200"/>
              <w:outlineLvl w:val="1"/>
              <w:rPr>
                <w:rFonts w:hint="eastAsia" w:ascii="Times New Roman" w:hAnsi="宋体"/>
                <w:bCs/>
                <w:color w:val="auto"/>
                <w:sz w:val="24"/>
                <w:highlight w:val="none"/>
                <w:lang w:val="en-US" w:eastAsia="zh-CN"/>
              </w:rPr>
            </w:pPr>
            <w:r>
              <w:rPr>
                <w:rFonts w:hint="eastAsia" w:ascii="Times New Roman" w:hAnsi="宋体"/>
                <w:bCs/>
                <w:color w:val="auto"/>
                <w:sz w:val="24"/>
                <w:highlight w:val="none"/>
              </w:rPr>
              <w:t>③</w:t>
            </w:r>
            <w:r>
              <w:rPr>
                <w:rFonts w:hint="eastAsia" w:ascii="Times New Roman" w:hAnsi="宋体"/>
                <w:bCs/>
                <w:color w:val="auto"/>
                <w:sz w:val="24"/>
                <w:highlight w:val="none"/>
                <w:lang w:val="en-US" w:eastAsia="zh-CN"/>
              </w:rPr>
              <w:t>洗井：基岩抽水孔先用冲孔器上下来回高压射流抽水段逐段洗孔；然后用潜水泵反复大降深抽水或压风机反复震荡洗井，直至孔口返清水为止，每次抽水总连续洗孔时间应不少于24h。洗孔结束后，由地质员检测抽水目的层段淤塞长度，当淤塞长度达到抽水层段1/8时，需对孔内淤塞物进行专门打捞。</w:t>
            </w:r>
          </w:p>
          <w:p w14:paraId="27147696">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根据建设单位施工经验，</w:t>
            </w:r>
            <w:r>
              <w:rPr>
                <w:rFonts w:hint="eastAsia" w:ascii="Times New Roman" w:hAnsi="宋体"/>
                <w:bCs/>
                <w:color w:val="auto"/>
                <w:sz w:val="24"/>
                <w:highlight w:val="none"/>
                <w:lang w:val="en-US" w:eastAsia="zh-CN"/>
              </w:rPr>
              <w:t>本项目洗井采用泥浆池上清液进行清洗，清洗后的废水返回泥浆池内不外排</w:t>
            </w:r>
            <w:r>
              <w:rPr>
                <w:rFonts w:hint="eastAsia" w:ascii="Times New Roman" w:hAnsi="宋体"/>
                <w:bCs/>
                <w:color w:val="auto"/>
                <w:sz w:val="24"/>
                <w:highlight w:val="none"/>
              </w:rPr>
              <w:t>。</w:t>
            </w:r>
          </w:p>
          <w:p w14:paraId="57603703">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④</w:t>
            </w:r>
            <w:r>
              <w:rPr>
                <w:rFonts w:hint="eastAsia" w:ascii="Times New Roman" w:hAnsi="宋体"/>
                <w:bCs/>
                <w:color w:val="auto"/>
                <w:sz w:val="24"/>
                <w:highlight w:val="none"/>
              </w:rPr>
              <w:t>抽水试验按照观测静止水位、试抽、正式抽水、观测恢复水位的步骤进行。</w:t>
            </w:r>
          </w:p>
          <w:p w14:paraId="46456FE1">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⑤</w:t>
            </w:r>
            <w:r>
              <w:rPr>
                <w:rFonts w:hint="eastAsia" w:ascii="Times New Roman" w:hAnsi="宋体"/>
                <w:bCs/>
                <w:color w:val="auto"/>
                <w:sz w:val="24"/>
                <w:highlight w:val="none"/>
              </w:rPr>
              <w:t>抽水试验采用稳定流抽水方法，步骤及方法如下：</w:t>
            </w:r>
          </w:p>
          <w:p w14:paraId="084F38E7">
            <w:pPr>
              <w:spacing w:line="360" w:lineRule="auto"/>
              <w:ind w:firstLine="480" w:firstLineChars="200"/>
              <w:outlineLvl w:val="1"/>
              <w:rPr>
                <w:rFonts w:hint="eastAsia" w:ascii="Times New Roman" w:hAnsi="宋体" w:eastAsia="宋体"/>
                <w:bCs/>
                <w:color w:val="auto"/>
                <w:sz w:val="24"/>
                <w:highlight w:val="none"/>
                <w:lang w:eastAsia="zh-CN"/>
              </w:rPr>
            </w:pPr>
            <w:r>
              <w:rPr>
                <w:rFonts w:hint="eastAsia" w:ascii="Times New Roman" w:hAnsi="宋体"/>
                <w:bCs/>
                <w:color w:val="auto"/>
                <w:sz w:val="24"/>
                <w:highlight w:val="none"/>
              </w:rPr>
              <w:t>A、水位降深应根据试验目的和含水层的突水程度确定，应尽设备能力做一次最大降深，其值宜不小于10m</w:t>
            </w:r>
            <w:r>
              <w:rPr>
                <w:rFonts w:hint="eastAsia" w:ascii="Times New Roman" w:hAnsi="宋体"/>
                <w:bCs/>
                <w:color w:val="auto"/>
                <w:sz w:val="24"/>
                <w:highlight w:val="none"/>
                <w:lang w:eastAsia="zh-CN"/>
              </w:rPr>
              <w:t>。</w:t>
            </w:r>
          </w:p>
          <w:p w14:paraId="3D26B494">
            <w:pPr>
              <w:spacing w:line="360" w:lineRule="auto"/>
              <w:ind w:firstLine="480" w:firstLineChars="200"/>
              <w:outlineLvl w:val="1"/>
              <w:rPr>
                <w:rFonts w:hint="eastAsia" w:ascii="Times New Roman" w:hAnsi="宋体" w:eastAsia="宋体"/>
                <w:bCs/>
                <w:color w:val="auto"/>
                <w:sz w:val="24"/>
                <w:highlight w:val="none"/>
                <w:lang w:val="en-US" w:eastAsia="zh-CN"/>
              </w:rPr>
            </w:pPr>
            <w:r>
              <w:rPr>
                <w:rFonts w:hint="eastAsia" w:ascii="Times New Roman" w:hAnsi="宋体"/>
                <w:bCs/>
                <w:color w:val="auto"/>
                <w:sz w:val="24"/>
                <w:highlight w:val="none"/>
                <w:lang w:val="en-US" w:eastAsia="zh-CN"/>
              </w:rPr>
              <w:t>B、</w:t>
            </w:r>
            <w:r>
              <w:rPr>
                <w:rFonts w:hint="eastAsia" w:ascii="Times New Roman" w:hAnsi="宋体"/>
                <w:bCs/>
                <w:color w:val="auto"/>
                <w:sz w:val="24"/>
                <w:highlight w:val="none"/>
              </w:rPr>
              <w:t>稳定时段延续时间单孔抽水试验最低不小于8小时，若有越流影响的抽水必须适当延长</w:t>
            </w:r>
            <w:r>
              <w:rPr>
                <w:rFonts w:hint="eastAsia" w:ascii="Times New Roman" w:hAnsi="宋体"/>
                <w:bCs/>
                <w:color w:val="auto"/>
                <w:sz w:val="24"/>
                <w:highlight w:val="none"/>
                <w:lang w:eastAsia="zh-CN"/>
              </w:rPr>
              <w:t>。</w:t>
            </w:r>
          </w:p>
          <w:p w14:paraId="3B38764C">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C、稳定时段内钻孔水位、流量稳定程度、水位波动相对误差、水位变化不大于2cm，漏水量波动相对误差不大于其平均值的5%。</w:t>
            </w:r>
          </w:p>
          <w:p w14:paraId="1E4D0C49">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D、抽水试验过程中应取全取准水位下降、流量、水温、水位恢复的连续观测资料。</w:t>
            </w:r>
          </w:p>
          <w:p w14:paraId="20974353">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E</w:t>
            </w:r>
            <w:r>
              <w:rPr>
                <w:rFonts w:hint="eastAsia" w:ascii="Times New Roman" w:hAnsi="宋体"/>
                <w:bCs/>
                <w:color w:val="auto"/>
                <w:sz w:val="24"/>
                <w:highlight w:val="none"/>
              </w:rPr>
              <w:t>、在抽水过程中，必须随时绘制Q-S曲线及q-S曲线，当曲线形态异常时，要及时分析原因并纠正。</w:t>
            </w:r>
          </w:p>
          <w:p w14:paraId="101B4A39">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F</w:t>
            </w:r>
            <w:r>
              <w:rPr>
                <w:rFonts w:hint="eastAsia" w:ascii="Times New Roman" w:hAnsi="宋体"/>
                <w:bCs/>
                <w:color w:val="auto"/>
                <w:sz w:val="24"/>
                <w:highlight w:val="none"/>
              </w:rPr>
              <w:t>、每次抽水试验，与抽水试验主孔相邻同层位及距离较近不同层位的水文孔作为观测孔需同步进行观测，同层位作为抽水试验的一个观测孔，不同层位的考察各层位之间的水力联系。</w:t>
            </w:r>
          </w:p>
          <w:p w14:paraId="751F2A7A">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G</w:t>
            </w:r>
            <w:r>
              <w:rPr>
                <w:rFonts w:hint="eastAsia" w:ascii="Times New Roman" w:hAnsi="宋体"/>
                <w:bCs/>
                <w:color w:val="auto"/>
                <w:sz w:val="24"/>
                <w:highlight w:val="none"/>
              </w:rPr>
              <w:t>、涌水量和水位观测必须认真准确，试验原始记录应及时、正确、整洁，字迹清楚、无涂改。</w:t>
            </w:r>
          </w:p>
          <w:p w14:paraId="1F458304">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H</w:t>
            </w:r>
            <w:r>
              <w:rPr>
                <w:rFonts w:hint="eastAsia" w:ascii="Times New Roman" w:hAnsi="宋体"/>
                <w:bCs/>
                <w:color w:val="auto"/>
                <w:sz w:val="24"/>
                <w:highlight w:val="none"/>
              </w:rPr>
              <w:t>、最后一个降深抽水结束前，取水质全分析样。</w:t>
            </w:r>
          </w:p>
          <w:p w14:paraId="44326816">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I</w:t>
            </w:r>
            <w:r>
              <w:rPr>
                <w:rFonts w:hint="eastAsia" w:ascii="Times New Roman" w:hAnsi="宋体"/>
                <w:bCs/>
                <w:color w:val="auto"/>
                <w:sz w:val="24"/>
                <w:highlight w:val="none"/>
              </w:rPr>
              <w:t>、恢复水位观测结束后应探测孔深，当孔内淤塞物厚度≥含水层厚度1/8时，要进行打捞。</w:t>
            </w:r>
          </w:p>
          <w:p w14:paraId="651A4306">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lang w:val="en-US" w:eastAsia="zh-CN"/>
              </w:rPr>
              <w:t>J、</w:t>
            </w:r>
            <w:r>
              <w:rPr>
                <w:rFonts w:hint="eastAsia" w:ascii="Times New Roman" w:hAnsi="宋体"/>
                <w:bCs/>
                <w:color w:val="auto"/>
                <w:sz w:val="24"/>
                <w:highlight w:val="none"/>
              </w:rPr>
              <w:t>抽水试验结束用Φ91mm钻头继续钻进至终孔，测井，取心深度按设计要求执行。以上钻进过程中进行岩（煤）心编录、取样测试、简易水文观测等工作。</w:t>
            </w:r>
          </w:p>
          <w:p w14:paraId="1EE7C64B">
            <w:pPr>
              <w:spacing w:line="360" w:lineRule="auto"/>
              <w:ind w:firstLine="480" w:firstLineChars="200"/>
              <w:outlineLvl w:val="1"/>
              <w:rPr>
                <w:rFonts w:hint="eastAsia" w:ascii="Times New Roman" w:hAnsi="宋体"/>
                <w:bCs/>
                <w:color w:val="auto"/>
                <w:sz w:val="24"/>
                <w:highlight w:val="none"/>
              </w:rPr>
            </w:pPr>
            <w:r>
              <w:rPr>
                <w:rFonts w:hint="eastAsia" w:ascii="Times New Roman" w:hAnsi="宋体"/>
                <w:bCs/>
                <w:color w:val="auto"/>
                <w:sz w:val="24"/>
                <w:highlight w:val="none"/>
              </w:rPr>
              <w:t>根据建设单位施工经验</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水文孔施工过程中一般进行</w:t>
            </w:r>
            <w:r>
              <w:rPr>
                <w:rFonts w:hint="eastAsia" w:ascii="Times New Roman" w:hAnsi="宋体"/>
                <w:bCs/>
                <w:color w:val="auto"/>
                <w:sz w:val="24"/>
                <w:highlight w:val="none"/>
                <w:lang w:val="en-US" w:eastAsia="zh-CN"/>
              </w:rPr>
              <w:t>3</w:t>
            </w:r>
            <w:r>
              <w:rPr>
                <w:rFonts w:hint="eastAsia" w:ascii="Times New Roman" w:hAnsi="宋体"/>
                <w:bCs/>
                <w:color w:val="auto"/>
                <w:sz w:val="24"/>
                <w:highlight w:val="none"/>
              </w:rPr>
              <w:t>次抽水试验，</w:t>
            </w:r>
            <w:r>
              <w:rPr>
                <w:rFonts w:hint="eastAsia" w:ascii="Times New Roman" w:hAnsi="Times New Roman" w:cs="Times New Roman"/>
                <w:color w:val="auto"/>
                <w:sz w:val="24"/>
                <w:highlight w:val="none"/>
                <w:lang w:val="en-US" w:eastAsia="zh-CN"/>
              </w:rPr>
              <w:t>，抽水量逐次减少，最后一次抽水需进行水质全成分检测</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平均</w:t>
            </w:r>
            <w:r>
              <w:rPr>
                <w:rFonts w:hint="default" w:ascii="Times New Roman" w:hAnsi="Times New Roman" w:eastAsia="宋体" w:cs="Times New Roman"/>
                <w:color w:val="auto"/>
                <w:sz w:val="24"/>
                <w:highlight w:val="none"/>
                <w:lang w:val="en-US" w:eastAsia="zh-CN"/>
              </w:rPr>
              <w:t>每次抽水量约为50m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合计约150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宋体"/>
                <w:bCs/>
                <w:color w:val="auto"/>
                <w:sz w:val="24"/>
                <w:highlight w:val="none"/>
                <w:lang w:eastAsia="zh-CN"/>
              </w:rPr>
              <w:t>）</w:t>
            </w:r>
            <w:r>
              <w:rPr>
                <w:rFonts w:hint="eastAsia" w:ascii="Times New Roman" w:hAnsi="宋体"/>
                <w:bCs/>
                <w:color w:val="auto"/>
                <w:sz w:val="24"/>
                <w:highlight w:val="none"/>
              </w:rPr>
              <w:t>，</w:t>
            </w:r>
            <w:r>
              <w:rPr>
                <w:rFonts w:hint="eastAsia" w:ascii="Times New Roman" w:hAnsi="宋体"/>
                <w:bCs/>
                <w:color w:val="auto"/>
                <w:sz w:val="24"/>
                <w:highlight w:val="none"/>
                <w:lang w:val="en-US" w:eastAsia="zh-CN"/>
              </w:rPr>
              <w:t>抽出的清水排入清水池，本项目清水池容积约160m</w:t>
            </w:r>
            <w:r>
              <w:rPr>
                <w:rFonts w:hint="eastAsia" w:ascii="Times New Roman" w:hAnsi="宋体"/>
                <w:bCs/>
                <w:color w:val="auto"/>
                <w:sz w:val="24"/>
                <w:highlight w:val="none"/>
                <w:vertAlign w:val="superscript"/>
                <w:lang w:val="en-US" w:eastAsia="zh-CN"/>
              </w:rPr>
              <w:t>3</w:t>
            </w:r>
            <w:r>
              <w:rPr>
                <w:rFonts w:hint="eastAsia" w:ascii="Times New Roman" w:hAnsi="宋体"/>
                <w:bCs/>
                <w:color w:val="auto"/>
                <w:sz w:val="24"/>
                <w:highlight w:val="none"/>
                <w:lang w:val="en-US" w:eastAsia="zh-CN"/>
              </w:rPr>
              <w:t>，满足贮存要求。</w:t>
            </w:r>
            <w:r>
              <w:rPr>
                <w:rFonts w:hint="eastAsia" w:eastAsia="宋体"/>
                <w:color w:val="auto"/>
                <w:sz w:val="24"/>
                <w:highlight w:val="none"/>
              </w:rPr>
              <w:t>抽水试验所抽水为深层干净地下水，不含有毒有害物质</w:t>
            </w:r>
            <w:r>
              <w:rPr>
                <w:rFonts w:hint="eastAsia"/>
                <w:color w:val="auto"/>
                <w:sz w:val="24"/>
                <w:highlight w:val="none"/>
                <w:lang w:eastAsia="zh-CN"/>
              </w:rPr>
              <w:t>。</w:t>
            </w:r>
            <w:r>
              <w:rPr>
                <w:rFonts w:hint="eastAsia"/>
                <w:color w:val="auto"/>
                <w:sz w:val="24"/>
                <w:highlight w:val="none"/>
                <w:lang w:val="en-US" w:eastAsia="zh-CN"/>
              </w:rPr>
              <w:t>本项目要求施工单位根据</w:t>
            </w:r>
            <w:r>
              <w:rPr>
                <w:rFonts w:hint="eastAsia" w:eastAsia="宋体" w:cs="Times New Roman"/>
                <w:color w:val="auto"/>
                <w:sz w:val="24"/>
                <w:highlight w:val="none"/>
                <w:lang w:val="en-US" w:eastAsia="zh-CN"/>
              </w:rPr>
              <w:t>抽水</w:t>
            </w:r>
            <w:r>
              <w:rPr>
                <w:rFonts w:hint="default" w:ascii="Times New Roman" w:hAnsi="Times New Roman" w:eastAsia="宋体" w:cs="Times New Roman"/>
                <w:color w:val="auto"/>
                <w:sz w:val="24"/>
                <w:highlight w:val="none"/>
                <w:lang w:val="en-US" w:eastAsia="zh-CN"/>
              </w:rPr>
              <w:t>试验</w:t>
            </w:r>
            <w:r>
              <w:rPr>
                <w:rFonts w:hint="eastAsia" w:ascii="Times New Roman" w:hAnsi="Times New Roman" w:cs="Times New Roman"/>
                <w:color w:val="auto"/>
                <w:sz w:val="24"/>
                <w:highlight w:val="none"/>
                <w:lang w:val="en-US" w:eastAsia="zh-CN"/>
              </w:rPr>
              <w:t>水质全成分检测结果进行针对性处置，若水质质量满足农田灌溉要求，则</w:t>
            </w:r>
            <w:r>
              <w:rPr>
                <w:rFonts w:hint="eastAsia" w:eastAsia="宋体"/>
                <w:color w:val="auto"/>
                <w:sz w:val="24"/>
                <w:highlight w:val="none"/>
              </w:rPr>
              <w:t>与周边农户协商好之后</w:t>
            </w:r>
            <w:r>
              <w:rPr>
                <w:rFonts w:hint="eastAsia"/>
                <w:color w:val="auto"/>
                <w:sz w:val="24"/>
                <w:highlight w:val="none"/>
                <w:lang w:eastAsia="zh-CN"/>
              </w:rPr>
              <w:t>，</w:t>
            </w:r>
            <w:r>
              <w:rPr>
                <w:rFonts w:hint="eastAsia" w:eastAsia="宋体"/>
                <w:color w:val="auto"/>
                <w:sz w:val="24"/>
                <w:highlight w:val="none"/>
              </w:rPr>
              <w:t>用于周边农田灌溉使用</w:t>
            </w:r>
            <w:r>
              <w:rPr>
                <w:rFonts w:hint="eastAsia"/>
                <w:color w:val="auto"/>
                <w:sz w:val="24"/>
                <w:highlight w:val="none"/>
                <w:lang w:eastAsia="zh-CN"/>
              </w:rPr>
              <w:t>，</w:t>
            </w:r>
            <w:r>
              <w:rPr>
                <w:rFonts w:hint="eastAsia"/>
                <w:color w:val="auto"/>
                <w:sz w:val="24"/>
                <w:highlight w:val="none"/>
                <w:lang w:val="en-US" w:eastAsia="zh-CN"/>
              </w:rPr>
              <w:t>若</w:t>
            </w:r>
            <w:r>
              <w:rPr>
                <w:rFonts w:hint="eastAsia" w:ascii="Times New Roman" w:hAnsi="Times New Roman" w:cs="Times New Roman"/>
                <w:color w:val="auto"/>
                <w:sz w:val="24"/>
                <w:highlight w:val="none"/>
                <w:lang w:val="en-US" w:eastAsia="zh-CN"/>
              </w:rPr>
              <w:t>水质质量</w:t>
            </w:r>
            <w:r>
              <w:rPr>
                <w:rFonts w:hint="eastAsia"/>
                <w:color w:val="auto"/>
                <w:sz w:val="24"/>
                <w:highlight w:val="none"/>
                <w:lang w:val="en-US" w:eastAsia="zh-CN"/>
              </w:rPr>
              <w:t>不满足</w:t>
            </w:r>
            <w:r>
              <w:rPr>
                <w:rFonts w:hint="eastAsia" w:ascii="Times New Roman" w:hAnsi="Times New Roman" w:cs="Times New Roman"/>
                <w:color w:val="auto"/>
                <w:sz w:val="24"/>
                <w:highlight w:val="none"/>
                <w:lang w:val="en-US" w:eastAsia="zh-CN"/>
              </w:rPr>
              <w:t>农田灌溉要求，则委托有处置能力单位进行处置</w:t>
            </w:r>
            <w:r>
              <w:rPr>
                <w:rFonts w:hint="eastAsia" w:ascii="Times New Roman" w:hAnsi="宋体"/>
                <w:bCs/>
                <w:color w:val="auto"/>
                <w:sz w:val="24"/>
                <w:highlight w:val="none"/>
              </w:rPr>
              <w:t>。</w:t>
            </w:r>
          </w:p>
          <w:p w14:paraId="412D3F10">
            <w:pPr>
              <w:spacing w:line="360" w:lineRule="auto"/>
              <w:ind w:firstLine="480" w:firstLineChars="200"/>
              <w:outlineLvl w:val="1"/>
              <w:rPr>
                <w:rFonts w:hint="default" w:ascii="Times New Roman" w:hAnsi="宋体"/>
                <w:bCs/>
                <w:color w:val="auto"/>
                <w:sz w:val="24"/>
                <w:highlight w:val="none"/>
                <w:lang w:val="en-US" w:eastAsia="zh-CN"/>
              </w:rPr>
            </w:pP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4</w:t>
            </w:r>
            <w:r>
              <w:rPr>
                <w:rFonts w:hint="eastAsia" w:ascii="Times New Roman" w:hAnsi="宋体"/>
                <w:bCs/>
                <w:color w:val="auto"/>
                <w:sz w:val="24"/>
                <w:highlight w:val="none"/>
                <w:lang w:eastAsia="zh-CN"/>
              </w:rPr>
              <w:t>）</w:t>
            </w:r>
            <w:r>
              <w:rPr>
                <w:rFonts w:hint="eastAsia" w:ascii="Times New Roman" w:hAnsi="宋体"/>
                <w:bCs/>
                <w:color w:val="auto"/>
                <w:sz w:val="24"/>
                <w:highlight w:val="none"/>
                <w:lang w:val="en-US" w:eastAsia="zh-CN"/>
              </w:rPr>
              <w:t>孔口保护</w:t>
            </w:r>
          </w:p>
          <w:p w14:paraId="26868517">
            <w:pPr>
              <w:spacing w:line="360" w:lineRule="auto"/>
              <w:ind w:firstLine="480" w:firstLineChars="200"/>
              <w:outlineLvl w:val="1"/>
              <w:rPr>
                <w:rFonts w:hint="eastAsia" w:ascii="Times New Roman" w:hAnsi="宋体"/>
                <w:bCs/>
                <w:color w:val="auto"/>
                <w:sz w:val="24"/>
                <w:highlight w:val="none"/>
                <w:lang w:eastAsia="zh-CN"/>
              </w:rPr>
            </w:pPr>
            <w:r>
              <w:rPr>
                <w:rFonts w:hint="eastAsia" w:ascii="Times New Roman" w:hAnsi="宋体"/>
                <w:bCs/>
                <w:color w:val="auto"/>
                <w:sz w:val="24"/>
                <w:highlight w:val="none"/>
                <w:lang w:eastAsia="zh-CN"/>
              </w:rPr>
              <w:t>钻孔施工完成后拆除钻机并清理现场，</w:t>
            </w:r>
            <w:r>
              <w:rPr>
                <w:rFonts w:hint="eastAsia" w:ascii="Times New Roman" w:hAnsi="宋体"/>
                <w:bCs/>
                <w:color w:val="auto"/>
                <w:sz w:val="24"/>
                <w:highlight w:val="none"/>
                <w:lang w:val="en-US" w:eastAsia="zh-CN"/>
              </w:rPr>
              <w:t>在井口出安装孔口保护帽，</w:t>
            </w:r>
            <w:r>
              <w:rPr>
                <w:rFonts w:hint="eastAsia" w:ascii="Times New Roman" w:hAnsi="宋体"/>
                <w:bCs/>
                <w:color w:val="auto"/>
                <w:sz w:val="24"/>
                <w:highlight w:val="none"/>
                <w:lang w:eastAsia="zh-CN"/>
              </w:rPr>
              <w:t>并在井口</w:t>
            </w:r>
            <w:r>
              <w:rPr>
                <w:rFonts w:hint="eastAsia" w:ascii="Times New Roman" w:hAnsi="宋体"/>
                <w:bCs/>
                <w:color w:val="auto"/>
                <w:sz w:val="24"/>
                <w:highlight w:val="none"/>
                <w:lang w:val="en-US" w:eastAsia="zh-CN"/>
              </w:rPr>
              <w:t>处设置标志牌</w:t>
            </w:r>
            <w:r>
              <w:rPr>
                <w:rFonts w:hint="eastAsia" w:ascii="Times New Roman" w:hAnsi="宋体"/>
                <w:bCs/>
                <w:color w:val="auto"/>
                <w:sz w:val="24"/>
                <w:highlight w:val="none"/>
                <w:lang w:eastAsia="zh-CN"/>
              </w:rPr>
              <w:t>。</w:t>
            </w:r>
          </w:p>
          <w:p w14:paraId="55767F28">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5</w:t>
            </w:r>
            <w:r>
              <w:rPr>
                <w:rFonts w:hint="eastAsia" w:ascii="Times New Roman" w:hAnsi="Times New Roman"/>
                <w:color w:val="auto"/>
                <w:sz w:val="24"/>
                <w:highlight w:val="none"/>
                <w:lang w:eastAsia="zh-CN"/>
              </w:rPr>
              <w:t>）</w:t>
            </w:r>
            <w:r>
              <w:rPr>
                <w:rFonts w:ascii="Times New Roman" w:hAnsi="Times New Roman"/>
                <w:color w:val="auto"/>
                <w:sz w:val="24"/>
                <w:highlight w:val="none"/>
              </w:rPr>
              <w:t>生态恢复</w:t>
            </w:r>
          </w:p>
          <w:p w14:paraId="0F64E9A5">
            <w:pPr>
              <w:pStyle w:val="38"/>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对钻井井场能重复利用的设施搬迁利用，不能利用的统一收集交回收单位处置；对构筑的设备基础拆除后作业场地进行平整，清除场内固体废物，对钻井场地等实施复垦、生态恢复。</w:t>
            </w:r>
            <w:r>
              <w:rPr>
                <w:rFonts w:hint="eastAsia" w:ascii="Times New Roman" w:hAnsi="Times New Roman" w:eastAsia="宋体"/>
                <w:color w:val="auto"/>
                <w:sz w:val="24"/>
                <w:highlight w:val="none"/>
              </w:rPr>
              <w:t>后期清场时场内各重点防渗区防渗材料拆除后应做危废处置。</w:t>
            </w:r>
          </w:p>
          <w:p w14:paraId="6CD5682D">
            <w:pPr>
              <w:pStyle w:val="30"/>
              <w:ind w:left="0" w:leftChars="0" w:firstLine="0" w:firstLineChars="0"/>
              <w:jc w:val="center"/>
              <w:rPr>
                <w:color w:val="auto"/>
                <w:highlight w:val="none"/>
              </w:rPr>
            </w:pPr>
            <w:r>
              <w:rPr>
                <w:rFonts w:hint="eastAsia"/>
                <w:color w:val="auto"/>
                <w:sz w:val="24"/>
                <w:szCs w:val="24"/>
                <w:highlight w:val="none"/>
                <w:lang w:val="en-US" w:eastAsia="zh-CN"/>
              </w:rPr>
              <w:drawing>
                <wp:inline distT="0" distB="0" distL="114300" distR="114300">
                  <wp:extent cx="3987165" cy="4319905"/>
                  <wp:effectExtent l="0" t="0" r="10795" b="635"/>
                  <wp:docPr id="9" name="图片 9" descr="朱集西煤矿地面补勘钻孔平面位置图1980坐标系-模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朱集西煤矿地面补勘钻孔平面位置图1980坐标系-模型1"/>
                          <pic:cNvPicPr>
                            <a:picLocks noChangeAspect="1"/>
                          </pic:cNvPicPr>
                        </pic:nvPicPr>
                        <pic:blipFill>
                          <a:blip r:embed="rId14"/>
                          <a:srcRect l="15348" r="15445"/>
                          <a:stretch>
                            <a:fillRect/>
                          </a:stretch>
                        </pic:blipFill>
                        <pic:spPr>
                          <a:xfrm rot="16200000">
                            <a:off x="0" y="0"/>
                            <a:ext cx="3987165" cy="4319905"/>
                          </a:xfrm>
                          <a:prstGeom prst="rect">
                            <a:avLst/>
                          </a:prstGeom>
                        </pic:spPr>
                      </pic:pic>
                    </a:graphicData>
                  </a:graphic>
                </wp:inline>
              </w:drawing>
            </w:r>
          </w:p>
          <w:p w14:paraId="69B350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图2-3  项目钻井结构示意图</w:t>
            </w:r>
          </w:p>
          <w:p w14:paraId="1AF17462">
            <w:pPr>
              <w:autoSpaceDE w:val="0"/>
              <w:autoSpaceDN w:val="0"/>
              <w:spacing w:line="360" w:lineRule="auto"/>
              <w:ind w:firstLine="482" w:firstLineChars="200"/>
              <w:rPr>
                <w:rFonts w:ascii="Times New Roman" w:hAnsi="Times New Roman"/>
                <w:b/>
                <w:color w:val="auto"/>
                <w:szCs w:val="21"/>
                <w:highlight w:val="none"/>
              </w:rPr>
            </w:pPr>
            <w:r>
              <w:rPr>
                <w:rFonts w:ascii="Times New Roman" w:hAnsi="Times New Roman"/>
                <w:b/>
                <w:bCs/>
                <w:color w:val="auto"/>
                <w:sz w:val="24"/>
                <w:highlight w:val="none"/>
                <w:shd w:val="clear" w:color="auto" w:fill="FFFFFF"/>
              </w:rPr>
              <w:t>2、施工设备</w:t>
            </w:r>
          </w:p>
          <w:p w14:paraId="498E90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表2-5  项目施工设备一览表</w:t>
            </w:r>
          </w:p>
          <w:tbl>
            <w:tblPr>
              <w:tblStyle w:val="23"/>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630"/>
              <w:gridCol w:w="2787"/>
              <w:gridCol w:w="1329"/>
              <w:gridCol w:w="1329"/>
            </w:tblGrid>
            <w:tr w14:paraId="63DA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noWrap/>
                  <w:vAlign w:val="center"/>
                </w:tcPr>
                <w:p w14:paraId="48F3D5A9">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1630" w:type="dxa"/>
                  <w:noWrap/>
                  <w:vAlign w:val="center"/>
                </w:tcPr>
                <w:p w14:paraId="6F55F752">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名称</w:t>
                  </w:r>
                </w:p>
              </w:tc>
              <w:tc>
                <w:tcPr>
                  <w:tcW w:w="2787" w:type="dxa"/>
                  <w:noWrap/>
                  <w:vAlign w:val="center"/>
                </w:tcPr>
                <w:p w14:paraId="4479481D">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型号</w:t>
                  </w:r>
                </w:p>
              </w:tc>
              <w:tc>
                <w:tcPr>
                  <w:tcW w:w="1329" w:type="dxa"/>
                  <w:noWrap/>
                  <w:vAlign w:val="center"/>
                </w:tcPr>
                <w:p w14:paraId="6BCAF2C5">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单位</w:t>
                  </w:r>
                </w:p>
              </w:tc>
              <w:tc>
                <w:tcPr>
                  <w:tcW w:w="1329" w:type="dxa"/>
                  <w:noWrap/>
                  <w:vAlign w:val="center"/>
                </w:tcPr>
                <w:p w14:paraId="694E9047">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数量</w:t>
                  </w:r>
                </w:p>
              </w:tc>
            </w:tr>
            <w:tr w14:paraId="57B0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noWrap/>
                  <w:vAlign w:val="center"/>
                </w:tcPr>
                <w:p w14:paraId="7A392CCB">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630" w:type="dxa"/>
                  <w:shd w:val="clear" w:color="auto" w:fill="auto"/>
                  <w:noWrap/>
                  <w:vAlign w:val="center"/>
                </w:tcPr>
                <w:p w14:paraId="038BF948">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钻机</w:t>
                  </w:r>
                </w:p>
              </w:tc>
              <w:tc>
                <w:tcPr>
                  <w:tcW w:w="2787" w:type="dxa"/>
                  <w:shd w:val="clear" w:color="auto" w:fill="auto"/>
                  <w:noWrap/>
                  <w:vAlign w:val="center"/>
                </w:tcPr>
                <w:p w14:paraId="0D3454B4">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TXB</w:t>
                  </w:r>
                  <w:r>
                    <w:rPr>
                      <w:rFonts w:hint="default" w:ascii="Times New Roman" w:hAnsi="Times New Roman" w:cs="Times New Roman"/>
                      <w:color w:val="auto"/>
                      <w:kern w:val="0"/>
                      <w:sz w:val="21"/>
                      <w:szCs w:val="21"/>
                      <w:highlight w:val="none"/>
                    </w:rPr>
                    <w:t>-2000钻机</w:t>
                  </w:r>
                </w:p>
              </w:tc>
              <w:tc>
                <w:tcPr>
                  <w:tcW w:w="1329" w:type="dxa"/>
                  <w:shd w:val="clear" w:color="auto" w:fill="auto"/>
                  <w:noWrap/>
                  <w:vAlign w:val="center"/>
                </w:tcPr>
                <w:p w14:paraId="409C9B43">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台</w:t>
                  </w:r>
                </w:p>
              </w:tc>
              <w:tc>
                <w:tcPr>
                  <w:tcW w:w="1329" w:type="dxa"/>
                  <w:shd w:val="clear" w:color="auto" w:fill="auto"/>
                  <w:noWrap/>
                  <w:vAlign w:val="center"/>
                </w:tcPr>
                <w:p w14:paraId="5883A489">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w:t>
                  </w:r>
                </w:p>
              </w:tc>
            </w:tr>
            <w:tr w14:paraId="2BEB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noWrap/>
                  <w:vAlign w:val="center"/>
                </w:tcPr>
                <w:p w14:paraId="60BF65CA">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1630" w:type="dxa"/>
                  <w:shd w:val="clear" w:color="auto" w:fill="auto"/>
                  <w:noWrap/>
                  <w:vAlign w:val="center"/>
                </w:tcPr>
                <w:p w14:paraId="2ED4AC01">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泥浆泵</w:t>
                  </w:r>
                </w:p>
              </w:tc>
              <w:tc>
                <w:tcPr>
                  <w:tcW w:w="2787" w:type="dxa"/>
                  <w:shd w:val="clear" w:color="auto" w:fill="auto"/>
                  <w:noWrap/>
                  <w:vAlign w:val="center"/>
                </w:tcPr>
                <w:p w14:paraId="66604C4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NBB250/60</w:t>
                  </w:r>
                </w:p>
              </w:tc>
              <w:tc>
                <w:tcPr>
                  <w:tcW w:w="1329" w:type="dxa"/>
                  <w:shd w:val="clear" w:color="auto" w:fill="auto"/>
                  <w:noWrap/>
                  <w:vAlign w:val="center"/>
                </w:tcPr>
                <w:p w14:paraId="2B01131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台</w:t>
                  </w:r>
                </w:p>
              </w:tc>
              <w:tc>
                <w:tcPr>
                  <w:tcW w:w="1329" w:type="dxa"/>
                  <w:shd w:val="clear" w:color="auto" w:fill="auto"/>
                  <w:noWrap/>
                  <w:vAlign w:val="center"/>
                </w:tcPr>
                <w:p w14:paraId="740B55FC">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3</w:t>
                  </w:r>
                </w:p>
              </w:tc>
            </w:tr>
            <w:tr w14:paraId="52E2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noWrap/>
                  <w:vAlign w:val="center"/>
                </w:tcPr>
                <w:p w14:paraId="6AC4785D">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630" w:type="dxa"/>
                  <w:shd w:val="clear" w:color="auto" w:fill="auto"/>
                  <w:noWrap/>
                  <w:vAlign w:val="center"/>
                </w:tcPr>
                <w:p w14:paraId="75A5A877">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绞车</w:t>
                  </w:r>
                </w:p>
              </w:tc>
              <w:tc>
                <w:tcPr>
                  <w:tcW w:w="2787" w:type="dxa"/>
                  <w:shd w:val="clear" w:color="auto" w:fill="auto"/>
                  <w:noWrap/>
                  <w:vAlign w:val="center"/>
                </w:tcPr>
                <w:p w14:paraId="013AA0A8">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JC100</w:t>
                  </w:r>
                </w:p>
              </w:tc>
              <w:tc>
                <w:tcPr>
                  <w:tcW w:w="1329" w:type="dxa"/>
                  <w:shd w:val="clear" w:color="auto" w:fill="auto"/>
                  <w:noWrap/>
                  <w:vAlign w:val="center"/>
                </w:tcPr>
                <w:p w14:paraId="13A179A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台</w:t>
                  </w:r>
                </w:p>
              </w:tc>
              <w:tc>
                <w:tcPr>
                  <w:tcW w:w="1329" w:type="dxa"/>
                  <w:shd w:val="clear" w:color="auto" w:fill="auto"/>
                  <w:noWrap/>
                  <w:vAlign w:val="center"/>
                </w:tcPr>
                <w:p w14:paraId="6CF64D77">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3</w:t>
                  </w:r>
                </w:p>
              </w:tc>
            </w:tr>
            <w:tr w14:paraId="5D14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shd w:val="clear" w:color="auto" w:fill="auto"/>
                  <w:noWrap/>
                  <w:vAlign w:val="center"/>
                </w:tcPr>
                <w:p w14:paraId="281D86D3">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4</w:t>
                  </w:r>
                </w:p>
              </w:tc>
              <w:tc>
                <w:tcPr>
                  <w:tcW w:w="1630" w:type="dxa"/>
                  <w:shd w:val="clear" w:color="auto" w:fill="auto"/>
                  <w:noWrap/>
                  <w:vAlign w:val="center"/>
                </w:tcPr>
                <w:p w14:paraId="6FAFA199">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电动机</w:t>
                  </w:r>
                </w:p>
              </w:tc>
              <w:tc>
                <w:tcPr>
                  <w:tcW w:w="2787" w:type="dxa"/>
                  <w:shd w:val="clear" w:color="auto" w:fill="auto"/>
                  <w:noWrap/>
                  <w:vAlign w:val="center"/>
                </w:tcPr>
                <w:p w14:paraId="4515CE18">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37KW</w:t>
                  </w:r>
                </w:p>
              </w:tc>
              <w:tc>
                <w:tcPr>
                  <w:tcW w:w="1329" w:type="dxa"/>
                  <w:shd w:val="clear" w:color="auto" w:fill="auto"/>
                  <w:noWrap/>
                  <w:vAlign w:val="center"/>
                </w:tcPr>
                <w:p w14:paraId="0BFA35B2">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台</w:t>
                  </w:r>
                </w:p>
              </w:tc>
              <w:tc>
                <w:tcPr>
                  <w:tcW w:w="1329" w:type="dxa"/>
                  <w:shd w:val="clear" w:color="auto" w:fill="auto"/>
                  <w:noWrap/>
                  <w:vAlign w:val="center"/>
                </w:tcPr>
                <w:p w14:paraId="60229D1F">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olor w:val="auto"/>
                      <w:highlight w:val="none"/>
                      <w:lang w:val="en-US" w:eastAsia="zh-CN"/>
                    </w:rPr>
                    <w:t>3</w:t>
                  </w:r>
                </w:p>
              </w:tc>
            </w:tr>
            <w:tr w14:paraId="1808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shd w:val="clear" w:color="auto" w:fill="auto"/>
                  <w:noWrap/>
                  <w:vAlign w:val="center"/>
                </w:tcPr>
                <w:p w14:paraId="53CCFACD">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5</w:t>
                  </w:r>
                </w:p>
              </w:tc>
              <w:tc>
                <w:tcPr>
                  <w:tcW w:w="1630" w:type="dxa"/>
                  <w:shd w:val="clear" w:color="auto" w:fill="auto"/>
                  <w:noWrap/>
                  <w:vAlign w:val="center"/>
                </w:tcPr>
                <w:p w14:paraId="50DA1B15">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钻头</w:t>
                  </w:r>
                </w:p>
              </w:tc>
              <w:tc>
                <w:tcPr>
                  <w:tcW w:w="2787" w:type="dxa"/>
                  <w:shd w:val="clear" w:color="auto" w:fill="auto"/>
                  <w:noWrap/>
                  <w:vAlign w:val="center"/>
                </w:tcPr>
                <w:p w14:paraId="7BB8E251">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Φ</w:t>
                  </w:r>
                  <w:r>
                    <w:rPr>
                      <w:rFonts w:hint="eastAsia" w:ascii="Times New Roman" w:hAnsi="Times New Roman" w:cs="Times New Roman"/>
                      <w:bCs/>
                      <w:color w:val="auto"/>
                      <w:sz w:val="21"/>
                      <w:szCs w:val="21"/>
                      <w:highlight w:val="none"/>
                      <w:lang w:val="en-US" w:eastAsia="zh-CN"/>
                    </w:rPr>
                    <w:t>146</w:t>
                  </w:r>
                  <w:r>
                    <w:rPr>
                      <w:rFonts w:hint="default" w:ascii="Times New Roman" w:hAnsi="Times New Roman" w:cs="Times New Roman"/>
                      <w:color w:val="auto"/>
                      <w:kern w:val="0"/>
                      <w:sz w:val="21"/>
                      <w:szCs w:val="21"/>
                      <w:highlight w:val="none"/>
                    </w:rPr>
                    <w:t>mm</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bCs/>
                      <w:color w:val="auto"/>
                      <w:sz w:val="21"/>
                      <w:szCs w:val="21"/>
                      <w:highlight w:val="none"/>
                    </w:rPr>
                    <w:t>Φ</w:t>
                  </w:r>
                  <w:r>
                    <w:rPr>
                      <w:rFonts w:hint="default" w:ascii="Times New Roman" w:hAnsi="Times New Roman" w:cs="Times New Roman"/>
                      <w:bCs/>
                      <w:color w:val="auto"/>
                      <w:sz w:val="21"/>
                      <w:szCs w:val="21"/>
                      <w:highlight w:val="none"/>
                      <w:lang w:val="en-US" w:eastAsia="zh-CN"/>
                    </w:rPr>
                    <w:t>10</w:t>
                  </w:r>
                  <w:r>
                    <w:rPr>
                      <w:rFonts w:hint="eastAsia" w:ascii="Times New Roman" w:hAnsi="Times New Roman" w:cs="Times New Roman"/>
                      <w:bCs/>
                      <w:color w:val="auto"/>
                      <w:sz w:val="21"/>
                      <w:szCs w:val="21"/>
                      <w:highlight w:val="none"/>
                      <w:lang w:val="en-US" w:eastAsia="zh-CN"/>
                    </w:rPr>
                    <w:t>8</w:t>
                  </w:r>
                  <w:r>
                    <w:rPr>
                      <w:rFonts w:hint="default" w:ascii="Times New Roman" w:hAnsi="Times New Roman" w:cs="Times New Roman"/>
                      <w:color w:val="auto"/>
                      <w:kern w:val="0"/>
                      <w:sz w:val="21"/>
                      <w:szCs w:val="21"/>
                      <w:highlight w:val="none"/>
                    </w:rPr>
                    <w:t>mm</w:t>
                  </w:r>
                  <w:r>
                    <w:rPr>
                      <w:rFonts w:hint="eastAsia"/>
                      <w:color w:val="auto"/>
                      <w:lang w:eastAsia="zh-CN"/>
                    </w:rPr>
                    <w:t>、</w:t>
                  </w:r>
                  <w:r>
                    <w:rPr>
                      <w:rFonts w:ascii="Times New Roman" w:hAnsi="Times New Roman" w:eastAsia="宋体" w:cs="Times New Roman"/>
                      <w:bCs/>
                      <w:color w:val="auto"/>
                      <w:sz w:val="21"/>
                      <w:szCs w:val="21"/>
                      <w:highlight w:val="none"/>
                    </w:rPr>
                    <w:t>Φ</w:t>
                  </w:r>
                  <w:r>
                    <w:rPr>
                      <w:rFonts w:hint="eastAsia" w:ascii="Times New Roman" w:hAnsi="Times New Roman" w:eastAsia="宋体" w:cs="Times New Roman"/>
                      <w:bCs/>
                      <w:color w:val="auto"/>
                      <w:sz w:val="21"/>
                      <w:szCs w:val="21"/>
                      <w:highlight w:val="none"/>
                      <w:lang w:val="en-US" w:eastAsia="zh-CN"/>
                    </w:rPr>
                    <w:t>94</w:t>
                  </w:r>
                  <w:r>
                    <w:rPr>
                      <w:rFonts w:hint="eastAsia" w:ascii="Times New Roman" w:hAnsi="Times New Roman" w:eastAsia="宋体" w:cs="Times New Roman"/>
                      <w:color w:val="auto"/>
                      <w:kern w:val="0"/>
                      <w:sz w:val="21"/>
                      <w:szCs w:val="21"/>
                      <w:highlight w:val="none"/>
                    </w:rPr>
                    <w:t>mm</w:t>
                  </w:r>
                </w:p>
              </w:tc>
              <w:tc>
                <w:tcPr>
                  <w:tcW w:w="1329" w:type="dxa"/>
                  <w:shd w:val="clear" w:color="auto" w:fill="auto"/>
                  <w:noWrap/>
                  <w:vAlign w:val="center"/>
                </w:tcPr>
                <w:p w14:paraId="08B75FA1">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个</w:t>
                  </w:r>
                </w:p>
              </w:tc>
              <w:tc>
                <w:tcPr>
                  <w:tcW w:w="1329" w:type="dxa"/>
                  <w:shd w:val="clear" w:color="auto" w:fill="auto"/>
                  <w:noWrap/>
                  <w:vAlign w:val="center"/>
                </w:tcPr>
                <w:p w14:paraId="7A41E05B">
                  <w:pPr>
                    <w:widowControl/>
                    <w:jc w:val="center"/>
                    <w:rPr>
                      <w:rFonts w:hint="default" w:ascii="Times New Roman" w:hAnsi="Times New Roman" w:cs="Times New Roman" w:eastAsiaTheme="minorEastAsia"/>
                      <w:color w:val="auto"/>
                      <w:kern w:val="0"/>
                      <w:sz w:val="21"/>
                      <w:szCs w:val="21"/>
                      <w:highlight w:val="yellow"/>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10</w:t>
                  </w:r>
                </w:p>
              </w:tc>
            </w:tr>
            <w:tr w14:paraId="689A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shd w:val="clear" w:color="auto" w:fill="auto"/>
                  <w:noWrap/>
                  <w:vAlign w:val="center"/>
                </w:tcPr>
                <w:p w14:paraId="3464CCAB">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6</w:t>
                  </w:r>
                </w:p>
              </w:tc>
              <w:tc>
                <w:tcPr>
                  <w:tcW w:w="1630" w:type="dxa"/>
                  <w:shd w:val="clear" w:color="auto" w:fill="auto"/>
                  <w:noWrap/>
                  <w:vAlign w:val="center"/>
                </w:tcPr>
                <w:p w14:paraId="376DEC30">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钻头</w:t>
                  </w:r>
                </w:p>
              </w:tc>
              <w:tc>
                <w:tcPr>
                  <w:tcW w:w="2787" w:type="dxa"/>
                  <w:shd w:val="clear" w:color="auto" w:fill="auto"/>
                  <w:noWrap/>
                  <w:vAlign w:val="center"/>
                </w:tcPr>
                <w:p w14:paraId="31656CF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rPr>
                  </w:pPr>
                  <w:r>
                    <w:rPr>
                      <w:rFonts w:ascii="Times New Roman" w:hAnsi="Times New Roman" w:eastAsia="宋体" w:cs="Times New Roman"/>
                      <w:bCs/>
                      <w:color w:val="auto"/>
                      <w:sz w:val="21"/>
                      <w:szCs w:val="21"/>
                      <w:highlight w:val="none"/>
                    </w:rPr>
                    <w:t>Φ</w:t>
                  </w:r>
                  <w:r>
                    <w:rPr>
                      <w:rFonts w:hint="eastAsia" w:ascii="Times New Roman" w:hAnsi="Times New Roman" w:eastAsia="宋体" w:cs="Times New Roman"/>
                      <w:bCs/>
                      <w:color w:val="auto"/>
                      <w:sz w:val="21"/>
                      <w:szCs w:val="21"/>
                      <w:highlight w:val="none"/>
                      <w:lang w:val="en-US" w:eastAsia="zh-CN"/>
                    </w:rPr>
                    <w:t>94</w:t>
                  </w:r>
                  <w:r>
                    <w:rPr>
                      <w:rFonts w:hint="eastAsia" w:ascii="Times New Roman" w:hAnsi="Times New Roman" w:eastAsia="宋体" w:cs="Times New Roman"/>
                      <w:color w:val="auto"/>
                      <w:kern w:val="0"/>
                      <w:sz w:val="21"/>
                      <w:szCs w:val="21"/>
                      <w:highlight w:val="none"/>
                    </w:rPr>
                    <w:t>mm</w:t>
                  </w:r>
                </w:p>
              </w:tc>
              <w:tc>
                <w:tcPr>
                  <w:tcW w:w="1329" w:type="dxa"/>
                  <w:shd w:val="clear" w:color="auto" w:fill="auto"/>
                  <w:noWrap/>
                  <w:vAlign w:val="center"/>
                </w:tcPr>
                <w:p w14:paraId="37E1109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个</w:t>
                  </w:r>
                </w:p>
              </w:tc>
              <w:tc>
                <w:tcPr>
                  <w:tcW w:w="1329" w:type="dxa"/>
                  <w:shd w:val="clear" w:color="auto" w:fill="auto"/>
                  <w:noWrap/>
                  <w:vAlign w:val="center"/>
                </w:tcPr>
                <w:p w14:paraId="21E3D1F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yellow"/>
                      <w:lang w:val="en-US" w:eastAsia="zh-CN"/>
                    </w:rPr>
                  </w:pPr>
                  <w:r>
                    <w:rPr>
                      <w:rFonts w:hint="eastAsia" w:ascii="Times New Roman" w:hAnsi="Times New Roman" w:cs="Times New Roman"/>
                      <w:color w:val="auto"/>
                      <w:kern w:val="0"/>
                      <w:sz w:val="21"/>
                      <w:szCs w:val="21"/>
                      <w:highlight w:val="none"/>
                      <w:lang w:val="en-US" w:eastAsia="zh-CN"/>
                    </w:rPr>
                    <w:t>10</w:t>
                  </w:r>
                </w:p>
              </w:tc>
            </w:tr>
            <w:tr w14:paraId="7235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shd w:val="clear" w:color="auto" w:fill="auto"/>
                  <w:noWrap/>
                  <w:vAlign w:val="center"/>
                </w:tcPr>
                <w:p w14:paraId="1FA68C9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7</w:t>
                  </w:r>
                </w:p>
              </w:tc>
              <w:tc>
                <w:tcPr>
                  <w:tcW w:w="1630" w:type="dxa"/>
                  <w:shd w:val="clear" w:color="auto" w:fill="auto"/>
                  <w:noWrap/>
                  <w:vAlign w:val="center"/>
                </w:tcPr>
                <w:p w14:paraId="50AF3D49">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钻杆</w:t>
                  </w:r>
                </w:p>
              </w:tc>
              <w:tc>
                <w:tcPr>
                  <w:tcW w:w="2787" w:type="dxa"/>
                  <w:shd w:val="clear" w:color="auto" w:fill="auto"/>
                  <w:noWrap/>
                  <w:vAlign w:val="center"/>
                </w:tcPr>
                <w:p w14:paraId="7382C337">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Φ</w:t>
                  </w:r>
                  <w:r>
                    <w:rPr>
                      <w:rFonts w:hint="default" w:ascii="Times New Roman" w:hAnsi="Times New Roman" w:cs="Times New Roman"/>
                      <w:color w:val="auto"/>
                      <w:kern w:val="0"/>
                      <w:sz w:val="21"/>
                      <w:szCs w:val="21"/>
                      <w:highlight w:val="none"/>
                      <w:lang w:val="en-US" w:eastAsia="zh-CN"/>
                    </w:rPr>
                    <w:t>50</w:t>
                  </w:r>
                  <w:r>
                    <w:rPr>
                      <w:rFonts w:hint="default" w:ascii="Times New Roman" w:hAnsi="Times New Roman" w:cs="Times New Roman"/>
                      <w:color w:val="auto"/>
                      <w:kern w:val="0"/>
                      <w:sz w:val="21"/>
                      <w:szCs w:val="21"/>
                      <w:highlight w:val="none"/>
                    </w:rPr>
                    <w:t>mm</w:t>
                  </w:r>
                </w:p>
              </w:tc>
              <w:tc>
                <w:tcPr>
                  <w:tcW w:w="1329" w:type="dxa"/>
                  <w:shd w:val="clear" w:color="auto" w:fill="auto"/>
                  <w:noWrap/>
                  <w:vAlign w:val="center"/>
                </w:tcPr>
                <w:p w14:paraId="4E17DD3F">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米</w:t>
                  </w:r>
                </w:p>
              </w:tc>
              <w:tc>
                <w:tcPr>
                  <w:tcW w:w="1329" w:type="dxa"/>
                  <w:shd w:val="clear" w:color="auto" w:fill="auto"/>
                  <w:noWrap/>
                  <w:vAlign w:val="center"/>
                </w:tcPr>
                <w:p w14:paraId="3118C6BF">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2940</w:t>
                  </w:r>
                </w:p>
              </w:tc>
            </w:tr>
            <w:tr w14:paraId="56FD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shd w:val="clear" w:color="auto" w:fill="auto"/>
                  <w:noWrap/>
                  <w:vAlign w:val="center"/>
                </w:tcPr>
                <w:p w14:paraId="052BB96F">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8</w:t>
                  </w:r>
                </w:p>
              </w:tc>
              <w:tc>
                <w:tcPr>
                  <w:tcW w:w="1630" w:type="dxa"/>
                  <w:shd w:val="clear" w:color="auto" w:fill="auto"/>
                  <w:noWrap/>
                  <w:vAlign w:val="center"/>
                </w:tcPr>
                <w:p w14:paraId="428B2200">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钻铤</w:t>
                  </w:r>
                </w:p>
              </w:tc>
              <w:tc>
                <w:tcPr>
                  <w:tcW w:w="2787" w:type="dxa"/>
                  <w:shd w:val="clear" w:color="auto" w:fill="auto"/>
                  <w:noWrap/>
                  <w:vAlign w:val="center"/>
                </w:tcPr>
                <w:p w14:paraId="0B99621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Φ</w:t>
                  </w:r>
                  <w:r>
                    <w:rPr>
                      <w:rFonts w:hint="default" w:ascii="Times New Roman" w:hAnsi="Times New Roman" w:cs="Times New Roman"/>
                      <w:color w:val="auto"/>
                      <w:kern w:val="0"/>
                      <w:sz w:val="21"/>
                      <w:szCs w:val="21"/>
                      <w:highlight w:val="none"/>
                      <w:lang w:val="en-US" w:eastAsia="zh-CN"/>
                    </w:rPr>
                    <w:t>75</w:t>
                  </w:r>
                  <w:r>
                    <w:rPr>
                      <w:rFonts w:hint="default" w:ascii="Times New Roman" w:hAnsi="Times New Roman" w:cs="Times New Roman"/>
                      <w:color w:val="auto"/>
                      <w:kern w:val="0"/>
                      <w:sz w:val="21"/>
                      <w:szCs w:val="21"/>
                      <w:highlight w:val="none"/>
                    </w:rPr>
                    <w:t>mm</w:t>
                  </w:r>
                </w:p>
              </w:tc>
              <w:tc>
                <w:tcPr>
                  <w:tcW w:w="1329" w:type="dxa"/>
                  <w:shd w:val="clear" w:color="auto" w:fill="auto"/>
                  <w:noWrap/>
                  <w:vAlign w:val="center"/>
                </w:tcPr>
                <w:p w14:paraId="05F628B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米</w:t>
                  </w:r>
                </w:p>
              </w:tc>
              <w:tc>
                <w:tcPr>
                  <w:tcW w:w="1329" w:type="dxa"/>
                  <w:shd w:val="clear" w:color="auto" w:fill="auto"/>
                  <w:noWrap/>
                  <w:vAlign w:val="center"/>
                </w:tcPr>
                <w:p w14:paraId="2C232963">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240</w:t>
                  </w:r>
                </w:p>
              </w:tc>
            </w:tr>
            <w:tr w14:paraId="197C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shd w:val="clear" w:color="auto" w:fill="auto"/>
                  <w:noWrap/>
                  <w:vAlign w:val="center"/>
                </w:tcPr>
                <w:p w14:paraId="6CCA5CAA">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9</w:t>
                  </w:r>
                </w:p>
              </w:tc>
              <w:tc>
                <w:tcPr>
                  <w:tcW w:w="1630" w:type="dxa"/>
                  <w:shd w:val="clear" w:color="auto" w:fill="auto"/>
                  <w:noWrap/>
                  <w:vAlign w:val="center"/>
                </w:tcPr>
                <w:p w14:paraId="27CFBBFC">
                  <w:pPr>
                    <w:widowControl/>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潜水泵</w:t>
                  </w:r>
                </w:p>
              </w:tc>
              <w:tc>
                <w:tcPr>
                  <w:tcW w:w="2787" w:type="dxa"/>
                  <w:shd w:val="clear" w:color="auto" w:fill="auto"/>
                  <w:noWrap/>
                  <w:vAlign w:val="center"/>
                </w:tcPr>
                <w:p w14:paraId="05E896C0">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100QJ10-108</w:t>
                  </w:r>
                </w:p>
              </w:tc>
              <w:tc>
                <w:tcPr>
                  <w:tcW w:w="1329" w:type="dxa"/>
                  <w:shd w:val="clear" w:color="auto" w:fill="auto"/>
                  <w:noWrap/>
                  <w:vAlign w:val="center"/>
                </w:tcPr>
                <w:p w14:paraId="41780939">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台</w:t>
                  </w:r>
                </w:p>
              </w:tc>
              <w:tc>
                <w:tcPr>
                  <w:tcW w:w="1329" w:type="dxa"/>
                  <w:shd w:val="clear" w:color="auto" w:fill="auto"/>
                  <w:noWrap/>
                  <w:vAlign w:val="center"/>
                </w:tcPr>
                <w:p w14:paraId="012BCF3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w:t>
                  </w:r>
                </w:p>
              </w:tc>
            </w:tr>
            <w:tr w14:paraId="51E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5" w:type="dxa"/>
                  <w:noWrap/>
                  <w:vAlign w:val="center"/>
                </w:tcPr>
                <w:p w14:paraId="707A7310">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10</w:t>
                  </w:r>
                </w:p>
              </w:tc>
              <w:tc>
                <w:tcPr>
                  <w:tcW w:w="1630" w:type="dxa"/>
                  <w:shd w:val="clear" w:color="auto" w:fill="auto"/>
                  <w:noWrap/>
                  <w:vAlign w:val="center"/>
                </w:tcPr>
                <w:p w14:paraId="61734E99">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水位观测仪器</w:t>
                  </w:r>
                </w:p>
              </w:tc>
              <w:tc>
                <w:tcPr>
                  <w:tcW w:w="2787" w:type="dxa"/>
                  <w:shd w:val="clear" w:color="auto" w:fill="auto"/>
                  <w:noWrap/>
                  <w:vAlign w:val="center"/>
                </w:tcPr>
                <w:p w14:paraId="4EFA95FD">
                  <w:pPr>
                    <w:widowControl/>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1329" w:type="dxa"/>
                  <w:shd w:val="clear" w:color="auto" w:fill="auto"/>
                  <w:noWrap/>
                  <w:vAlign w:val="center"/>
                </w:tcPr>
                <w:p w14:paraId="2BCC7716">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台</w:t>
                  </w:r>
                </w:p>
              </w:tc>
              <w:tc>
                <w:tcPr>
                  <w:tcW w:w="1329" w:type="dxa"/>
                  <w:shd w:val="clear" w:color="auto" w:fill="auto"/>
                  <w:noWrap/>
                  <w:vAlign w:val="center"/>
                </w:tcPr>
                <w:p w14:paraId="281F07CF">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r>
          </w:tbl>
          <w:p w14:paraId="1EF5E9C6">
            <w:pPr>
              <w:pStyle w:val="31"/>
              <w:adjustRightInd/>
              <w:spacing w:line="360" w:lineRule="auto"/>
              <w:ind w:firstLine="482" w:firstLineChars="200"/>
              <w:jc w:val="both"/>
              <w:rPr>
                <w:rFonts w:ascii="Times New Roman" w:hAnsi="Times New Roman"/>
                <w:b/>
                <w:color w:val="auto"/>
                <w:highlight w:val="none"/>
              </w:rPr>
            </w:pPr>
            <w:r>
              <w:rPr>
                <w:rFonts w:hint="eastAsia" w:ascii="Times New Roman" w:hAnsi="Times New Roman"/>
                <w:b/>
                <w:color w:val="auto"/>
                <w:highlight w:val="none"/>
              </w:rPr>
              <w:t>3</w:t>
            </w:r>
            <w:r>
              <w:rPr>
                <w:rFonts w:ascii="Times New Roman" w:hAnsi="Times New Roman"/>
                <w:b/>
                <w:color w:val="auto"/>
                <w:highlight w:val="none"/>
              </w:rPr>
              <w:t>、项目主要原辅材料、能源及设备</w:t>
            </w:r>
          </w:p>
          <w:p w14:paraId="5A607A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表2-6  原辅材料和动力供应用量一览表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31"/>
              <w:gridCol w:w="1500"/>
              <w:gridCol w:w="899"/>
              <w:gridCol w:w="1500"/>
              <w:gridCol w:w="1244"/>
              <w:gridCol w:w="875"/>
              <w:gridCol w:w="1291"/>
            </w:tblGrid>
            <w:tr w14:paraId="7ACA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146F46EB">
                  <w:pPr>
                    <w:widowControl/>
                    <w:jc w:val="center"/>
                    <w:textAlignment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序号</w:t>
                  </w:r>
                </w:p>
              </w:tc>
              <w:tc>
                <w:tcPr>
                  <w:tcW w:w="815" w:type="pct"/>
                  <w:noWrap/>
                  <w:vAlign w:val="center"/>
                </w:tcPr>
                <w:p w14:paraId="35C952C2">
                  <w:pPr>
                    <w:widowControl/>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原材料和能源</w:t>
                  </w:r>
                </w:p>
              </w:tc>
              <w:tc>
                <w:tcPr>
                  <w:tcW w:w="667" w:type="pct"/>
                  <w:noWrap/>
                  <w:vAlign w:val="center"/>
                </w:tcPr>
                <w:p w14:paraId="57B80C0C">
                  <w:pPr>
                    <w:widowControl/>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用量</w:t>
                  </w:r>
                </w:p>
              </w:tc>
              <w:tc>
                <w:tcPr>
                  <w:tcW w:w="888" w:type="pct"/>
                  <w:noWrap/>
                  <w:vAlign w:val="center"/>
                </w:tcPr>
                <w:p w14:paraId="58352035">
                  <w:pPr>
                    <w:jc w:val="center"/>
                    <w:textAlignment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主要成分</w:t>
                  </w:r>
                </w:p>
              </w:tc>
              <w:tc>
                <w:tcPr>
                  <w:tcW w:w="888" w:type="pct"/>
                  <w:noWrap/>
                  <w:vAlign w:val="center"/>
                </w:tcPr>
                <w:p w14:paraId="030429F2">
                  <w:pPr>
                    <w:jc w:val="center"/>
                    <w:textAlignment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最大存储量</w:t>
                  </w:r>
                </w:p>
              </w:tc>
              <w:tc>
                <w:tcPr>
                  <w:tcW w:w="593" w:type="pct"/>
                  <w:noWrap/>
                  <w:vAlign w:val="center"/>
                </w:tcPr>
                <w:p w14:paraId="320D5F80">
                  <w:pPr>
                    <w:widowControl/>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储存位置</w:t>
                  </w:r>
                </w:p>
              </w:tc>
              <w:tc>
                <w:tcPr>
                  <w:tcW w:w="714" w:type="pct"/>
                  <w:noWrap/>
                  <w:vAlign w:val="center"/>
                </w:tcPr>
                <w:p w14:paraId="707A10FC">
                  <w:pPr>
                    <w:widowControl/>
                    <w:jc w:val="center"/>
                    <w:textAlignment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储存方式</w:t>
                  </w:r>
                </w:p>
              </w:tc>
            </w:tr>
            <w:tr w14:paraId="52CC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0F2A1BED">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1</w:t>
                  </w:r>
                </w:p>
              </w:tc>
              <w:tc>
                <w:tcPr>
                  <w:tcW w:w="1500" w:type="dxa"/>
                  <w:noWrap/>
                  <w:vAlign w:val="center"/>
                </w:tcPr>
                <w:p w14:paraId="66D75971">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用电</w:t>
                  </w:r>
                </w:p>
              </w:tc>
              <w:tc>
                <w:tcPr>
                  <w:tcW w:w="899" w:type="dxa"/>
                  <w:shd w:val="clear" w:color="auto" w:fill="auto"/>
                  <w:noWrap/>
                  <w:vAlign w:val="center"/>
                </w:tcPr>
                <w:p w14:paraId="469CA146">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3</w:t>
                  </w:r>
                  <w:r>
                    <w:rPr>
                      <w:rFonts w:hint="eastAsia" w:ascii="Times New Roman" w:hAnsi="Times New Roman"/>
                      <w:color w:val="auto"/>
                      <w:kern w:val="0"/>
                      <w:sz w:val="21"/>
                      <w:szCs w:val="21"/>
                      <w:highlight w:val="none"/>
                    </w:rPr>
                    <w:t>万度</w:t>
                  </w:r>
                </w:p>
              </w:tc>
              <w:tc>
                <w:tcPr>
                  <w:tcW w:w="888" w:type="pct"/>
                  <w:shd w:val="clear" w:color="auto" w:fill="auto"/>
                  <w:noWrap/>
                  <w:vAlign w:val="center"/>
                </w:tcPr>
                <w:p w14:paraId="6B88E1E1">
                  <w:pPr>
                    <w:jc w:val="center"/>
                    <w:textAlignment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888" w:type="pct"/>
                  <w:shd w:val="clear" w:color="auto" w:fill="auto"/>
                  <w:noWrap/>
                  <w:vAlign w:val="center"/>
                </w:tcPr>
                <w:p w14:paraId="7206BEB0">
                  <w:pPr>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593" w:type="pct"/>
                  <w:shd w:val="clear" w:color="auto" w:fill="auto"/>
                  <w:noWrap/>
                  <w:vAlign w:val="center"/>
                </w:tcPr>
                <w:p w14:paraId="190F72BA">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714" w:type="pct"/>
                  <w:shd w:val="clear" w:color="auto" w:fill="auto"/>
                  <w:noWrap/>
                  <w:vAlign w:val="center"/>
                </w:tcPr>
                <w:p w14:paraId="320AE577">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r>
            <w:tr w14:paraId="165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72860F44">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2</w:t>
                  </w:r>
                </w:p>
              </w:tc>
              <w:tc>
                <w:tcPr>
                  <w:tcW w:w="1500" w:type="dxa"/>
                  <w:noWrap/>
                  <w:vAlign w:val="center"/>
                </w:tcPr>
                <w:p w14:paraId="4FACC9B4">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用水</w:t>
                  </w:r>
                </w:p>
              </w:tc>
              <w:tc>
                <w:tcPr>
                  <w:tcW w:w="899" w:type="dxa"/>
                  <w:shd w:val="clear" w:color="auto" w:fill="auto"/>
                  <w:noWrap/>
                  <w:vAlign w:val="center"/>
                </w:tcPr>
                <w:p w14:paraId="1E4075E4">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270</w:t>
                  </w:r>
                  <w:r>
                    <w:rPr>
                      <w:rFonts w:ascii="Times New Roman" w:hAnsi="Times New Roman"/>
                      <w:color w:val="auto"/>
                      <w:kern w:val="0"/>
                      <w:sz w:val="21"/>
                      <w:szCs w:val="21"/>
                      <w:highlight w:val="none"/>
                    </w:rPr>
                    <w:t>t</w:t>
                  </w:r>
                </w:p>
              </w:tc>
              <w:tc>
                <w:tcPr>
                  <w:tcW w:w="888" w:type="pct"/>
                  <w:noWrap/>
                  <w:vAlign w:val="center"/>
                </w:tcPr>
                <w:p w14:paraId="741F117C">
                  <w:pPr>
                    <w:jc w:val="center"/>
                    <w:textAlignment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888" w:type="pct"/>
                  <w:noWrap/>
                  <w:vAlign w:val="center"/>
                </w:tcPr>
                <w:p w14:paraId="0A3FC0B3">
                  <w:pPr>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593" w:type="pct"/>
                  <w:noWrap/>
                  <w:vAlign w:val="center"/>
                </w:tcPr>
                <w:p w14:paraId="3294FE6E">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714" w:type="pct"/>
                  <w:noWrap/>
                  <w:vAlign w:val="center"/>
                </w:tcPr>
                <w:p w14:paraId="581A22FC">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r>
            <w:tr w14:paraId="404E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1622DBA5">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3</w:t>
                  </w:r>
                </w:p>
              </w:tc>
              <w:tc>
                <w:tcPr>
                  <w:tcW w:w="1500" w:type="dxa"/>
                  <w:noWrap/>
                  <w:vAlign w:val="center"/>
                </w:tcPr>
                <w:p w14:paraId="2B6AB0C5">
                  <w:pPr>
                    <w:widowControl/>
                    <w:jc w:val="center"/>
                    <w:textAlignment w:val="center"/>
                    <w:rPr>
                      <w:rFonts w:hint="default" w:ascii="Times New Roman" w:hAnsi="Times New Roman"/>
                      <w:color w:val="auto"/>
                      <w:kern w:val="0"/>
                      <w:sz w:val="21"/>
                      <w:szCs w:val="21"/>
                      <w:highlight w:val="none"/>
                      <w:lang w:val="en-US"/>
                    </w:rPr>
                  </w:pPr>
                  <w:r>
                    <w:rPr>
                      <w:rFonts w:ascii="Times New Roman" w:hAnsi="Times New Roman"/>
                      <w:color w:val="auto"/>
                      <w:kern w:val="0"/>
                      <w:sz w:val="21"/>
                      <w:szCs w:val="21"/>
                      <w:highlight w:val="none"/>
                    </w:rPr>
                    <w:t>外购</w:t>
                  </w:r>
                  <w:r>
                    <w:rPr>
                      <w:rFonts w:hint="eastAsia" w:ascii="Times New Roman" w:hAnsi="Times New Roman"/>
                      <w:color w:val="auto"/>
                      <w:kern w:val="0"/>
                      <w:sz w:val="21"/>
                      <w:szCs w:val="21"/>
                      <w:highlight w:val="none"/>
                      <w:lang w:val="en-US" w:eastAsia="zh-CN"/>
                    </w:rPr>
                    <w:t>商品混凝土</w:t>
                  </w:r>
                </w:p>
              </w:tc>
              <w:tc>
                <w:tcPr>
                  <w:tcW w:w="899" w:type="dxa"/>
                  <w:shd w:val="clear" w:color="auto" w:fill="auto"/>
                  <w:noWrap/>
                  <w:vAlign w:val="center"/>
                </w:tcPr>
                <w:p w14:paraId="237E2CE4">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5.4</w:t>
                  </w:r>
                  <w:r>
                    <w:rPr>
                      <w:rFonts w:ascii="Times New Roman" w:hAnsi="Times New Roman"/>
                      <w:color w:val="auto"/>
                      <w:kern w:val="0"/>
                      <w:sz w:val="21"/>
                      <w:szCs w:val="21"/>
                      <w:highlight w:val="none"/>
                    </w:rPr>
                    <w:t>t</w:t>
                  </w:r>
                </w:p>
              </w:tc>
              <w:tc>
                <w:tcPr>
                  <w:tcW w:w="888" w:type="pct"/>
                  <w:noWrap/>
                  <w:vAlign w:val="center"/>
                </w:tcPr>
                <w:p w14:paraId="18A91C8C">
                  <w:pPr>
                    <w:jc w:val="center"/>
                    <w:textAlignment w:val="center"/>
                    <w:rPr>
                      <w:rFonts w:ascii="Times New Roman" w:hAnsi="Times New Roman"/>
                      <w:color w:val="auto"/>
                      <w:kern w:val="0"/>
                      <w:sz w:val="21"/>
                      <w:szCs w:val="21"/>
                      <w:highlight w:val="none"/>
                    </w:rPr>
                  </w:pPr>
                  <w:r>
                    <w:rPr>
                      <w:rFonts w:hint="eastAsia"/>
                      <w:color w:val="auto"/>
                      <w:sz w:val="21"/>
                      <w:szCs w:val="21"/>
                      <w:highlight w:val="none"/>
                    </w:rPr>
                    <w:t>混凝土</w:t>
                  </w:r>
                </w:p>
              </w:tc>
              <w:tc>
                <w:tcPr>
                  <w:tcW w:w="888" w:type="pct"/>
                  <w:noWrap/>
                  <w:vAlign w:val="center"/>
                </w:tcPr>
                <w:p w14:paraId="3185B93B">
                  <w:pPr>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593" w:type="pct"/>
                  <w:noWrap/>
                  <w:vAlign w:val="center"/>
                </w:tcPr>
                <w:p w14:paraId="3798F35F">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714" w:type="pct"/>
                  <w:noWrap/>
                  <w:vAlign w:val="center"/>
                </w:tcPr>
                <w:p w14:paraId="34F17265">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固井即时使用</w:t>
                  </w:r>
                </w:p>
              </w:tc>
            </w:tr>
            <w:tr w14:paraId="4A61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33" w:type="pct"/>
                  <w:noWrap/>
                  <w:vAlign w:val="center"/>
                </w:tcPr>
                <w:p w14:paraId="6FA82D65">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4</w:t>
                  </w:r>
                </w:p>
              </w:tc>
              <w:tc>
                <w:tcPr>
                  <w:tcW w:w="1500" w:type="dxa"/>
                  <w:noWrap/>
                  <w:vAlign w:val="center"/>
                </w:tcPr>
                <w:p w14:paraId="3F23D083">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纤维素</w:t>
                  </w:r>
                </w:p>
              </w:tc>
              <w:tc>
                <w:tcPr>
                  <w:tcW w:w="899" w:type="dxa"/>
                  <w:shd w:val="clear" w:color="auto" w:fill="auto"/>
                  <w:noWrap/>
                  <w:vAlign w:val="center"/>
                </w:tcPr>
                <w:p w14:paraId="721FA001">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1.2</w:t>
                  </w:r>
                  <w:r>
                    <w:rPr>
                      <w:rFonts w:ascii="Times New Roman" w:hAnsi="Times New Roman"/>
                      <w:color w:val="auto"/>
                      <w:kern w:val="0"/>
                      <w:sz w:val="21"/>
                      <w:szCs w:val="21"/>
                      <w:highlight w:val="none"/>
                    </w:rPr>
                    <w:t>t</w:t>
                  </w:r>
                </w:p>
              </w:tc>
              <w:tc>
                <w:tcPr>
                  <w:tcW w:w="888" w:type="pct"/>
                  <w:noWrap/>
                  <w:vAlign w:val="center"/>
                </w:tcPr>
                <w:p w14:paraId="1B001F87">
                  <w:pPr>
                    <w:jc w:val="center"/>
                    <w:textAlignment w:val="center"/>
                    <w:rPr>
                      <w:rFonts w:ascii="Times New Roman" w:hAnsi="Times New Roman"/>
                      <w:color w:val="auto"/>
                      <w:kern w:val="0"/>
                      <w:sz w:val="21"/>
                      <w:szCs w:val="21"/>
                      <w:highlight w:val="none"/>
                    </w:rPr>
                  </w:pPr>
                  <w:r>
                    <w:rPr>
                      <w:rFonts w:ascii="Times New Roman" w:hAnsi="Times New Roman"/>
                      <w:color w:val="auto"/>
                      <w:highlight w:val="none"/>
                    </w:rPr>
                    <w:t>木质素纤维</w:t>
                  </w:r>
                </w:p>
              </w:tc>
              <w:tc>
                <w:tcPr>
                  <w:tcW w:w="888" w:type="pct"/>
                  <w:noWrap/>
                  <w:vAlign w:val="center"/>
                </w:tcPr>
                <w:p w14:paraId="1F300AC3">
                  <w:pPr>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0.5 t</w:t>
                  </w:r>
                </w:p>
              </w:tc>
              <w:tc>
                <w:tcPr>
                  <w:tcW w:w="593" w:type="pct"/>
                  <w:noWrap/>
                  <w:vAlign w:val="center"/>
                </w:tcPr>
                <w:p w14:paraId="622CBB74">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材料库</w:t>
                  </w:r>
                </w:p>
              </w:tc>
              <w:tc>
                <w:tcPr>
                  <w:tcW w:w="714" w:type="pct"/>
                  <w:noWrap/>
                  <w:vAlign w:val="center"/>
                </w:tcPr>
                <w:p w14:paraId="3C8866A3">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袋装</w:t>
                  </w:r>
                </w:p>
              </w:tc>
            </w:tr>
            <w:tr w14:paraId="10C6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531B1951">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5</w:t>
                  </w:r>
                </w:p>
              </w:tc>
              <w:tc>
                <w:tcPr>
                  <w:tcW w:w="1500" w:type="dxa"/>
                  <w:noWrap/>
                  <w:vAlign w:val="center"/>
                </w:tcPr>
                <w:p w14:paraId="38EDEE85">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腐植酸</w:t>
                  </w:r>
                </w:p>
              </w:tc>
              <w:tc>
                <w:tcPr>
                  <w:tcW w:w="899" w:type="dxa"/>
                  <w:shd w:val="clear" w:color="auto" w:fill="auto"/>
                  <w:noWrap/>
                  <w:vAlign w:val="center"/>
                </w:tcPr>
                <w:p w14:paraId="7AC1A6A6">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1.2</w:t>
                  </w:r>
                  <w:r>
                    <w:rPr>
                      <w:rFonts w:ascii="Times New Roman" w:hAnsi="Times New Roman"/>
                      <w:color w:val="auto"/>
                      <w:kern w:val="0"/>
                      <w:sz w:val="21"/>
                      <w:szCs w:val="21"/>
                      <w:highlight w:val="none"/>
                    </w:rPr>
                    <w:t>t</w:t>
                  </w:r>
                </w:p>
              </w:tc>
              <w:tc>
                <w:tcPr>
                  <w:tcW w:w="888" w:type="pct"/>
                  <w:noWrap/>
                  <w:vAlign w:val="center"/>
                </w:tcPr>
                <w:p w14:paraId="34659779">
                  <w:pPr>
                    <w:jc w:val="center"/>
                    <w:textAlignment w:val="center"/>
                    <w:rPr>
                      <w:rFonts w:ascii="Times New Roman" w:hAnsi="Times New Roman"/>
                      <w:color w:val="auto"/>
                      <w:kern w:val="0"/>
                      <w:sz w:val="21"/>
                      <w:szCs w:val="21"/>
                      <w:highlight w:val="none"/>
                    </w:rPr>
                  </w:pPr>
                  <w:r>
                    <w:rPr>
                      <w:rFonts w:ascii="Times New Roman" w:hAnsi="Times New Roman"/>
                      <w:color w:val="auto"/>
                      <w:highlight w:val="none"/>
                    </w:rPr>
                    <w:t>高效有机钾肥</w:t>
                  </w:r>
                </w:p>
              </w:tc>
              <w:tc>
                <w:tcPr>
                  <w:tcW w:w="888" w:type="pct"/>
                  <w:noWrap/>
                  <w:vAlign w:val="center"/>
                </w:tcPr>
                <w:p w14:paraId="6C455366">
                  <w:pPr>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0.5 t</w:t>
                  </w:r>
                </w:p>
              </w:tc>
              <w:tc>
                <w:tcPr>
                  <w:tcW w:w="593" w:type="pct"/>
                  <w:noWrap/>
                  <w:vAlign w:val="center"/>
                </w:tcPr>
                <w:p w14:paraId="1B55991C">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材料库</w:t>
                  </w:r>
                </w:p>
              </w:tc>
              <w:tc>
                <w:tcPr>
                  <w:tcW w:w="714" w:type="pct"/>
                  <w:noWrap/>
                  <w:vAlign w:val="center"/>
                </w:tcPr>
                <w:p w14:paraId="7314A791">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袋装</w:t>
                  </w:r>
                </w:p>
              </w:tc>
            </w:tr>
            <w:tr w14:paraId="2154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1C8CDDF7">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6</w:t>
                  </w:r>
                </w:p>
              </w:tc>
              <w:tc>
                <w:tcPr>
                  <w:tcW w:w="1500" w:type="dxa"/>
                  <w:noWrap/>
                  <w:vAlign w:val="center"/>
                </w:tcPr>
                <w:p w14:paraId="4B5194F3">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泥浆固化剂</w:t>
                  </w:r>
                </w:p>
              </w:tc>
              <w:tc>
                <w:tcPr>
                  <w:tcW w:w="899" w:type="dxa"/>
                  <w:shd w:val="clear" w:color="auto" w:fill="auto"/>
                  <w:noWrap/>
                  <w:vAlign w:val="center"/>
                </w:tcPr>
                <w:p w14:paraId="756E21E9">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1.2</w:t>
                  </w:r>
                  <w:r>
                    <w:rPr>
                      <w:rFonts w:ascii="Times New Roman" w:hAnsi="Times New Roman"/>
                      <w:color w:val="auto"/>
                      <w:kern w:val="0"/>
                      <w:sz w:val="21"/>
                      <w:szCs w:val="21"/>
                      <w:highlight w:val="none"/>
                    </w:rPr>
                    <w:t>t</w:t>
                  </w:r>
                </w:p>
              </w:tc>
              <w:tc>
                <w:tcPr>
                  <w:tcW w:w="888" w:type="pct"/>
                  <w:noWrap/>
                  <w:vAlign w:val="center"/>
                </w:tcPr>
                <w:p w14:paraId="74593F2D">
                  <w:pPr>
                    <w:jc w:val="center"/>
                    <w:textAlignment w:val="center"/>
                    <w:rPr>
                      <w:rFonts w:ascii="Times New Roman" w:hAnsi="Times New Roman"/>
                      <w:color w:val="auto"/>
                      <w:kern w:val="0"/>
                      <w:sz w:val="21"/>
                      <w:szCs w:val="21"/>
                      <w:highlight w:val="none"/>
                    </w:rPr>
                  </w:pPr>
                  <w:r>
                    <w:rPr>
                      <w:rFonts w:ascii="Times New Roman" w:hAnsi="Times New Roman"/>
                      <w:color w:val="auto"/>
                      <w:highlight w:val="none"/>
                    </w:rPr>
                    <w:t>水和聚硅化合物</w:t>
                  </w:r>
                </w:p>
              </w:tc>
              <w:tc>
                <w:tcPr>
                  <w:tcW w:w="888" w:type="pct"/>
                  <w:noWrap/>
                  <w:vAlign w:val="center"/>
                </w:tcPr>
                <w:p w14:paraId="5E44DB86">
                  <w:pPr>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0.5 t</w:t>
                  </w:r>
                </w:p>
              </w:tc>
              <w:tc>
                <w:tcPr>
                  <w:tcW w:w="593" w:type="pct"/>
                  <w:noWrap/>
                  <w:vAlign w:val="center"/>
                </w:tcPr>
                <w:p w14:paraId="5770907F">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材料库</w:t>
                  </w:r>
                </w:p>
              </w:tc>
              <w:tc>
                <w:tcPr>
                  <w:tcW w:w="714" w:type="pct"/>
                  <w:noWrap/>
                  <w:vAlign w:val="center"/>
                </w:tcPr>
                <w:p w14:paraId="746EC391">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桶装</w:t>
                  </w:r>
                </w:p>
              </w:tc>
            </w:tr>
            <w:tr w14:paraId="3210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33" w:type="pct"/>
                  <w:noWrap/>
                  <w:vAlign w:val="center"/>
                </w:tcPr>
                <w:p w14:paraId="2A7EDB14">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7</w:t>
                  </w:r>
                </w:p>
              </w:tc>
              <w:tc>
                <w:tcPr>
                  <w:tcW w:w="1500" w:type="dxa"/>
                  <w:noWrap/>
                  <w:vAlign w:val="center"/>
                </w:tcPr>
                <w:p w14:paraId="546E1CFE">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润滑油</w:t>
                  </w:r>
                </w:p>
              </w:tc>
              <w:tc>
                <w:tcPr>
                  <w:tcW w:w="899" w:type="dxa"/>
                  <w:shd w:val="clear" w:color="auto" w:fill="auto"/>
                  <w:noWrap/>
                  <w:vAlign w:val="center"/>
                </w:tcPr>
                <w:p w14:paraId="00991A21">
                  <w:pPr>
                    <w:widowControl/>
                    <w:jc w:val="center"/>
                    <w:textAlignment w:val="center"/>
                    <w:rPr>
                      <w:rFonts w:ascii="Times New Roman" w:hAnsi="Times New Roman" w:eastAsia="宋体" w:cs="Times New Roman"/>
                      <w:color w:val="auto"/>
                      <w:kern w:val="0"/>
                      <w:sz w:val="21"/>
                      <w:szCs w:val="21"/>
                      <w:highlight w:val="yellow"/>
                      <w:lang w:val="en-US" w:eastAsia="zh-CN" w:bidi="ar-SA"/>
                    </w:rPr>
                  </w:pPr>
                  <w:r>
                    <w:rPr>
                      <w:rFonts w:hint="eastAsia" w:ascii="Times New Roman" w:hAnsi="Times New Roman"/>
                      <w:color w:val="auto"/>
                      <w:kern w:val="0"/>
                      <w:sz w:val="21"/>
                      <w:szCs w:val="21"/>
                      <w:highlight w:val="none"/>
                      <w:lang w:val="en-US" w:eastAsia="zh-CN"/>
                    </w:rPr>
                    <w:t>40</w:t>
                  </w:r>
                  <w:r>
                    <w:rPr>
                      <w:rFonts w:hint="eastAsia" w:ascii="Times New Roman" w:hAnsi="Times New Roman"/>
                      <w:color w:val="auto"/>
                      <w:kern w:val="0"/>
                      <w:sz w:val="21"/>
                      <w:szCs w:val="21"/>
                      <w:highlight w:val="none"/>
                    </w:rPr>
                    <w:t>L</w:t>
                  </w:r>
                </w:p>
              </w:tc>
              <w:tc>
                <w:tcPr>
                  <w:tcW w:w="888" w:type="pct"/>
                  <w:noWrap/>
                  <w:vAlign w:val="center"/>
                </w:tcPr>
                <w:p w14:paraId="4D4D9938">
                  <w:pPr>
                    <w:jc w:val="center"/>
                    <w:textAlignment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矿物油</w:t>
                  </w:r>
                </w:p>
              </w:tc>
              <w:tc>
                <w:tcPr>
                  <w:tcW w:w="888" w:type="pct"/>
                  <w:noWrap/>
                  <w:vAlign w:val="center"/>
                </w:tcPr>
                <w:p w14:paraId="580E3543">
                  <w:pPr>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c>
                <w:tcPr>
                  <w:tcW w:w="593" w:type="pct"/>
                  <w:noWrap/>
                  <w:vAlign w:val="center"/>
                </w:tcPr>
                <w:p w14:paraId="23278D0C">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c>
                <w:tcPr>
                  <w:tcW w:w="714" w:type="pct"/>
                  <w:noWrap/>
                  <w:vAlign w:val="center"/>
                </w:tcPr>
                <w:p w14:paraId="7101CDAC">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施工场地</w:t>
                  </w:r>
                </w:p>
                <w:p w14:paraId="1575D47F">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不存储，随</w:t>
                  </w:r>
                </w:p>
                <w:p w14:paraId="0928DC4D">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买随用。</w:t>
                  </w:r>
                </w:p>
              </w:tc>
            </w:tr>
          </w:tbl>
          <w:p w14:paraId="03EC37F4">
            <w:pPr>
              <w:pStyle w:val="31"/>
              <w:adjustRightInd/>
              <w:spacing w:line="360" w:lineRule="auto"/>
              <w:ind w:firstLine="482" w:firstLineChars="200"/>
              <w:jc w:val="both"/>
              <w:rPr>
                <w:rFonts w:ascii="Times New Roman" w:hAnsi="Times New Roman"/>
                <w:color w:val="auto"/>
                <w:highlight w:val="none"/>
              </w:rPr>
            </w:pPr>
            <w:r>
              <w:rPr>
                <w:rFonts w:ascii="Times New Roman" w:hAnsi="Times New Roman"/>
                <w:b/>
                <w:bCs/>
                <w:color w:val="auto"/>
                <w:highlight w:val="none"/>
              </w:rPr>
              <w:t>腐植酸：</w:t>
            </w:r>
            <w:r>
              <w:rPr>
                <w:rFonts w:ascii="Times New Roman" w:hAnsi="Times New Roman"/>
                <w:color w:val="auto"/>
                <w:highlight w:val="none"/>
              </w:rPr>
              <w:t>腐植酸钾是一种高效有机钾肥，化学式为C</w:t>
            </w:r>
            <w:r>
              <w:rPr>
                <w:rFonts w:ascii="Times New Roman" w:hAnsi="Times New Roman"/>
                <w:color w:val="auto"/>
                <w:highlight w:val="none"/>
                <w:vertAlign w:val="subscript"/>
              </w:rPr>
              <w:t>9</w:t>
            </w:r>
            <w:r>
              <w:rPr>
                <w:rFonts w:ascii="Times New Roman" w:hAnsi="Times New Roman"/>
                <w:color w:val="auto"/>
                <w:highlight w:val="none"/>
              </w:rPr>
              <w:t>H</w:t>
            </w:r>
            <w:r>
              <w:rPr>
                <w:rFonts w:ascii="Times New Roman" w:hAnsi="Times New Roman"/>
                <w:color w:val="auto"/>
                <w:highlight w:val="none"/>
                <w:vertAlign w:val="subscript"/>
              </w:rPr>
              <w:t>8</w:t>
            </w:r>
            <w:r>
              <w:rPr>
                <w:rFonts w:ascii="Times New Roman" w:hAnsi="Times New Roman"/>
                <w:color w:val="auto"/>
                <w:highlight w:val="none"/>
              </w:rPr>
              <w:t>K</w:t>
            </w:r>
            <w:r>
              <w:rPr>
                <w:rFonts w:ascii="Times New Roman" w:hAnsi="Times New Roman"/>
                <w:color w:val="auto"/>
                <w:highlight w:val="none"/>
                <w:vertAlign w:val="subscript"/>
              </w:rPr>
              <w:t>2</w:t>
            </w:r>
            <w:r>
              <w:rPr>
                <w:rFonts w:ascii="Times New Roman" w:hAnsi="Times New Roman"/>
                <w:color w:val="auto"/>
                <w:highlight w:val="none"/>
              </w:rPr>
              <w:t>O</w:t>
            </w:r>
            <w:r>
              <w:rPr>
                <w:rFonts w:ascii="Times New Roman" w:hAnsi="Times New Roman"/>
                <w:color w:val="auto"/>
                <w:highlight w:val="none"/>
                <w:vertAlign w:val="subscript"/>
              </w:rPr>
              <w:t>4</w:t>
            </w:r>
            <w:r>
              <w:rPr>
                <w:rFonts w:ascii="Times New Roman" w:hAnsi="Times New Roman"/>
                <w:color w:val="auto"/>
                <w:highlight w:val="none"/>
              </w:rPr>
              <w:t>，外观为黑色粉末，易溶于水，水溶液呈酱色。其含有的腐植酸是一种生物活性制剂，可提高土壤速效钾含量，减少钾的损失和固定，增加作物对钾的吸收和利用率，也具有改良土壤、促进作物生长、提高作物抗逆能力、改善作物品质、保护农业生态环境等功能；它与尿素、磷肥、钾肥、微量元素等混合后，可制成高效多功能复混肥料；此外，腐植酸钾还可用作石油钻井</w:t>
            </w:r>
            <w:r>
              <w:rPr>
                <w:rFonts w:hint="eastAsia" w:ascii="Times New Roman" w:hAnsi="Times New Roman"/>
                <w:color w:val="auto"/>
                <w:highlight w:val="none"/>
                <w:lang w:val="en-US" w:eastAsia="zh-CN"/>
              </w:rPr>
              <w:t>泥浆</w:t>
            </w:r>
            <w:r>
              <w:rPr>
                <w:rFonts w:ascii="Times New Roman" w:hAnsi="Times New Roman"/>
                <w:color w:val="auto"/>
                <w:highlight w:val="none"/>
              </w:rPr>
              <w:t>的处理剂，主要起防止井壁坍塌的作用。</w:t>
            </w:r>
          </w:p>
          <w:p w14:paraId="04E517CD">
            <w:pPr>
              <w:pStyle w:val="31"/>
              <w:adjustRightInd/>
              <w:spacing w:line="360" w:lineRule="auto"/>
              <w:ind w:firstLine="482" w:firstLineChars="200"/>
              <w:jc w:val="both"/>
              <w:rPr>
                <w:rFonts w:ascii="Times New Roman" w:hAnsi="Times New Roman"/>
                <w:color w:val="auto"/>
                <w:highlight w:val="none"/>
              </w:rPr>
            </w:pPr>
            <w:r>
              <w:rPr>
                <w:rFonts w:ascii="Times New Roman" w:hAnsi="Times New Roman"/>
                <w:b/>
                <w:bCs/>
                <w:color w:val="auto"/>
                <w:highlight w:val="none"/>
              </w:rPr>
              <w:t>纤维素：</w:t>
            </w:r>
            <w:r>
              <w:rPr>
                <w:rFonts w:ascii="Times New Roman" w:hAnsi="Times New Roman"/>
                <w:color w:val="auto"/>
                <w:highlight w:val="none"/>
              </w:rPr>
              <w:t>项目使用的纤维素为木质素纤维，它是天然木材经过化学处理得到的有机纤维，外观为棉絮状，呈白色或灰白色。通过筛选、分裂、高温处理、漂白、化学处理、中和、筛分成不同长度和粗细度的纤维以适应不同应用材料的需要。由于处理温度高达250℃以上，在通常条件下是化学上非常稳定的物质，不为一般的溶剂、酸、碱腐蚀，具有无毒、无味、无污染、无放射性的优良品质，不影响环境，对人体无害，属绿色环保产品，这是其它矿物质素纤维所不具备的。纤维微观结构是带状弯曲的，凹凸不平的，多孔的，交叉处是扁平的，有良好的韧性、分散性和化学稳定性，吸水能力强，有非常优秀的增稠抗裂性能。</w:t>
            </w:r>
          </w:p>
          <w:p w14:paraId="4EC40F92">
            <w:pPr>
              <w:pStyle w:val="31"/>
              <w:adjustRightInd/>
              <w:spacing w:line="360" w:lineRule="auto"/>
              <w:ind w:firstLine="482" w:firstLineChars="200"/>
              <w:jc w:val="both"/>
              <w:rPr>
                <w:rFonts w:ascii="Times New Roman" w:hAnsi="Times New Roman"/>
                <w:color w:val="auto"/>
                <w:highlight w:val="none"/>
              </w:rPr>
            </w:pPr>
            <w:r>
              <w:rPr>
                <w:rFonts w:ascii="Times New Roman" w:hAnsi="Times New Roman"/>
                <w:b/>
                <w:bCs/>
                <w:color w:val="auto"/>
              </w:rPr>
              <w:t>泥浆固化剂：</w:t>
            </w:r>
            <w:r>
              <w:rPr>
                <w:rFonts w:ascii="Times New Roman" w:hAnsi="Times New Roman"/>
                <w:color w:val="auto"/>
                <w:highlight w:val="none"/>
              </w:rPr>
              <w:t>泥浆固化剂是一种环保、无毒、不燃的高科技水性化学致密剂，其主要成分为水和聚硅化合物，泥浆固化剂能完全渗透到泥浆中，通过与泥浆中的钙、镁等离子发生化学反应，生成坚硬的结晶物质，在三维空间形成了一个网络结构，使得水泥中凝胶结构增大增强，使得泥浆中的各成份固化为一个密实的整体。</w:t>
            </w:r>
          </w:p>
          <w:p w14:paraId="727CEAB3">
            <w:pPr>
              <w:pStyle w:val="31"/>
              <w:adjustRightInd/>
              <w:spacing w:line="360" w:lineRule="auto"/>
              <w:ind w:firstLine="482" w:firstLineChars="200"/>
              <w:jc w:val="both"/>
              <w:rPr>
                <w:rFonts w:ascii="Times New Roman" w:hAnsi="Times New Roman"/>
                <w:color w:val="auto"/>
                <w:highlight w:val="none"/>
              </w:rPr>
            </w:pPr>
            <w:r>
              <w:rPr>
                <w:rFonts w:hint="eastAsia" w:ascii="Times New Roman" w:hAnsi="Times New Roman"/>
                <w:b/>
                <w:bCs/>
                <w:color w:val="auto"/>
                <w:highlight w:val="none"/>
              </w:rPr>
              <w:t>润滑油：</w:t>
            </w:r>
            <w:r>
              <w:rPr>
                <w:rFonts w:hint="eastAsia" w:ascii="Times New Roman" w:hAnsi="Times New Roman"/>
                <w:color w:val="auto"/>
                <w:highlight w:val="none"/>
              </w:rPr>
              <w:t>淡黄色粘稠液体，闪点120~340℃，自燃点300~350℃，相对密度（水=1）934.8，溶于苯、乙醇、乙醚、氯仿、丙酮等多数有机溶剂。属可燃液体，火灾危险性为丙B类；遇明火、高热可燃。润滑油是用在各种类型汽车、机械设备上以减少摩擦，保护机械及加工件的液体或半固体润滑剂，主要起润滑、辅助冷却、防锈、清洁、密封和缓冲等作用。</w:t>
            </w:r>
          </w:p>
          <w:p w14:paraId="4849E2E0">
            <w:pPr>
              <w:tabs>
                <w:tab w:val="left" w:pos="1755"/>
              </w:tabs>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4、水平衡</w:t>
            </w:r>
          </w:p>
          <w:p w14:paraId="63A9C340">
            <w:pPr>
              <w:tabs>
                <w:tab w:val="left" w:pos="1755"/>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w:t>
            </w:r>
            <w:r>
              <w:rPr>
                <w:rFonts w:hint="eastAsia" w:ascii="Times New Roman" w:hAnsi="Times New Roman"/>
                <w:color w:val="auto"/>
                <w:sz w:val="24"/>
                <w:highlight w:val="none"/>
              </w:rPr>
              <w:t>钻井</w:t>
            </w:r>
            <w:r>
              <w:rPr>
                <w:rFonts w:ascii="Times New Roman" w:hAnsi="Times New Roman"/>
                <w:color w:val="auto"/>
                <w:sz w:val="24"/>
                <w:highlight w:val="none"/>
              </w:rPr>
              <w:t>用</w:t>
            </w:r>
            <w:r>
              <w:rPr>
                <w:rFonts w:hint="eastAsia" w:ascii="Times New Roman" w:hAnsi="Times New Roman"/>
                <w:color w:val="auto"/>
                <w:sz w:val="24"/>
                <w:highlight w:val="none"/>
              </w:rPr>
              <w:t>排</w:t>
            </w:r>
            <w:r>
              <w:rPr>
                <w:rFonts w:ascii="Times New Roman" w:hAnsi="Times New Roman"/>
                <w:color w:val="auto"/>
                <w:sz w:val="24"/>
                <w:highlight w:val="none"/>
              </w:rPr>
              <w:t>水：</w:t>
            </w:r>
            <w:r>
              <w:rPr>
                <w:rFonts w:hint="eastAsia" w:ascii="Times New Roman" w:hAnsi="Times New Roman"/>
                <w:color w:val="auto"/>
                <w:sz w:val="24"/>
                <w:highlight w:val="none"/>
              </w:rPr>
              <w:t>项目钻井终孔层位严格控制在煤层及煤层顶底板稳定岩层（砂质泥岩），该类岩层为隔水或弱透水层，无天然含水层；施工过程中一开仅穿透浅层隔水层，不触及含水层，二开避开导水构造与含水层，掏穴段仅在煤层及顶底板弱透水层扩大孔径，无水源接入，通过下套管，将水泥泵入套管并使之充满套管外环形空间，彻底阻断水力联系，同时无任何透水通道与压力差条件，因此无地下涌水产生的风险，本次不计入涌水量核算。项目钻井过程中使用水，产生的钻井废水经沉淀池沉淀后循环使用。项目钻井期为每个井场逐步开工实施，废水主要指钻井泥浆。钻井需配置泥浆供钻井使用，根据建设单位施工经验，</w:t>
            </w:r>
            <w:r>
              <w:rPr>
                <w:rFonts w:hint="default" w:ascii="Times New Roman" w:hAnsi="Times New Roman" w:eastAsia="宋体" w:cs="Times New Roman"/>
                <w:color w:val="auto"/>
                <w:sz w:val="24"/>
                <w:highlight w:val="none"/>
                <w:lang w:val="en-US" w:eastAsia="zh-CN"/>
              </w:rPr>
              <w:t>本次项目</w:t>
            </w:r>
            <w:r>
              <w:rPr>
                <w:rFonts w:hint="default" w:ascii="Times New Roman" w:hAnsi="Times New Roman" w:eastAsia="宋体" w:cs="Times New Roman"/>
                <w:color w:val="auto"/>
                <w:sz w:val="24"/>
                <w:highlight w:val="none"/>
              </w:rPr>
              <w:t>每个钻孔总用</w:t>
            </w:r>
            <w:r>
              <w:rPr>
                <w:rFonts w:hint="default" w:ascii="Times New Roman" w:hAnsi="Times New Roman" w:eastAsia="宋体" w:cs="Times New Roman"/>
                <w:color w:val="auto"/>
                <w:sz w:val="24"/>
                <w:highlight w:val="none"/>
                <w:lang w:val="en-US" w:eastAsia="zh-CN"/>
              </w:rPr>
              <w:t>新鲜</w:t>
            </w:r>
            <w:r>
              <w:rPr>
                <w:rFonts w:hint="default" w:ascii="Times New Roman" w:hAnsi="Times New Roman" w:eastAsia="宋体" w:cs="Times New Roman"/>
                <w:color w:val="auto"/>
                <w:sz w:val="24"/>
                <w:highlight w:val="none"/>
              </w:rPr>
              <w:t>水约为</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0m³，共</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个</w:t>
            </w:r>
            <w:r>
              <w:rPr>
                <w:rFonts w:hint="default" w:ascii="Times New Roman" w:hAnsi="Times New Roman" w:eastAsia="宋体" w:cs="Times New Roman"/>
                <w:color w:val="auto"/>
                <w:sz w:val="24"/>
                <w:highlight w:val="none"/>
              </w:rPr>
              <w:t>钻孔，钻井总用水量</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0m³</w:t>
            </w:r>
            <w:r>
              <w:rPr>
                <w:rFonts w:hint="eastAsia"/>
                <w:color w:val="auto"/>
                <w:sz w:val="24"/>
                <w:highlight w:val="none"/>
              </w:rPr>
              <w:t>，</w:t>
            </w:r>
            <w:r>
              <w:rPr>
                <w:rFonts w:hint="eastAsia"/>
                <w:color w:val="auto"/>
                <w:sz w:val="24"/>
                <w:highlight w:val="none"/>
                <w:lang w:val="en-US" w:eastAsia="zh-CN"/>
              </w:rPr>
              <w:t>本项目各</w:t>
            </w:r>
            <w:r>
              <w:rPr>
                <w:rFonts w:hint="eastAsia"/>
                <w:color w:val="auto"/>
                <w:sz w:val="24"/>
                <w:highlight w:val="none"/>
              </w:rPr>
              <w:t>井场</w:t>
            </w:r>
            <w:r>
              <w:rPr>
                <w:rFonts w:hint="eastAsia"/>
                <w:color w:val="auto"/>
                <w:sz w:val="24"/>
                <w:highlight w:val="none"/>
                <w:lang w:val="en-US" w:eastAsia="zh-CN"/>
              </w:rPr>
              <w:t>钻井工程</w:t>
            </w:r>
            <w:r>
              <w:rPr>
                <w:rFonts w:hint="eastAsia"/>
                <w:color w:val="auto"/>
                <w:sz w:val="24"/>
                <w:highlight w:val="none"/>
              </w:rPr>
              <w:t>预计约</w:t>
            </w:r>
            <w:r>
              <w:rPr>
                <w:rFonts w:hint="eastAsia"/>
                <w:color w:val="auto"/>
                <w:sz w:val="24"/>
                <w:highlight w:val="none"/>
                <w:lang w:val="en-US" w:eastAsia="zh-CN"/>
              </w:rPr>
              <w:t>5</w:t>
            </w:r>
            <w:r>
              <w:rPr>
                <w:rFonts w:hint="eastAsia"/>
                <w:color w:val="auto"/>
                <w:sz w:val="24"/>
                <w:highlight w:val="none"/>
              </w:rPr>
              <w:t>个月，循环水量约</w:t>
            </w:r>
            <w:r>
              <w:rPr>
                <w:rFonts w:hint="eastAsia" w:ascii="Times New Roman" w:hAnsi="Times New Roman" w:cs="Times New Roman"/>
                <w:color w:val="auto"/>
                <w:sz w:val="24"/>
                <w:highlight w:val="none"/>
                <w:lang w:val="en-US" w:eastAsia="zh-CN"/>
              </w:rPr>
              <w:t>72</w:t>
            </w:r>
            <w:r>
              <w:rPr>
                <w:rFonts w:hint="default" w:ascii="Times New Roman" w:hAnsi="Times New Roman" w:cs="Times New Roman"/>
                <w:color w:val="auto"/>
                <w:sz w:val="24"/>
                <w:highlight w:val="none"/>
              </w:rPr>
              <w:t>m³/d</w:t>
            </w:r>
            <w:r>
              <w:rPr>
                <w:rFonts w:hint="eastAsia"/>
                <w:color w:val="auto"/>
                <w:sz w:val="24"/>
                <w:highlight w:val="none"/>
              </w:rPr>
              <w:t>。</w:t>
            </w:r>
            <w:r>
              <w:rPr>
                <w:rFonts w:hint="eastAsia" w:ascii="Times New Roman" w:hAnsi="Times New Roman"/>
                <w:color w:val="auto"/>
                <w:sz w:val="24"/>
                <w:highlight w:val="none"/>
              </w:rPr>
              <w:t>钻井泥浆通过泥浆泵以</w:t>
            </w:r>
            <w:r>
              <w:rPr>
                <w:rFonts w:hint="eastAsia" w:ascii="Times New Roman" w:hAnsi="Times New Roman"/>
                <w:color w:val="auto"/>
                <w:sz w:val="24"/>
                <w:highlight w:val="none"/>
                <w:lang w:eastAsia="zh-CN"/>
              </w:rPr>
              <w:t>泥浆池</w:t>
            </w:r>
            <w:r>
              <w:rPr>
                <w:rFonts w:hint="eastAsia" w:ascii="Times New Roman" w:hAnsi="Times New Roman"/>
                <w:color w:val="auto"/>
                <w:sz w:val="24"/>
                <w:highlight w:val="none"/>
              </w:rPr>
              <w:t>沉淀后循环使用，不外排，泥浆在</w:t>
            </w:r>
            <w:r>
              <w:rPr>
                <w:rFonts w:hint="eastAsia" w:ascii="Times New Roman" w:hAnsi="Times New Roman"/>
                <w:color w:val="auto"/>
                <w:sz w:val="24"/>
                <w:highlight w:val="none"/>
                <w:lang w:eastAsia="zh-CN"/>
              </w:rPr>
              <w:t>泥浆池</w:t>
            </w:r>
            <w:r>
              <w:rPr>
                <w:rFonts w:hint="eastAsia" w:ascii="Times New Roman" w:hAnsi="Times New Roman"/>
                <w:color w:val="auto"/>
                <w:sz w:val="24"/>
                <w:highlight w:val="none"/>
              </w:rPr>
              <w:t>中通过加入泥浆固化剂固化，固化后属于一般固废，作为周边路基维护的建材使用。</w:t>
            </w:r>
          </w:p>
          <w:p w14:paraId="765777CD">
            <w:pPr>
              <w:spacing w:line="360" w:lineRule="auto"/>
              <w:ind w:firstLine="480" w:firstLineChars="200"/>
              <w:rPr>
                <w:rFonts w:hint="eastAsia" w:ascii="Times New Roman" w:hAnsi="Times New Roman" w:eastAsia="宋体"/>
                <w:color w:val="auto"/>
                <w:sz w:val="24"/>
                <w:highlight w:val="none"/>
                <w:lang w:val="en-US" w:eastAsia="zh-CN"/>
              </w:rPr>
            </w:pPr>
            <w:r>
              <w:rPr>
                <w:rFonts w:ascii="Times New Roman" w:hAnsi="Times New Roman"/>
                <w:color w:val="auto"/>
                <w:sz w:val="24"/>
                <w:highlight w:val="none"/>
              </w:rPr>
              <w:t>（2）办公生活用水：项目租赁周边农村民房，用于员工食宿，施工现场不设施工营地，项目员工</w:t>
            </w:r>
            <w:r>
              <w:rPr>
                <w:rFonts w:hint="eastAsia" w:ascii="Times New Roman" w:hAnsi="Times New Roman"/>
                <w:color w:val="auto"/>
                <w:sz w:val="24"/>
                <w:highlight w:val="none"/>
              </w:rPr>
              <w:t>总</w:t>
            </w:r>
            <w:r>
              <w:rPr>
                <w:rFonts w:ascii="Times New Roman" w:hAnsi="Times New Roman"/>
                <w:color w:val="auto"/>
                <w:sz w:val="24"/>
                <w:highlight w:val="none"/>
              </w:rPr>
              <w:t>人数为</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平均每个井场施工人数约12人</w:t>
            </w:r>
            <w:r>
              <w:rPr>
                <w:rFonts w:hint="eastAsia" w:ascii="Times New Roman" w:hAnsi="Times New Roman"/>
                <w:color w:val="auto"/>
                <w:sz w:val="24"/>
                <w:highlight w:val="none"/>
                <w:lang w:eastAsia="zh-CN"/>
              </w:rPr>
              <w:t>）</w:t>
            </w:r>
            <w:r>
              <w:rPr>
                <w:rFonts w:ascii="Times New Roman" w:hAnsi="Times New Roman"/>
                <w:color w:val="auto"/>
                <w:sz w:val="24"/>
                <w:highlight w:val="none"/>
              </w:rPr>
              <w:t>，根据</w:t>
            </w:r>
            <w:r>
              <w:rPr>
                <w:rFonts w:hint="eastAsia" w:ascii="Times New Roman" w:hAnsi="Times New Roman"/>
                <w:color w:val="auto"/>
                <w:sz w:val="24"/>
                <w:highlight w:val="none"/>
              </w:rPr>
              <w:t>《安徽省行业用水定额》（DB34/T 679-2025）</w:t>
            </w:r>
            <w:r>
              <w:rPr>
                <w:rFonts w:ascii="Times New Roman" w:hAnsi="Times New Roman"/>
                <w:color w:val="auto"/>
                <w:sz w:val="24"/>
                <w:highlight w:val="none"/>
              </w:rPr>
              <w:t>，员工生活用水按</w:t>
            </w:r>
            <w:r>
              <w:rPr>
                <w:rFonts w:hint="eastAsia" w:ascii="Times New Roman" w:hAnsi="Times New Roman"/>
                <w:color w:val="auto"/>
                <w:sz w:val="24"/>
                <w:highlight w:val="none"/>
                <w:lang w:val="en-US" w:eastAsia="zh-CN"/>
              </w:rPr>
              <w:t>38m</w:t>
            </w:r>
            <w:r>
              <w:rPr>
                <w:rFonts w:hint="eastAsia" w:ascii="Times New Roman" w:hAnsi="Times New Roman"/>
                <w:color w:val="auto"/>
                <w:sz w:val="24"/>
                <w:highlight w:val="none"/>
                <w:vertAlign w:val="superscript"/>
                <w:lang w:val="en-US" w:eastAsia="zh-CN"/>
              </w:rPr>
              <w:t>3</w:t>
            </w:r>
            <w:r>
              <w:rPr>
                <w:rFonts w:ascii="Times New Roman" w:hAnsi="Times New Roman"/>
                <w:color w:val="auto"/>
                <w:sz w:val="24"/>
                <w:highlight w:val="none"/>
              </w:rPr>
              <w:t>/人·</w:t>
            </w:r>
            <w:r>
              <w:rPr>
                <w:rFonts w:hint="eastAsia" w:ascii="Times New Roman" w:hAnsi="Times New Roman"/>
                <w:color w:val="auto"/>
                <w:sz w:val="24"/>
                <w:highlight w:val="none"/>
                <w:lang w:val="en-US" w:eastAsia="zh-CN"/>
              </w:rPr>
              <w:t>a</w:t>
            </w:r>
            <w:r>
              <w:rPr>
                <w:rFonts w:ascii="Times New Roman" w:hAnsi="Times New Roman"/>
                <w:color w:val="auto"/>
                <w:sz w:val="24"/>
                <w:highlight w:val="none"/>
              </w:rPr>
              <w:t>计</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全年按250d计，折算每日用水量约152L/</w:t>
            </w:r>
            <w:r>
              <w:rPr>
                <w:rFonts w:ascii="Times New Roman" w:hAnsi="Times New Roman"/>
                <w:color w:val="auto"/>
                <w:sz w:val="24"/>
                <w:highlight w:val="none"/>
              </w:rPr>
              <w:t>人·</w:t>
            </w:r>
            <w:r>
              <w:rPr>
                <w:rFonts w:hint="eastAsia" w:ascii="Times New Roman" w:hAnsi="Times New Roman"/>
                <w:color w:val="auto"/>
                <w:sz w:val="24"/>
                <w:highlight w:val="none"/>
                <w:lang w:val="en-US" w:eastAsia="zh-CN"/>
              </w:rPr>
              <w:t>d</w:t>
            </w:r>
            <w:r>
              <w:rPr>
                <w:rFonts w:hint="eastAsia" w:ascii="Times New Roman" w:hAnsi="Times New Roman"/>
                <w:color w:val="auto"/>
                <w:sz w:val="24"/>
                <w:highlight w:val="none"/>
                <w:lang w:eastAsia="zh-CN"/>
              </w:rPr>
              <w:t>）</w:t>
            </w:r>
            <w:r>
              <w:rPr>
                <w:rFonts w:ascii="Times New Roman" w:hAnsi="Times New Roman"/>
                <w:color w:val="auto"/>
                <w:sz w:val="24"/>
                <w:highlight w:val="none"/>
              </w:rPr>
              <w:t>，用水量约为</w:t>
            </w:r>
            <w:r>
              <w:rPr>
                <w:rFonts w:hint="eastAsia" w:ascii="Times New Roman" w:hAnsi="Times New Roman"/>
                <w:color w:val="auto"/>
                <w:sz w:val="24"/>
                <w:highlight w:val="none"/>
                <w:lang w:val="en-US" w:eastAsia="zh-CN"/>
              </w:rPr>
              <w:t>5.5</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lang w:val="en-US" w:eastAsia="zh-CN"/>
              </w:rPr>
              <w:t>施工期</w:t>
            </w:r>
            <w:r>
              <w:rPr>
                <w:rFonts w:ascii="Times New Roman" w:hAnsi="Times New Roman"/>
                <w:color w:val="auto"/>
                <w:sz w:val="24"/>
                <w:highlight w:val="none"/>
              </w:rPr>
              <w:t>用水量为</w:t>
            </w:r>
            <w:r>
              <w:rPr>
                <w:rFonts w:hint="eastAsia" w:ascii="Times New Roman" w:hAnsi="Times New Roman"/>
                <w:color w:val="auto"/>
                <w:sz w:val="24"/>
                <w:highlight w:val="none"/>
                <w:lang w:val="en-US" w:eastAsia="zh-CN"/>
              </w:rPr>
              <w:t>984.96</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lang w:val="en-US" w:eastAsia="zh-CN"/>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生活污水排入</w:t>
            </w:r>
            <w:r>
              <w:rPr>
                <w:rFonts w:ascii="Times New Roman" w:hAnsi="Times New Roman"/>
                <w:color w:val="auto"/>
                <w:sz w:val="24"/>
                <w:highlight w:val="none"/>
              </w:rPr>
              <w:t>周边农村</w:t>
            </w:r>
            <w:r>
              <w:rPr>
                <w:rFonts w:hint="eastAsia" w:ascii="Times New Roman" w:hAnsi="Times New Roman"/>
                <w:color w:val="auto"/>
                <w:sz w:val="24"/>
                <w:highlight w:val="none"/>
                <w:lang w:val="en-US" w:eastAsia="zh-CN"/>
              </w:rPr>
              <w:t>化粪池内，定期清掏肥田，排放系数按0.9计，则清掏量约为4.92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886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a</w:t>
            </w:r>
            <w:r>
              <w:rPr>
                <w:rFonts w:hint="eastAsia" w:ascii="Times New Roman" w:hAnsi="Times New Roman"/>
                <w:color w:val="auto"/>
                <w:sz w:val="24"/>
                <w:highlight w:val="none"/>
                <w:lang w:eastAsia="zh-CN"/>
              </w:rPr>
              <w:t>）。</w:t>
            </w:r>
          </w:p>
          <w:p w14:paraId="7DE37A91">
            <w:pPr>
              <w:spacing w:line="360" w:lineRule="auto"/>
              <w:ind w:firstLine="480" w:firstLineChars="200"/>
              <w:rPr>
                <w:rFonts w:hint="eastAsia" w:ascii="Times New Roman" w:hAnsi="Times New Roman" w:eastAsia="宋体"/>
                <w:color w:val="auto"/>
                <w:sz w:val="24"/>
                <w:szCs w:val="24"/>
                <w:highlight w:val="none"/>
                <w:lang w:val="en-US" w:eastAsia="zh-CN"/>
              </w:rPr>
            </w:pPr>
            <w:r>
              <w:rPr>
                <w:rFonts w:ascii="Times New Roman" w:hAnsi="Times New Roman" w:eastAsia="宋体"/>
                <w:color w:val="auto"/>
                <w:sz w:val="24"/>
                <w:szCs w:val="24"/>
                <w:highlight w:val="none"/>
              </w:rPr>
              <w:t>（3）车辆冲洗水</w:t>
            </w:r>
            <w:r>
              <w:rPr>
                <w:rFonts w:hint="eastAsia" w:ascii="Times New Roman" w:hAnsi="Times New Roman" w:eastAsia="宋体"/>
                <w:color w:val="auto"/>
                <w:sz w:val="24"/>
                <w:szCs w:val="24"/>
                <w:highlight w:val="none"/>
                <w:lang w:eastAsia="zh-CN"/>
              </w:rPr>
              <w:t>：</w:t>
            </w:r>
            <w:r>
              <w:rPr>
                <w:rFonts w:ascii="Times New Roman" w:hAnsi="Times New Roman" w:eastAsia="宋体"/>
                <w:color w:val="auto"/>
                <w:sz w:val="24"/>
                <w:szCs w:val="24"/>
                <w:highlight w:val="none"/>
              </w:rPr>
              <w:t>对于项目所有运输车辆进出厂区时均需冲洗。</w:t>
            </w:r>
            <w:r>
              <w:rPr>
                <w:rFonts w:hint="eastAsia" w:ascii="Times New Roman" w:hAnsi="Times New Roman" w:eastAsia="宋体"/>
                <w:color w:val="auto"/>
                <w:sz w:val="24"/>
                <w:szCs w:val="24"/>
                <w:highlight w:val="none"/>
              </w:rPr>
              <w:t>参考《建筑给水排水设计标准》（GB50015-2019），每次清洗用水量按80L/辆·次计</w:t>
            </w:r>
            <w:r>
              <w:rPr>
                <w:rFonts w:ascii="Times New Roman" w:hAnsi="Times New Roman" w:eastAsia="宋体"/>
                <w:color w:val="auto"/>
                <w:sz w:val="24"/>
                <w:szCs w:val="24"/>
                <w:highlight w:val="none"/>
              </w:rPr>
              <w:t>。根据</w:t>
            </w:r>
            <w:r>
              <w:rPr>
                <w:rFonts w:hint="eastAsia" w:ascii="Times New Roman" w:hAnsi="Times New Roman" w:eastAsia="宋体"/>
                <w:color w:val="auto"/>
                <w:sz w:val="24"/>
                <w:szCs w:val="24"/>
                <w:highlight w:val="none"/>
                <w:lang w:val="en-US" w:eastAsia="zh-CN"/>
              </w:rPr>
              <w:t>施工单位提供的</w:t>
            </w:r>
            <w:r>
              <w:rPr>
                <w:rFonts w:ascii="Times New Roman" w:hAnsi="Times New Roman" w:eastAsia="宋体"/>
                <w:color w:val="auto"/>
                <w:sz w:val="24"/>
                <w:szCs w:val="24"/>
                <w:highlight w:val="none"/>
              </w:rPr>
              <w:t>资料，项目施工期</w:t>
            </w:r>
            <w:r>
              <w:rPr>
                <w:rFonts w:hint="eastAsia" w:ascii="Times New Roman" w:hAnsi="Times New Roman" w:eastAsia="宋体"/>
                <w:color w:val="auto"/>
                <w:sz w:val="24"/>
                <w:szCs w:val="24"/>
                <w:highlight w:val="none"/>
                <w:lang w:val="en-US" w:eastAsia="zh-CN"/>
              </w:rPr>
              <w:t>每个井场</w:t>
            </w:r>
            <w:r>
              <w:rPr>
                <w:rFonts w:ascii="Times New Roman" w:hAnsi="Times New Roman" w:eastAsia="宋体"/>
                <w:color w:val="auto"/>
                <w:sz w:val="24"/>
                <w:szCs w:val="24"/>
                <w:highlight w:val="none"/>
              </w:rPr>
              <w:t>每天进出车辆共约</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rPr>
              <w:t>辆次，则</w:t>
            </w:r>
            <w:r>
              <w:rPr>
                <w:rFonts w:hint="eastAsia" w:ascii="Times New Roman" w:hAnsi="Times New Roman" w:eastAsia="宋体"/>
                <w:color w:val="auto"/>
                <w:sz w:val="24"/>
                <w:szCs w:val="24"/>
                <w:highlight w:val="none"/>
                <w:lang w:val="en-US" w:eastAsia="zh-CN"/>
              </w:rPr>
              <w:t>施工期</w:t>
            </w:r>
            <w:r>
              <w:rPr>
                <w:rFonts w:ascii="Times New Roman" w:hAnsi="Times New Roman" w:eastAsia="宋体"/>
                <w:color w:val="auto"/>
                <w:sz w:val="24"/>
                <w:szCs w:val="24"/>
                <w:highlight w:val="none"/>
              </w:rPr>
              <w:t>冲洗用水量约为</w:t>
            </w:r>
            <w:r>
              <w:rPr>
                <w:rFonts w:hint="eastAsia" w:ascii="Times New Roman" w:hAnsi="Times New Roman"/>
                <w:color w:val="auto"/>
                <w:sz w:val="24"/>
                <w:szCs w:val="24"/>
                <w:highlight w:val="none"/>
                <w:lang w:val="en-US" w:eastAsia="zh-CN"/>
              </w:rPr>
              <w:t>172.8</w:t>
            </w:r>
            <w:r>
              <w:rPr>
                <w:rFonts w:hint="eastAsia" w:ascii="Times New Roman" w:hAnsi="Times New Roman" w:eastAsia="宋体"/>
                <w:color w:val="auto"/>
                <w:sz w:val="24"/>
                <w:szCs w:val="24"/>
                <w:highlight w:val="none"/>
                <w:lang w:val="en-US" w:eastAsia="zh-CN"/>
              </w:rPr>
              <w:t>m</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0.96</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。冲洗水约有</w:t>
            </w:r>
            <w:r>
              <w:rPr>
                <w:rFonts w:hint="eastAsia" w:ascii="Times New Roman" w:hAnsi="Times New Roman" w:eastAsia="宋体"/>
                <w:color w:val="auto"/>
                <w:sz w:val="24"/>
                <w:szCs w:val="24"/>
                <w:highlight w:val="none"/>
              </w:rPr>
              <w:t>2</w:t>
            </w:r>
            <w:r>
              <w:rPr>
                <w:rFonts w:ascii="Times New Roman" w:hAnsi="Times New Roman" w:eastAsia="宋体"/>
                <w:color w:val="auto"/>
                <w:sz w:val="24"/>
                <w:szCs w:val="24"/>
                <w:highlight w:val="none"/>
              </w:rPr>
              <w:t>0%蒸发，其余</w:t>
            </w:r>
            <w:r>
              <w:rPr>
                <w:rFonts w:hint="eastAsia" w:ascii="Times New Roman" w:hAnsi="Times New Roman" w:eastAsia="宋体"/>
                <w:color w:val="auto"/>
                <w:sz w:val="24"/>
                <w:szCs w:val="24"/>
                <w:highlight w:val="none"/>
              </w:rPr>
              <w:t>约</w:t>
            </w:r>
            <w:r>
              <w:rPr>
                <w:rFonts w:hint="eastAsia" w:ascii="Times New Roman" w:hAnsi="Times New Roman"/>
                <w:color w:val="auto"/>
                <w:sz w:val="24"/>
                <w:szCs w:val="24"/>
                <w:highlight w:val="none"/>
                <w:lang w:val="en-US" w:eastAsia="zh-CN"/>
              </w:rPr>
              <w:t>138.2</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color w:val="auto"/>
                <w:sz w:val="24"/>
                <w:szCs w:val="24"/>
                <w:highlight w:val="none"/>
                <w:lang w:val="en-US" w:eastAsia="zh-CN"/>
              </w:rPr>
              <w:t>0.77</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水进入沉淀池沉淀后循环使用。井场</w:t>
            </w:r>
            <w:r>
              <w:rPr>
                <w:rFonts w:hint="eastAsia" w:ascii="Times New Roman" w:hAnsi="Times New Roman" w:eastAsia="宋体"/>
                <w:color w:val="auto"/>
                <w:sz w:val="24"/>
                <w:szCs w:val="24"/>
                <w:highlight w:val="none"/>
                <w:lang w:val="en-US" w:eastAsia="zh-CN"/>
              </w:rPr>
              <w:t>内设有</w:t>
            </w:r>
            <w:r>
              <w:rPr>
                <w:rFonts w:ascii="Times New Roman" w:hAnsi="Times New Roman" w:eastAsia="宋体"/>
                <w:color w:val="auto"/>
                <w:sz w:val="24"/>
                <w:szCs w:val="24"/>
                <w:highlight w:val="none"/>
              </w:rPr>
              <w:t>沉淀池，冲洗废水沉淀后循环使用。冲洗用水因自然蒸发、车辆带走等损耗，日补充量约为</w:t>
            </w:r>
            <w:r>
              <w:rPr>
                <w:rFonts w:hint="eastAsia" w:ascii="Times New Roman" w:hAnsi="Times New Roman"/>
                <w:color w:val="auto"/>
                <w:sz w:val="24"/>
                <w:szCs w:val="24"/>
                <w:highlight w:val="none"/>
                <w:lang w:val="en-US" w:eastAsia="zh-CN"/>
              </w:rPr>
              <w:t>0.192</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w:t>
            </w:r>
            <w:r>
              <w:rPr>
                <w:rFonts w:hint="eastAsia" w:ascii="Times New Roman" w:hAnsi="Times New Roman" w:eastAsia="宋体"/>
                <w:color w:val="auto"/>
                <w:sz w:val="24"/>
                <w:szCs w:val="24"/>
                <w:highlight w:val="none"/>
              </w:rPr>
              <w:t>，年用水量为</w:t>
            </w:r>
            <w:r>
              <w:rPr>
                <w:rFonts w:hint="eastAsia" w:ascii="Times New Roman" w:hAnsi="Times New Roman"/>
                <w:color w:val="auto"/>
                <w:sz w:val="24"/>
                <w:szCs w:val="24"/>
                <w:highlight w:val="none"/>
                <w:lang w:val="en-US" w:eastAsia="zh-CN"/>
              </w:rPr>
              <w:t>34.6</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w:t>
            </w:r>
          </w:p>
          <w:p w14:paraId="7FE0B9AD">
            <w:pPr>
              <w:spacing w:line="360" w:lineRule="auto"/>
              <w:ind w:firstLine="480" w:firstLineChars="200"/>
              <w:outlineLvl w:val="1"/>
              <w:rPr>
                <w:rFonts w:hint="eastAsia" w:ascii="Times New Roman" w:hAnsi="Times New Roman" w:eastAsia="宋体"/>
                <w:bCs/>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洗井废水：</w:t>
            </w:r>
            <w:r>
              <w:rPr>
                <w:rFonts w:hint="eastAsia" w:ascii="Times New Roman" w:hAnsi="Times New Roman" w:eastAsia="宋体"/>
                <w:bCs/>
                <w:color w:val="auto"/>
                <w:sz w:val="24"/>
                <w:szCs w:val="24"/>
                <w:highlight w:val="none"/>
              </w:rPr>
              <w:t>根据</w:t>
            </w:r>
            <w:r>
              <w:rPr>
                <w:rFonts w:hint="eastAsia" w:ascii="Times New Roman" w:hAnsi="Times New Roman" w:eastAsia="宋体"/>
                <w:bCs/>
                <w:color w:val="auto"/>
                <w:sz w:val="24"/>
                <w:szCs w:val="24"/>
                <w:highlight w:val="none"/>
                <w:lang w:val="en-US" w:eastAsia="zh-CN"/>
              </w:rPr>
              <w:t>施工</w:t>
            </w:r>
            <w:r>
              <w:rPr>
                <w:rFonts w:hint="eastAsia" w:ascii="Times New Roman" w:hAnsi="Times New Roman" w:eastAsia="宋体"/>
                <w:bCs/>
                <w:color w:val="auto"/>
                <w:sz w:val="24"/>
                <w:szCs w:val="24"/>
                <w:highlight w:val="none"/>
              </w:rPr>
              <w:t>单位施工经验，</w:t>
            </w:r>
            <w:r>
              <w:rPr>
                <w:rFonts w:hint="eastAsia" w:ascii="Times New Roman" w:hAnsi="Times New Roman" w:eastAsia="宋体"/>
                <w:bCs/>
                <w:color w:val="auto"/>
                <w:sz w:val="24"/>
                <w:szCs w:val="24"/>
                <w:highlight w:val="none"/>
                <w:lang w:val="en-US" w:eastAsia="zh-CN"/>
              </w:rPr>
              <w:t>本项目洗井采用泥浆池上清液进行清洗，清洗后的废水返回泥浆池内循环使用，清洗用水量合计约为60m</w:t>
            </w:r>
            <w:r>
              <w:rPr>
                <w:rFonts w:hint="eastAsia" w:ascii="Times New Roman" w:hAnsi="Times New Roman" w:eastAsia="宋体"/>
                <w:bCs/>
                <w:color w:val="auto"/>
                <w:sz w:val="24"/>
                <w:szCs w:val="24"/>
                <w:highlight w:val="none"/>
                <w:vertAlign w:val="superscript"/>
                <w:lang w:val="en-US" w:eastAsia="zh-CN"/>
              </w:rPr>
              <w:t>3</w:t>
            </w:r>
            <w:r>
              <w:rPr>
                <w:rFonts w:hint="eastAsia" w:ascii="Times New Roman" w:hAnsi="Times New Roman" w:eastAsia="宋体"/>
                <w:bCs/>
                <w:color w:val="auto"/>
                <w:sz w:val="24"/>
                <w:szCs w:val="24"/>
                <w:highlight w:val="none"/>
                <w:lang w:val="en-US" w:eastAsia="zh-CN"/>
              </w:rPr>
              <w:t>，损耗率按0.1计，则损耗量约为6m</w:t>
            </w:r>
            <w:r>
              <w:rPr>
                <w:rFonts w:hint="eastAsia" w:ascii="Times New Roman" w:hAnsi="Times New Roman" w:eastAsia="宋体"/>
                <w:bCs/>
                <w:color w:val="auto"/>
                <w:sz w:val="24"/>
                <w:szCs w:val="24"/>
                <w:highlight w:val="none"/>
                <w:vertAlign w:val="superscript"/>
                <w:lang w:val="en-US" w:eastAsia="zh-CN"/>
              </w:rPr>
              <w:t>3</w:t>
            </w:r>
            <w:r>
              <w:rPr>
                <w:rFonts w:hint="eastAsia" w:ascii="Times New Roman" w:hAnsi="Times New Roman" w:eastAsia="宋体"/>
                <w:bCs/>
                <w:color w:val="auto"/>
                <w:sz w:val="24"/>
                <w:szCs w:val="24"/>
                <w:highlight w:val="none"/>
              </w:rPr>
              <w:t>。</w:t>
            </w:r>
          </w:p>
          <w:p w14:paraId="085BE43C">
            <w:pPr>
              <w:spacing w:line="360" w:lineRule="auto"/>
              <w:ind w:firstLine="480" w:firstLineChars="200"/>
              <w:outlineLvl w:val="1"/>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5</w:t>
            </w:r>
            <w:r>
              <w:rPr>
                <w:rFonts w:hint="eastAsia" w:ascii="Times New Roman" w:hAnsi="Times New Roman" w:eastAsia="宋体"/>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抽水试验废水：本项目</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#井场钻孔结束后需进行抽水试验，以观测地下水水质、</w:t>
            </w:r>
            <w:r>
              <w:rPr>
                <w:rFonts w:hint="default" w:ascii="Times New Roman" w:hAnsi="Times New Roman" w:eastAsia="宋体" w:cs="Times New Roman"/>
                <w:color w:val="auto"/>
                <w:sz w:val="24"/>
                <w:szCs w:val="24"/>
                <w:highlight w:val="none"/>
              </w:rPr>
              <w:t>流量稳定程度、水位波动</w:t>
            </w:r>
            <w:r>
              <w:rPr>
                <w:rFonts w:hint="default" w:ascii="Times New Roman" w:hAnsi="Times New Roman" w:eastAsia="宋体" w:cs="Times New Roman"/>
                <w:color w:val="auto"/>
                <w:sz w:val="24"/>
                <w:szCs w:val="24"/>
                <w:highlight w:val="none"/>
                <w:lang w:val="en-US" w:eastAsia="zh-CN"/>
              </w:rPr>
              <w:t>情况。根据</w:t>
            </w:r>
            <w:r>
              <w:rPr>
                <w:rFonts w:hint="eastAsia" w:ascii="Times New Roman" w:hAnsi="Times New Roman" w:eastAsia="宋体" w:cs="Times New Roman"/>
                <w:color w:val="auto"/>
                <w:sz w:val="24"/>
                <w:szCs w:val="24"/>
                <w:highlight w:val="none"/>
                <w:lang w:val="en-US" w:eastAsia="zh-CN"/>
              </w:rPr>
              <w:t>施工单位</w:t>
            </w:r>
            <w:r>
              <w:rPr>
                <w:rFonts w:hint="default" w:ascii="Times New Roman" w:hAnsi="Times New Roman" w:eastAsia="宋体" w:cs="Times New Roman"/>
                <w:color w:val="auto"/>
                <w:sz w:val="24"/>
                <w:szCs w:val="24"/>
                <w:highlight w:val="none"/>
                <w:lang w:val="en-US" w:eastAsia="zh-CN"/>
              </w:rPr>
              <w:t>施工经验，水文孔施工过程中一般进行3次抽水试验</w:t>
            </w:r>
            <w:r>
              <w:rPr>
                <w:rFonts w:hint="eastAsia" w:ascii="Times New Roman" w:hAnsi="Times New Roman" w:eastAsia="宋体" w:cs="Times New Roman"/>
                <w:color w:val="auto"/>
                <w:sz w:val="24"/>
                <w:szCs w:val="24"/>
                <w:highlight w:val="none"/>
                <w:lang w:val="en-US" w:eastAsia="zh-CN"/>
              </w:rPr>
              <w:t>，抽水量逐次减少，最后一次抽水需进行水质全成分检测</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每次抽水量约为50m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，抽出的清水排入清水池，则</w:t>
            </w:r>
            <w:r>
              <w:rPr>
                <w:rFonts w:hint="eastAsia" w:ascii="Times New Roman" w:hAnsi="Times New Roman" w:eastAsia="宋体" w:cs="Times New Roman"/>
                <w:color w:val="auto"/>
                <w:sz w:val="24"/>
                <w:szCs w:val="24"/>
                <w:highlight w:val="none"/>
                <w:lang w:val="en-US" w:eastAsia="zh-CN"/>
              </w:rPr>
              <w:t>抽水</w:t>
            </w:r>
            <w:r>
              <w:rPr>
                <w:rFonts w:hint="default" w:ascii="Times New Roman" w:hAnsi="Times New Roman" w:eastAsia="宋体" w:cs="Times New Roman"/>
                <w:color w:val="auto"/>
                <w:sz w:val="24"/>
                <w:szCs w:val="24"/>
                <w:highlight w:val="none"/>
                <w:lang w:val="en-US" w:eastAsia="zh-CN"/>
              </w:rPr>
              <w:t>试验水产生量约为</w:t>
            </w:r>
            <w:r>
              <w:rPr>
                <w:rFonts w:hint="eastAsia" w:ascii="Times New Roman" w:hAnsi="Times New Roman" w:eastAsia="宋体"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lang w:val="en-US" w:eastAsia="zh-CN"/>
              </w:rPr>
              <w:t>。</w:t>
            </w:r>
          </w:p>
          <w:p w14:paraId="4A3C96BB">
            <w:pPr>
              <w:spacing w:line="360" w:lineRule="auto"/>
              <w:ind w:firstLine="480" w:firstLineChars="200"/>
              <w:outlineLvl w:val="1"/>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olor w:val="auto"/>
                <w:sz w:val="24"/>
                <w:szCs w:val="24"/>
                <w:highlight w:val="none"/>
              </w:rPr>
              <w:t>抽水试验所抽水为深层干净地下水，不含有毒有害物质</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本项目要求施工单位根据</w:t>
            </w:r>
            <w:r>
              <w:rPr>
                <w:rFonts w:hint="eastAsia" w:ascii="Times New Roman" w:hAnsi="Times New Roman" w:eastAsia="宋体" w:cs="Times New Roman"/>
                <w:color w:val="auto"/>
                <w:sz w:val="24"/>
                <w:szCs w:val="24"/>
                <w:highlight w:val="none"/>
                <w:lang w:val="en-US" w:eastAsia="zh-CN"/>
              </w:rPr>
              <w:t>抽水</w:t>
            </w:r>
            <w:r>
              <w:rPr>
                <w:rFonts w:hint="default" w:ascii="Times New Roman" w:hAnsi="Times New Roman" w:eastAsia="宋体" w:cs="Times New Roman"/>
                <w:color w:val="auto"/>
                <w:sz w:val="24"/>
                <w:szCs w:val="24"/>
                <w:highlight w:val="none"/>
                <w:lang w:val="en-US" w:eastAsia="zh-CN"/>
              </w:rPr>
              <w:t>试验</w:t>
            </w:r>
            <w:r>
              <w:rPr>
                <w:rFonts w:hint="eastAsia" w:ascii="Times New Roman" w:hAnsi="Times New Roman" w:eastAsia="宋体" w:cs="Times New Roman"/>
                <w:color w:val="auto"/>
                <w:sz w:val="24"/>
                <w:szCs w:val="24"/>
                <w:highlight w:val="none"/>
                <w:lang w:val="en-US" w:eastAsia="zh-CN"/>
              </w:rPr>
              <w:t>水质全成分检测结果进行针对性处置，若水质质量满足农田灌溉要求，</w:t>
            </w:r>
            <w:r>
              <w:rPr>
                <w:rFonts w:hint="eastAsia" w:ascii="Times New Roman" w:hAnsi="Times New Roman" w:eastAsia="宋体"/>
                <w:sz w:val="24"/>
                <w:szCs w:val="24"/>
              </w:rPr>
              <w:t>则与周边农户协商好之后，用于周边农田灌溉使用，</w:t>
            </w:r>
            <w:r>
              <w:rPr>
                <w:rFonts w:hint="eastAsia" w:ascii="Times New Roman" w:hAnsi="Times New Roman" w:eastAsia="宋体"/>
                <w:color w:val="auto"/>
                <w:sz w:val="24"/>
                <w:szCs w:val="24"/>
                <w:highlight w:val="none"/>
                <w:lang w:val="en-US" w:eastAsia="zh-CN"/>
              </w:rPr>
              <w:t>若</w:t>
            </w:r>
            <w:r>
              <w:rPr>
                <w:rFonts w:hint="eastAsia" w:ascii="Times New Roman" w:hAnsi="Times New Roman" w:eastAsia="宋体" w:cs="Times New Roman"/>
                <w:color w:val="auto"/>
                <w:sz w:val="24"/>
                <w:szCs w:val="24"/>
                <w:highlight w:val="none"/>
                <w:lang w:val="en-US" w:eastAsia="zh-CN"/>
              </w:rPr>
              <w:t>水质质量</w:t>
            </w:r>
            <w:r>
              <w:rPr>
                <w:rFonts w:hint="eastAsia" w:ascii="Times New Roman" w:hAnsi="Times New Roman" w:eastAsia="宋体"/>
                <w:color w:val="auto"/>
                <w:sz w:val="24"/>
                <w:szCs w:val="24"/>
                <w:highlight w:val="none"/>
                <w:lang w:val="en-US" w:eastAsia="zh-CN"/>
              </w:rPr>
              <w:t>不满足</w:t>
            </w:r>
            <w:r>
              <w:rPr>
                <w:rFonts w:hint="eastAsia" w:ascii="Times New Roman" w:hAnsi="Times New Roman" w:eastAsia="宋体" w:cs="Times New Roman"/>
                <w:color w:val="auto"/>
                <w:sz w:val="24"/>
                <w:szCs w:val="24"/>
                <w:highlight w:val="none"/>
                <w:lang w:val="en-US" w:eastAsia="zh-CN"/>
              </w:rPr>
              <w:t>农田灌溉要求，则委托有处置能力单位进行处置</w:t>
            </w:r>
            <w:r>
              <w:rPr>
                <w:rFonts w:hint="eastAsia" w:ascii="Times New Roman" w:hAnsi="Times New Roman" w:eastAsia="宋体"/>
                <w:color w:val="auto"/>
                <w:sz w:val="24"/>
                <w:szCs w:val="24"/>
                <w:highlight w:val="none"/>
              </w:rPr>
              <w:t>。</w:t>
            </w:r>
          </w:p>
          <w:p w14:paraId="542062CC">
            <w:pPr>
              <w:pStyle w:val="39"/>
              <w:spacing w:line="360" w:lineRule="auto"/>
              <w:ind w:firstLine="482" w:firstLineChars="201"/>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综上，</w:t>
            </w:r>
            <w:r>
              <w:rPr>
                <w:rFonts w:ascii="Times New Roman" w:hAnsi="Times New Roman" w:eastAsia="宋体"/>
                <w:color w:val="auto"/>
                <w:sz w:val="24"/>
                <w:szCs w:val="24"/>
                <w:highlight w:val="none"/>
              </w:rPr>
              <w:t>项目水平衡图见下图所示。</w:t>
            </w:r>
          </w:p>
          <w:p w14:paraId="0ADCD539">
            <w:pPr>
              <w:pStyle w:val="13"/>
              <w:spacing w:after="0"/>
              <w:ind w:left="0" w:leftChars="0" w:firstLine="0"/>
              <w:jc w:val="center"/>
              <w:rPr>
                <w:rFonts w:hint="eastAsia" w:ascii="Times New Roman" w:hAnsi="Times New Roman" w:eastAsia="楷体_GB2312"/>
                <w:color w:val="auto"/>
                <w:highlight w:val="none"/>
                <w:lang w:eastAsia="zh-CN"/>
              </w:rPr>
            </w:pPr>
            <w:r>
              <w:rPr>
                <w:rFonts w:hint="eastAsia" w:ascii="Times New Roman" w:hAnsi="Times New Roman" w:eastAsia="楷体_GB2312"/>
                <w:color w:val="auto"/>
                <w:highlight w:val="none"/>
                <w:lang w:eastAsia="zh-CN"/>
              </w:rPr>
              <w:drawing>
                <wp:inline distT="0" distB="0" distL="114300" distR="114300">
                  <wp:extent cx="5029835" cy="3154680"/>
                  <wp:effectExtent l="0" t="0" r="12065" b="7620"/>
                  <wp:docPr id="11" name="F360BE8B-6686-4F3D-AEAF-501FE73E4058-3" descr="C:/Users/11279/AppData/Local/Temp/绘图1(32).png绘图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60BE8B-6686-4F3D-AEAF-501FE73E4058-3" descr="C:/Users/11279/AppData/Local/Temp/绘图1(32).png绘图1(32)"/>
                          <pic:cNvPicPr>
                            <a:picLocks noChangeAspect="1"/>
                          </pic:cNvPicPr>
                        </pic:nvPicPr>
                        <pic:blipFill>
                          <a:blip r:embed="rId15"/>
                          <a:stretch>
                            <a:fillRect/>
                          </a:stretch>
                        </pic:blipFill>
                        <pic:spPr>
                          <a:xfrm>
                            <a:off x="0" y="0"/>
                            <a:ext cx="5029835" cy="3154680"/>
                          </a:xfrm>
                          <a:prstGeom prst="rect">
                            <a:avLst/>
                          </a:prstGeom>
                        </pic:spPr>
                      </pic:pic>
                    </a:graphicData>
                  </a:graphic>
                </wp:inline>
              </w:drawing>
            </w:r>
          </w:p>
          <w:p w14:paraId="591C03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图2-4  项目水平衡图  单位：m</w:t>
            </w:r>
            <w:r>
              <w:rPr>
                <w:rFonts w:hint="eastAsia" w:ascii="Times New Roman" w:hAnsi="Times New Roman" w:eastAsia="宋体" w:cs="Times New Roman"/>
                <w:b/>
                <w:color w:val="auto"/>
                <w:szCs w:val="21"/>
                <w:highlight w:val="none"/>
                <w:vertAlign w:val="superscript"/>
                <w:lang w:val="en-US" w:eastAsia="zh-CN"/>
              </w:rPr>
              <w:t>3</w:t>
            </w:r>
            <w:r>
              <w:rPr>
                <w:rFonts w:hint="eastAsia" w:ascii="Times New Roman" w:hAnsi="Times New Roman" w:eastAsia="宋体" w:cs="Times New Roman"/>
                <w:b/>
                <w:color w:val="auto"/>
                <w:szCs w:val="21"/>
                <w:highlight w:val="none"/>
                <w:lang w:val="en-US" w:eastAsia="zh-CN"/>
              </w:rPr>
              <w:t>/施工期</w:t>
            </w:r>
          </w:p>
          <w:p w14:paraId="4ABADEE1">
            <w:pPr>
              <w:pStyle w:val="31"/>
              <w:adjustRightInd/>
              <w:spacing w:line="360" w:lineRule="auto"/>
              <w:ind w:firstLine="482" w:firstLineChars="200"/>
              <w:jc w:val="both"/>
              <w:rPr>
                <w:rFonts w:ascii="Times New Roman" w:hAnsi="Times New Roman"/>
                <w:b/>
                <w:color w:val="auto"/>
                <w:highlight w:val="none"/>
              </w:rPr>
            </w:pPr>
            <w:r>
              <w:rPr>
                <w:rFonts w:ascii="Times New Roman" w:hAnsi="Times New Roman"/>
                <w:b/>
                <w:color w:val="auto"/>
                <w:highlight w:val="none"/>
              </w:rPr>
              <w:t>5</w:t>
            </w:r>
            <w:r>
              <w:rPr>
                <w:rFonts w:ascii="Times New Roman" w:hAnsi="宋体"/>
                <w:b/>
                <w:color w:val="auto"/>
                <w:highlight w:val="none"/>
              </w:rPr>
              <w:t>、建设周期和项目劳动定员及工作制度</w:t>
            </w:r>
          </w:p>
          <w:p w14:paraId="6C5C8A0D">
            <w:pPr>
              <w:pStyle w:val="31"/>
              <w:adjustRightInd/>
              <w:spacing w:line="360" w:lineRule="auto"/>
              <w:ind w:firstLine="480" w:firstLineChars="200"/>
              <w:jc w:val="both"/>
              <w:rPr>
                <w:rFonts w:ascii="Times New Roman" w:hAnsi="Times New Roman"/>
                <w:color w:val="auto"/>
                <w:highlight w:val="none"/>
              </w:rPr>
            </w:pPr>
            <w:r>
              <w:rPr>
                <w:rFonts w:ascii="Times New Roman" w:hAnsi="宋体"/>
                <w:bCs/>
                <w:color w:val="auto"/>
                <w:highlight w:val="none"/>
              </w:rPr>
              <w:t>本项目实施是为了</w:t>
            </w:r>
            <w:r>
              <w:rPr>
                <w:rFonts w:ascii="Times New Roman" w:hAnsi="宋体"/>
                <w:color w:val="auto"/>
                <w:highlight w:val="none"/>
              </w:rPr>
              <w:t>采掘面瓦斯抽采预先进行的钻前工程、钻井工程、复垦工程。由于本项目的实施是为了消除煤炭开采的安全隐患，为后期采掘面预抽采做前期准备工作。项目的实施仅为钻井工程，不涉及后期瓦斯抽采及瓦斯输送线路工程。因此本项目只涉及施工期。项目施工周期为</w:t>
            </w:r>
            <w:r>
              <w:rPr>
                <w:rFonts w:hint="eastAsia" w:ascii="Times New Roman" w:hAnsi="Times New Roman"/>
                <w:color w:val="auto"/>
                <w:highlight w:val="none"/>
                <w:lang w:val="en-US" w:eastAsia="zh-CN"/>
              </w:rPr>
              <w:t>6</w:t>
            </w:r>
            <w:r>
              <w:rPr>
                <w:rFonts w:ascii="Times New Roman" w:hAnsi="宋体"/>
                <w:color w:val="auto"/>
                <w:highlight w:val="none"/>
              </w:rPr>
              <w:t>个月，</w:t>
            </w:r>
            <w:r>
              <w:rPr>
                <w:rFonts w:hint="eastAsia" w:ascii="Times New Roman" w:hAnsi="宋体"/>
                <w:color w:val="auto"/>
                <w:highlight w:val="none"/>
                <w:lang w:val="en-US" w:eastAsia="zh-CN"/>
              </w:rPr>
              <w:t>其中钻井施工工期约为5个月，各</w:t>
            </w:r>
            <w:r>
              <w:rPr>
                <w:rFonts w:hint="eastAsia" w:ascii="Times New Roman" w:hAnsi="宋体"/>
                <w:color w:val="auto"/>
                <w:highlight w:val="none"/>
                <w:lang w:eastAsia="zh-CN"/>
              </w:rPr>
              <w:t>井场</w:t>
            </w:r>
            <w:r>
              <w:rPr>
                <w:rFonts w:hint="eastAsia" w:ascii="Times New Roman" w:hAnsi="宋体"/>
                <w:color w:val="auto"/>
                <w:highlight w:val="none"/>
              </w:rPr>
              <w:t>每天施工总人数为</w:t>
            </w:r>
            <w:r>
              <w:rPr>
                <w:rFonts w:hint="eastAsia" w:ascii="Times New Roman" w:hAnsi="宋体"/>
                <w:color w:val="auto"/>
                <w:highlight w:val="none"/>
                <w:lang w:val="en-US" w:eastAsia="zh-CN"/>
              </w:rPr>
              <w:t>12</w:t>
            </w:r>
            <w:r>
              <w:rPr>
                <w:rFonts w:hint="eastAsia" w:ascii="Times New Roman" w:hAnsi="宋体"/>
                <w:color w:val="auto"/>
                <w:highlight w:val="none"/>
              </w:rPr>
              <w:t>人</w:t>
            </w:r>
            <w:r>
              <w:rPr>
                <w:rFonts w:hint="eastAsia" w:ascii="Times New Roman" w:hAnsi="宋体"/>
                <w:color w:val="auto"/>
                <w:highlight w:val="none"/>
                <w:lang w:eastAsia="zh-CN"/>
              </w:rPr>
              <w:t>，</w:t>
            </w:r>
            <w:r>
              <w:rPr>
                <w:rFonts w:hint="eastAsia" w:ascii="Times New Roman" w:hAnsi="宋体"/>
                <w:color w:val="auto"/>
                <w:highlight w:val="none"/>
                <w:lang w:val="en-US" w:eastAsia="zh-CN"/>
              </w:rPr>
              <w:t>合计36人</w:t>
            </w:r>
            <w:r>
              <w:rPr>
                <w:rFonts w:ascii="Times New Roman" w:hAnsi="宋体"/>
                <w:color w:val="auto"/>
                <w:highlight w:val="none"/>
              </w:rPr>
              <w:t>。</w:t>
            </w:r>
          </w:p>
          <w:p w14:paraId="29C310BE">
            <w:pPr>
              <w:pStyle w:val="31"/>
              <w:adjustRightInd/>
              <w:spacing w:line="360" w:lineRule="auto"/>
              <w:ind w:firstLine="482" w:firstLineChars="200"/>
              <w:jc w:val="both"/>
              <w:rPr>
                <w:rFonts w:ascii="Times New Roman" w:hAnsi="Times New Roman"/>
                <w:b/>
                <w:bCs/>
                <w:color w:val="auto"/>
                <w:highlight w:val="none"/>
              </w:rPr>
            </w:pPr>
            <w:r>
              <w:rPr>
                <w:rFonts w:ascii="Times New Roman" w:hAnsi="Times New Roman"/>
                <w:b/>
                <w:color w:val="auto"/>
                <w:highlight w:val="none"/>
              </w:rPr>
              <w:t>6</w:t>
            </w:r>
            <w:r>
              <w:rPr>
                <w:rFonts w:ascii="Times New Roman" w:hAnsi="宋体"/>
                <w:b/>
                <w:color w:val="auto"/>
                <w:highlight w:val="none"/>
              </w:rPr>
              <w:t>、</w:t>
            </w:r>
            <w:r>
              <w:rPr>
                <w:rFonts w:ascii="Times New Roman" w:hAnsi="宋体"/>
                <w:b/>
                <w:bCs/>
                <w:color w:val="auto"/>
                <w:highlight w:val="none"/>
              </w:rPr>
              <w:t>施工时序</w:t>
            </w:r>
          </w:p>
          <w:p w14:paraId="356FD6C9">
            <w:pPr>
              <w:pStyle w:val="31"/>
              <w:adjustRightInd/>
              <w:spacing w:line="360" w:lineRule="auto"/>
              <w:ind w:firstLine="480" w:firstLineChars="200"/>
              <w:jc w:val="both"/>
              <w:rPr>
                <w:rFonts w:ascii="Times New Roman" w:hAnsi="Times New Roman"/>
                <w:bCs/>
                <w:color w:val="auto"/>
                <w:highlight w:val="none"/>
              </w:rPr>
            </w:pPr>
            <w:r>
              <w:rPr>
                <w:rFonts w:ascii="Times New Roman" w:hAnsi="宋体"/>
                <w:bCs/>
                <w:color w:val="auto"/>
                <w:highlight w:val="none"/>
              </w:rPr>
              <w:t>项目井场施工时序如下：</w:t>
            </w:r>
          </w:p>
          <w:p w14:paraId="12FC6CB0">
            <w:pPr>
              <w:pStyle w:val="31"/>
              <w:adjustRightInd/>
              <w:spacing w:line="360" w:lineRule="auto"/>
              <w:ind w:firstLine="480" w:firstLineChars="200"/>
              <w:jc w:val="both"/>
              <w:rPr>
                <w:rFonts w:ascii="Times New Roman" w:hAnsi="Times New Roman"/>
                <w:color w:val="auto"/>
                <w:highlight w:val="none"/>
              </w:rPr>
            </w:pPr>
            <w:r>
              <w:rPr>
                <w:rFonts w:ascii="宋体" w:hAnsi="宋体"/>
                <w:bCs/>
                <w:color w:val="auto"/>
                <w:highlight w:val="none"/>
              </w:rPr>
              <w:t>①</w:t>
            </w:r>
            <w:r>
              <w:rPr>
                <w:rFonts w:ascii="Times New Roman" w:hAnsi="宋体"/>
                <w:bCs/>
                <w:color w:val="auto"/>
                <w:highlight w:val="none"/>
              </w:rPr>
              <w:t>实施</w:t>
            </w:r>
            <w:r>
              <w:rPr>
                <w:rFonts w:ascii="Times New Roman" w:hAnsi="宋体"/>
                <w:color w:val="auto"/>
                <w:highlight w:val="none"/>
              </w:rPr>
              <w:t>钻前工程；</w:t>
            </w:r>
          </w:p>
          <w:p w14:paraId="3007098D">
            <w:pPr>
              <w:pStyle w:val="31"/>
              <w:adjustRightInd/>
              <w:spacing w:line="360" w:lineRule="auto"/>
              <w:ind w:firstLine="480" w:firstLineChars="200"/>
              <w:jc w:val="both"/>
              <w:rPr>
                <w:rFonts w:ascii="Times New Roman" w:hAnsi="Times New Roman"/>
                <w:color w:val="auto"/>
                <w:highlight w:val="none"/>
              </w:rPr>
            </w:pPr>
            <w:r>
              <w:rPr>
                <w:rFonts w:ascii="宋体" w:hAnsi="宋体"/>
                <w:bCs/>
                <w:color w:val="auto"/>
                <w:highlight w:val="none"/>
              </w:rPr>
              <w:t>②</w:t>
            </w:r>
            <w:r>
              <w:rPr>
                <w:rFonts w:ascii="Times New Roman" w:hAnsi="宋体"/>
                <w:bCs/>
                <w:color w:val="auto"/>
                <w:highlight w:val="none"/>
              </w:rPr>
              <w:t>实施钻井工程：</w:t>
            </w:r>
            <w:r>
              <w:rPr>
                <w:rFonts w:hint="eastAsia" w:ascii="Times New Roman" w:hAnsi="宋体"/>
                <w:bCs/>
                <w:color w:val="auto"/>
                <w:highlight w:val="none"/>
                <w:lang w:val="en-US" w:eastAsia="zh-CN"/>
              </w:rPr>
              <w:t>3个井场同时施工</w:t>
            </w:r>
            <w:r>
              <w:rPr>
                <w:rFonts w:hint="eastAsia" w:ascii="Times New Roman" w:hAnsi="Times New Roman"/>
                <w:bCs/>
                <w:color w:val="auto"/>
                <w:highlight w:val="none"/>
              </w:rPr>
              <w:t>。</w:t>
            </w:r>
          </w:p>
          <w:p w14:paraId="2DDD62EB">
            <w:pPr>
              <w:pStyle w:val="31"/>
              <w:adjustRightInd/>
              <w:spacing w:line="360" w:lineRule="auto"/>
              <w:ind w:firstLine="480" w:firstLineChars="200"/>
              <w:jc w:val="both"/>
              <w:rPr>
                <w:rFonts w:hint="default" w:ascii="Times New Roman" w:hAnsi="Times New Roman"/>
                <w:color w:val="auto"/>
                <w:highlight w:val="none"/>
                <w:lang w:val="en-US"/>
              </w:rPr>
            </w:pPr>
            <w:r>
              <w:rPr>
                <w:rFonts w:ascii="宋体" w:hAnsi="宋体"/>
                <w:color w:val="auto"/>
                <w:highlight w:val="none"/>
              </w:rPr>
              <w:t>③</w:t>
            </w:r>
            <w:r>
              <w:rPr>
                <w:rFonts w:ascii="Times New Roman" w:hAnsi="宋体"/>
                <w:color w:val="auto"/>
                <w:highlight w:val="none"/>
              </w:rPr>
              <w:t>实施生态恢复工程</w:t>
            </w:r>
            <w:r>
              <w:rPr>
                <w:rFonts w:hint="eastAsia" w:ascii="Times New Roman" w:hAnsi="宋体"/>
                <w:color w:val="auto"/>
                <w:highlight w:val="none"/>
                <w:lang w:eastAsia="zh-CN"/>
              </w:rPr>
              <w:t>，自临时用地期满之日起12个月内完成土地复垦，使其达到可耕种状态，确保耕地不减少、质量不降低</w:t>
            </w:r>
            <w:r>
              <w:rPr>
                <w:rFonts w:ascii="Times New Roman" w:hAnsi="宋体"/>
                <w:color w:val="auto"/>
                <w:highlight w:val="none"/>
              </w:rPr>
              <w:t>。</w:t>
            </w:r>
          </w:p>
        </w:tc>
      </w:tr>
    </w:tbl>
    <w:p w14:paraId="4CB83305">
      <w:pPr>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br w:type="page"/>
      </w:r>
    </w:p>
    <w:p w14:paraId="7C72699E">
      <w:pPr>
        <w:pStyle w:val="21"/>
        <w:jc w:val="center"/>
        <w:outlineLvl w:val="0"/>
        <w:rPr>
          <w:rFonts w:ascii="Times New Roman" w:hAnsi="Times New Roman" w:eastAsia="黑体"/>
          <w:snapToGrid w:val="0"/>
          <w:color w:val="auto"/>
          <w:sz w:val="30"/>
          <w:szCs w:val="30"/>
          <w:highlight w:val="none"/>
        </w:rPr>
      </w:pPr>
      <w:bookmarkStart w:id="6" w:name="_Toc30614"/>
      <w:r>
        <w:rPr>
          <w:rFonts w:ascii="Times New Roman" w:hAnsi="Times New Roman" w:eastAsia="黑体"/>
          <w:snapToGrid w:val="0"/>
          <w:color w:val="auto"/>
          <w:sz w:val="30"/>
          <w:szCs w:val="30"/>
          <w:highlight w:val="none"/>
        </w:rPr>
        <w:t>三、生态环境现状、保护目标及评价标准</w:t>
      </w:r>
      <w:bookmarkEnd w:id="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E36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2" w:hRule="atLeast"/>
          <w:jc w:val="center"/>
        </w:trPr>
        <w:tc>
          <w:tcPr>
            <w:tcW w:w="454" w:type="dxa"/>
            <w:tcBorders>
              <w:tl2br w:val="nil"/>
              <w:tr2bl w:val="nil"/>
            </w:tcBorders>
            <w:noWrap/>
            <w:vAlign w:val="center"/>
          </w:tcPr>
          <w:p w14:paraId="438F0C1F">
            <w:pPr>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生态环境现状</w:t>
            </w:r>
          </w:p>
        </w:tc>
        <w:tc>
          <w:tcPr>
            <w:tcW w:w="8068" w:type="dxa"/>
            <w:tcBorders>
              <w:tl2br w:val="nil"/>
              <w:tr2bl w:val="nil"/>
            </w:tcBorders>
            <w:noWrap/>
            <w:vAlign w:val="center"/>
          </w:tcPr>
          <w:p w14:paraId="41B01717">
            <w:pPr>
              <w:pStyle w:val="14"/>
              <w:tabs>
                <w:tab w:val="left" w:pos="0"/>
              </w:tabs>
              <w:snapToGrid/>
              <w:spacing w:line="360" w:lineRule="auto"/>
              <w:rPr>
                <w:rFonts w:ascii="Times New Roman" w:hAnsi="Times New Roman"/>
                <w:b/>
                <w:bCs/>
                <w:color w:val="auto"/>
                <w:sz w:val="24"/>
                <w:highlight w:val="none"/>
              </w:rPr>
            </w:pPr>
            <w:r>
              <w:rPr>
                <w:rFonts w:ascii="Times New Roman" w:hAnsi="Times New Roman"/>
                <w:b/>
                <w:bCs/>
                <w:color w:val="auto"/>
                <w:sz w:val="24"/>
                <w:highlight w:val="none"/>
              </w:rPr>
              <w:t>一、自然环境简介</w:t>
            </w:r>
          </w:p>
          <w:p w14:paraId="4C2E75B3">
            <w:pPr>
              <w:pStyle w:val="14"/>
              <w:tabs>
                <w:tab w:val="left" w:pos="0"/>
              </w:tabs>
              <w:snapToGrid/>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1、生态现状调查</w:t>
            </w:r>
          </w:p>
          <w:p w14:paraId="23BCB466">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ascii="Times New Roman" w:hAnsi="Times New Roman"/>
                <w:color w:val="auto"/>
                <w:sz w:val="24"/>
                <w:highlight w:val="none"/>
              </w:rPr>
              <w:t>（1）主体功能区规划</w:t>
            </w:r>
          </w:p>
          <w:p w14:paraId="714696F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本工程位于潘集区贺瞳镇境内，根据《关于印发安徽省主体功能区划的通知》（皖政〔2013〕82号），工程所在位置属于省重点开发区域。安徽省主体功能区划图详见附图</w:t>
            </w:r>
            <w:r>
              <w:rPr>
                <w:rFonts w:hint="eastAsia" w:ascii="Times New Roman" w:hAnsi="Times New Roman"/>
                <w:color w:val="auto"/>
                <w:sz w:val="24"/>
                <w:highlight w:val="none"/>
                <w:lang w:val="en-US" w:eastAsia="zh-CN"/>
              </w:rPr>
              <w:t>9</w:t>
            </w:r>
            <w:r>
              <w:rPr>
                <w:rFonts w:hint="eastAsia" w:ascii="Times New Roman" w:hAnsi="Times New Roman"/>
                <w:color w:val="auto"/>
                <w:sz w:val="24"/>
                <w:highlight w:val="none"/>
              </w:rPr>
              <w:t>。</w:t>
            </w:r>
          </w:p>
          <w:p w14:paraId="2170BE6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该片区是皖北城镇群的重要节点城市，包括淮南市5个市辖区和蚌埠市4个市辖区。</w:t>
            </w:r>
          </w:p>
          <w:p w14:paraId="3CF9014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功能定位：全国重要的能源基地、先进制造业基地、煤化工及化工新材料基地和创新基地，全国重要的商品粮基地和农副产品加工基地，全省重要的生物医药基地。</w:t>
            </w:r>
          </w:p>
          <w:p w14:paraId="399827D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加快蚌埠区域性中心城市建设，形成以市区为中心、县城为骨干、中心镇为节点的城镇体系；加强交通等基础设施规划和建设，巩固提升区域性综合交通枢纽地位。加快淮南资源枯竭型城市转型，优化城市空间布局，强化城市基础设施支撑能力，建设成为沿淮经济带重要的现代化大城市。</w:t>
            </w:r>
          </w:p>
          <w:p w14:paraId="45F3DC7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——加强重点产业基地建设，培育壮大机械制造、新能源汽车及汽车零部件、煤化工及化工新材料、硅基新材料基地、商贸物流及电子信息、新能源等产业。</w:t>
            </w:r>
          </w:p>
          <w:p w14:paraId="214395CA">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——大力发展都市农业，兴建具有观光农业、休闲农业等功能的农业科技园（区）。推进采煤塌陷区综合治理及土地复垦。</w:t>
            </w:r>
          </w:p>
          <w:p w14:paraId="2B538A8C">
            <w:pPr>
              <w:keepNext/>
              <w:keepLines/>
              <w:spacing w:line="360" w:lineRule="auto"/>
              <w:ind w:firstLine="480" w:firstLineChars="200"/>
              <w:outlineLvl w:val="2"/>
              <w:rPr>
                <w:rFonts w:ascii="Times New Roman" w:hAnsi="Times New Roman"/>
                <w:sz w:val="24"/>
              </w:rPr>
            </w:pPr>
            <w:r>
              <w:rPr>
                <w:rFonts w:ascii="Times New Roman" w:hAnsi="Times New Roman"/>
                <w:sz w:val="24"/>
              </w:rPr>
              <w:t>（2）生态功能区概述</w:t>
            </w:r>
          </w:p>
          <w:p w14:paraId="17EB9401">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根据原环保部、中国科学院制定的《全国生态功能区规划（修编版）》，中安联合煤化有限责任公司朱集西煤矿位于黄淮平原农产品提供三级功能区（II-01-15）。根据《安徽省生态环境保护规划》，中安联合煤化有限责任公司位于沿淮淮北平原生态区的淮南农业与城镇生态功能区（I3-3）。根据《淮南市生态生态功能分区》，朱集西煤矿井田属于北部平原旱作农业与矿业发展区，本项目与安徽省生态功能区划关系图见附图</w:t>
            </w:r>
            <w:r>
              <w:rPr>
                <w:rFonts w:hint="eastAsia" w:ascii="Times New Roman" w:hAnsi="Times New Roman"/>
                <w:color w:val="auto"/>
                <w:sz w:val="24"/>
                <w:highlight w:val="none"/>
                <w:lang w:val="en-US" w:eastAsia="zh-CN"/>
              </w:rPr>
              <w:t>10</w:t>
            </w:r>
            <w:r>
              <w:rPr>
                <w:rFonts w:ascii="Times New Roman" w:hAnsi="Times New Roman"/>
                <w:color w:val="auto"/>
                <w:sz w:val="24"/>
                <w:highlight w:val="none"/>
              </w:rPr>
              <w:t>。</w:t>
            </w:r>
          </w:p>
          <w:p w14:paraId="25727477">
            <w:pPr>
              <w:pStyle w:val="40"/>
              <w:adjustRightInd/>
              <w:snapToGrid/>
              <w:rPr>
                <w:rFonts w:ascii="Times New Roman" w:hAnsi="Times New Roman"/>
                <w:kern w:val="2"/>
                <w:shd w:val="clear" w:color="auto" w:fill="auto"/>
                <w:lang w:val="en-US"/>
              </w:rPr>
            </w:pPr>
            <w:r>
              <w:rPr>
                <w:rFonts w:ascii="Times New Roman" w:hAnsi="Times New Roman"/>
                <w:kern w:val="2"/>
                <w:shd w:val="clear" w:color="auto" w:fill="auto"/>
                <w:lang w:val="en-US"/>
              </w:rPr>
              <w:t>本区地貌有以平原为主，丘岗嵌于其中。</w:t>
            </w:r>
            <w:r>
              <w:rPr>
                <w:rFonts w:hint="eastAsia" w:ascii="Times New Roman" w:hAnsi="Times New Roman"/>
                <w:kern w:val="2"/>
                <w:shd w:val="clear" w:color="auto" w:fill="auto"/>
                <w:lang w:val="en-US"/>
              </w:rPr>
              <w:t>区</w:t>
            </w:r>
            <w:r>
              <w:rPr>
                <w:rFonts w:ascii="Times New Roman" w:hAnsi="Times New Roman"/>
                <w:kern w:val="2"/>
                <w:shd w:val="clear" w:color="auto" w:fill="auto"/>
                <w:lang w:val="en-US"/>
              </w:rPr>
              <w:t>内工矿与城镇密集，主要安徽省重要工业城市淮南市，本区煤炭远景储量444×10</w:t>
            </w:r>
            <w:r>
              <w:rPr>
                <w:rFonts w:ascii="Times New Roman" w:hAnsi="Times New Roman"/>
                <w:kern w:val="2"/>
                <w:shd w:val="clear" w:color="auto" w:fill="auto"/>
                <w:vertAlign w:val="superscript"/>
                <w:lang w:val="en-US"/>
              </w:rPr>
              <w:t>8</w:t>
            </w:r>
            <w:r>
              <w:rPr>
                <w:rFonts w:ascii="Times New Roman" w:hAnsi="Times New Roman"/>
                <w:kern w:val="2"/>
                <w:shd w:val="clear" w:color="auto" w:fill="auto"/>
                <w:lang w:val="en-US"/>
              </w:rPr>
              <w:t>t，探明储量145×10</w:t>
            </w:r>
            <w:r>
              <w:rPr>
                <w:rFonts w:ascii="Times New Roman" w:hAnsi="Times New Roman"/>
                <w:kern w:val="2"/>
                <w:shd w:val="clear" w:color="auto" w:fill="auto"/>
                <w:vertAlign w:val="superscript"/>
                <w:lang w:val="en-US"/>
              </w:rPr>
              <w:t>8</w:t>
            </w:r>
            <w:r>
              <w:rPr>
                <w:rFonts w:ascii="Times New Roman" w:hAnsi="Times New Roman"/>
                <w:kern w:val="2"/>
                <w:shd w:val="clear" w:color="auto" w:fill="auto"/>
                <w:lang w:val="en-US"/>
              </w:rPr>
              <w:t>t，是全国十大煤田之一，占安徽省储量的63％，且煤质好，煤种多。</w:t>
            </w:r>
          </w:p>
          <w:p w14:paraId="32EACD9A">
            <w:pPr>
              <w:pStyle w:val="40"/>
              <w:adjustRightInd/>
              <w:snapToGrid/>
              <w:rPr>
                <w:rFonts w:ascii="Times New Roman" w:hAnsi="Times New Roman"/>
              </w:rPr>
            </w:pPr>
            <w:r>
              <w:rPr>
                <w:rFonts w:ascii="Times New Roman" w:hAnsi="Times New Roman"/>
              </w:rPr>
              <w:t>本</w:t>
            </w:r>
            <w:r>
              <w:rPr>
                <w:rFonts w:hint="eastAsia" w:ascii="Times New Roman" w:hAnsi="Times New Roman"/>
                <w:lang w:val="en-US"/>
              </w:rPr>
              <w:t>项目</w:t>
            </w:r>
            <w:r>
              <w:rPr>
                <w:rFonts w:ascii="Times New Roman" w:hAnsi="Times New Roman"/>
              </w:rPr>
              <w:t>生态功能区内潴育水稻土、黄潮土和黄褐土广泛分布，在丘岗区有石灰岩土分布，部分地区裸岩出露，石材开采盛行。耕作制度多为一年两熟为主，主要农作物有水稻、小麦等，经济作物有油菜、花生等。丘岗地区分布有地带性天然次生林，主要包括暖温带落叶阔叶林、暖温带针叶林和北亚热带针叶林等。由于农业生产所需要的水土等条件相对较好，本区也是重要的农业生产区，但容易受洪涝等灾害干扰。</w:t>
            </w:r>
          </w:p>
          <w:p w14:paraId="15092CA9">
            <w:pPr>
              <w:spacing w:line="360" w:lineRule="auto"/>
              <w:ind w:firstLine="48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ascii="Times New Roman" w:hAnsi="Times New Roman" w:eastAsia="宋体" w:cs="Times New Roman"/>
                <w:color w:val="auto"/>
                <w:sz w:val="24"/>
                <w:highlight w:val="none"/>
                <w:lang w:val="zh-CN" w:eastAsia="zh-CN"/>
              </w:rPr>
              <w:t>评价区土地</w:t>
            </w:r>
            <w:r>
              <w:rPr>
                <w:rFonts w:hint="eastAsia" w:ascii="Times New Roman" w:hAnsi="Times New Roman" w:eastAsia="宋体" w:cs="Times New Roman"/>
                <w:color w:val="auto"/>
                <w:sz w:val="24"/>
                <w:highlight w:val="none"/>
                <w:lang w:val="zh-CN" w:eastAsia="zh-CN"/>
              </w:rPr>
              <w:t>利用</w:t>
            </w:r>
            <w:r>
              <w:rPr>
                <w:rFonts w:ascii="Times New Roman" w:hAnsi="Times New Roman" w:eastAsia="宋体" w:cs="Times New Roman"/>
                <w:color w:val="auto"/>
                <w:sz w:val="24"/>
                <w:highlight w:val="none"/>
                <w:lang w:val="zh-CN" w:eastAsia="zh-CN"/>
              </w:rPr>
              <w:t>类型</w:t>
            </w:r>
            <w:r>
              <w:rPr>
                <w:rFonts w:hint="eastAsia" w:ascii="Times New Roman" w:hAnsi="Times New Roman" w:eastAsia="宋体" w:cs="Times New Roman"/>
                <w:color w:val="auto"/>
                <w:sz w:val="24"/>
                <w:highlight w:val="none"/>
                <w:lang w:val="zh-CN" w:eastAsia="zh-CN"/>
              </w:rPr>
              <w:t>现状</w:t>
            </w:r>
            <w:r>
              <w:rPr>
                <w:rFonts w:ascii="Times New Roman" w:hAnsi="Times New Roman" w:eastAsia="宋体" w:cs="Times New Roman"/>
                <w:color w:val="auto"/>
                <w:sz w:val="24"/>
                <w:highlight w:val="none"/>
                <w:lang w:val="zh-CN" w:eastAsia="zh-CN"/>
              </w:rPr>
              <w:t>，结合</w:t>
            </w:r>
            <w:r>
              <w:rPr>
                <w:rFonts w:hint="eastAsia" w:ascii="Times New Roman" w:hAnsi="Times New Roman" w:eastAsia="宋体" w:cs="Times New Roman"/>
                <w:color w:val="auto"/>
                <w:sz w:val="24"/>
                <w:highlight w:val="none"/>
                <w:lang w:val="zh-CN" w:eastAsia="zh-CN"/>
              </w:rPr>
              <w:t>遥感影像数据</w:t>
            </w:r>
            <w:r>
              <w:rPr>
                <w:rFonts w:ascii="Times New Roman" w:hAnsi="Times New Roman" w:eastAsia="宋体" w:cs="Times New Roman"/>
                <w:color w:val="auto"/>
                <w:sz w:val="24"/>
                <w:highlight w:val="none"/>
                <w:lang w:val="zh-CN" w:eastAsia="zh-CN"/>
              </w:rPr>
              <w:t>，将</w:t>
            </w:r>
            <w:r>
              <w:rPr>
                <w:rFonts w:hint="eastAsia" w:ascii="Times New Roman" w:hAnsi="Times New Roman" w:eastAsia="宋体" w:cs="Times New Roman"/>
                <w:color w:val="auto"/>
                <w:sz w:val="24"/>
                <w:highlight w:val="none"/>
                <w:lang w:val="zh-CN" w:eastAsia="zh-CN"/>
              </w:rPr>
              <w:t>评价</w:t>
            </w:r>
            <w:r>
              <w:rPr>
                <w:rFonts w:ascii="Times New Roman" w:hAnsi="Times New Roman" w:eastAsia="宋体" w:cs="Times New Roman"/>
                <w:color w:val="auto"/>
                <w:sz w:val="24"/>
                <w:highlight w:val="none"/>
                <w:lang w:val="zh-CN" w:eastAsia="zh-CN"/>
              </w:rPr>
              <w:t>区域划分为湿地生态系统、农田生态系统和城镇生态系统。生态系统面积统计详见下表</w:t>
            </w:r>
            <w:r>
              <w:rPr>
                <w:rFonts w:hint="eastAsia" w:ascii="Times New Roman" w:hAnsi="Times New Roman" w:eastAsia="宋体" w:cs="Times New Roman"/>
                <w:color w:val="auto"/>
                <w:sz w:val="24"/>
                <w:highlight w:val="none"/>
                <w:lang w:val="zh-CN" w:eastAsia="zh-CN"/>
              </w:rPr>
              <w:t>所示</w:t>
            </w:r>
            <w:r>
              <w:rPr>
                <w:rFonts w:ascii="Times New Roman" w:hAnsi="Times New Roman" w:eastAsia="宋体" w:cs="Times New Roman"/>
                <w:color w:val="auto"/>
                <w:sz w:val="24"/>
                <w:highlight w:val="none"/>
                <w:lang w:val="zh-CN" w:eastAsia="zh-CN"/>
              </w:rPr>
              <w:t>。</w:t>
            </w:r>
          </w:p>
          <w:p w14:paraId="1CAE1F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lang w:val="zh-CN" w:eastAsia="zh-CN"/>
              </w:rPr>
            </w:pPr>
            <w:r>
              <w:rPr>
                <w:rFonts w:hint="eastAsia" w:ascii="Times New Roman" w:hAnsi="Times New Roman"/>
                <w:b/>
                <w:color w:val="auto"/>
                <w:szCs w:val="21"/>
                <w:lang w:val="en-US" w:eastAsia="zh-CN"/>
              </w:rPr>
              <w:t xml:space="preserve">表3-1  </w:t>
            </w:r>
            <w:r>
              <w:rPr>
                <w:rFonts w:hint="eastAsia" w:ascii="Times New Roman" w:hAnsi="Times New Roman"/>
                <w:b/>
                <w:color w:val="auto"/>
                <w:szCs w:val="21"/>
                <w:lang w:val="zh-CN" w:eastAsia="zh-CN"/>
              </w:rPr>
              <w:t>评价区生态系统现状表</w:t>
            </w:r>
          </w:p>
          <w:tbl>
            <w:tblPr>
              <w:tblStyle w:val="23"/>
              <w:tblW w:w="4998" w:type="pct"/>
              <w:jc w:val="center"/>
              <w:tblLayout w:type="fixed"/>
              <w:tblCellMar>
                <w:top w:w="0" w:type="dxa"/>
                <w:left w:w="108" w:type="dxa"/>
                <w:bottom w:w="0" w:type="dxa"/>
                <w:right w:w="108" w:type="dxa"/>
              </w:tblCellMar>
            </w:tblPr>
            <w:tblGrid>
              <w:gridCol w:w="2946"/>
              <w:gridCol w:w="2392"/>
              <w:gridCol w:w="2511"/>
            </w:tblGrid>
            <w:tr w14:paraId="6BB96056">
              <w:tblPrEx>
                <w:tblCellMar>
                  <w:top w:w="0" w:type="dxa"/>
                  <w:left w:w="108" w:type="dxa"/>
                  <w:bottom w:w="0" w:type="dxa"/>
                  <w:right w:w="108" w:type="dxa"/>
                </w:tblCellMar>
              </w:tblPrEx>
              <w:trPr>
                <w:trHeight w:val="23" w:hRule="atLeast"/>
                <w:jc w:val="center"/>
              </w:trPr>
              <w:tc>
                <w:tcPr>
                  <w:tcW w:w="1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5C08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bCs/>
                      <w:color w:val="auto"/>
                      <w:highlight w:val="none"/>
                    </w:rPr>
                  </w:pPr>
                  <w:r>
                    <w:rPr>
                      <w:rFonts w:hint="eastAsia" w:ascii="宋体" w:hAnsi="宋体" w:eastAsia="宋体" w:cs="宋体"/>
                      <w:b/>
                      <w:bCs/>
                      <w:i w:val="0"/>
                      <w:iCs w:val="0"/>
                      <w:color w:val="auto"/>
                      <w:kern w:val="0"/>
                      <w:sz w:val="21"/>
                      <w:szCs w:val="21"/>
                      <w:highlight w:val="none"/>
                      <w:u w:val="none"/>
                      <w:lang w:val="en-US" w:eastAsia="zh-CN" w:bidi="ar"/>
                    </w:rPr>
                    <w:t>一级分类</w:t>
                  </w:r>
                </w:p>
              </w:tc>
              <w:tc>
                <w:tcPr>
                  <w:tcW w:w="1508" w:type="pct"/>
                  <w:tcBorders>
                    <w:top w:val="single" w:color="auto" w:sz="4" w:space="0"/>
                    <w:left w:val="nil"/>
                    <w:bottom w:val="single" w:color="auto" w:sz="4" w:space="0"/>
                    <w:right w:val="single" w:color="auto" w:sz="4" w:space="0"/>
                  </w:tcBorders>
                  <w:shd w:val="clear" w:color="auto" w:fill="auto"/>
                  <w:noWrap/>
                  <w:vAlign w:val="center"/>
                </w:tcPr>
                <w:p w14:paraId="4AE96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bCs/>
                      <w:color w:val="auto"/>
                      <w:highlight w:val="none"/>
                    </w:rPr>
                  </w:pPr>
                  <w:r>
                    <w:rPr>
                      <w:rFonts w:hint="eastAsia" w:ascii="宋体" w:hAnsi="宋体" w:eastAsia="宋体" w:cs="宋体"/>
                      <w:b/>
                      <w:bCs/>
                      <w:i w:val="0"/>
                      <w:iCs w:val="0"/>
                      <w:color w:val="auto"/>
                      <w:kern w:val="0"/>
                      <w:sz w:val="21"/>
                      <w:szCs w:val="21"/>
                      <w:highlight w:val="none"/>
                      <w:u w:val="none"/>
                      <w:lang w:val="en-US" w:eastAsia="zh-CN" w:bidi="ar"/>
                    </w:rPr>
                    <w:t>面积（平方米）</w:t>
                  </w:r>
                </w:p>
              </w:tc>
              <w:tc>
                <w:tcPr>
                  <w:tcW w:w="1583" w:type="pct"/>
                  <w:tcBorders>
                    <w:top w:val="single" w:color="auto" w:sz="4" w:space="0"/>
                    <w:left w:val="nil"/>
                    <w:bottom w:val="single" w:color="auto" w:sz="4" w:space="0"/>
                    <w:right w:val="single" w:color="auto" w:sz="4" w:space="0"/>
                  </w:tcBorders>
                  <w:shd w:val="clear" w:color="auto" w:fill="auto"/>
                  <w:noWrap/>
                  <w:vAlign w:val="center"/>
                </w:tcPr>
                <w:p w14:paraId="78338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bCs/>
                      <w:color w:val="auto"/>
                      <w:highlight w:val="none"/>
                    </w:rPr>
                  </w:pPr>
                  <w:r>
                    <w:rPr>
                      <w:rFonts w:hint="eastAsia" w:ascii="宋体" w:hAnsi="宋体" w:eastAsia="宋体" w:cs="宋体"/>
                      <w:b/>
                      <w:bCs/>
                      <w:i w:val="0"/>
                      <w:iCs w:val="0"/>
                      <w:color w:val="auto"/>
                      <w:kern w:val="0"/>
                      <w:sz w:val="21"/>
                      <w:szCs w:val="21"/>
                      <w:highlight w:val="none"/>
                      <w:u w:val="none"/>
                      <w:lang w:val="en-US" w:eastAsia="zh-CN" w:bidi="ar"/>
                    </w:rPr>
                    <w:t>占比</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r>
            <w:tr w14:paraId="36073313">
              <w:tblPrEx>
                <w:tblCellMar>
                  <w:top w:w="0" w:type="dxa"/>
                  <w:left w:w="108" w:type="dxa"/>
                  <w:bottom w:w="0" w:type="dxa"/>
                  <w:right w:w="108" w:type="dxa"/>
                </w:tblCellMar>
              </w:tblPrEx>
              <w:trPr>
                <w:trHeight w:val="23" w:hRule="atLeast"/>
                <w:jc w:val="center"/>
              </w:trPr>
              <w:tc>
                <w:tcPr>
                  <w:tcW w:w="1907" w:type="pct"/>
                  <w:tcBorders>
                    <w:top w:val="nil"/>
                    <w:left w:val="single" w:color="auto" w:sz="4" w:space="0"/>
                    <w:bottom w:val="single" w:color="auto" w:sz="4" w:space="0"/>
                    <w:right w:val="single" w:color="auto" w:sz="4" w:space="0"/>
                  </w:tcBorders>
                  <w:shd w:val="clear" w:color="auto" w:fill="auto"/>
                  <w:noWrap/>
                  <w:vAlign w:val="center"/>
                </w:tcPr>
                <w:p w14:paraId="41B1A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val="0"/>
                      <w:bCs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农田生态系统</w:t>
                  </w:r>
                </w:p>
              </w:tc>
              <w:tc>
                <w:tcPr>
                  <w:tcW w:w="2392" w:type="dxa"/>
                  <w:tcBorders>
                    <w:top w:val="nil"/>
                    <w:left w:val="nil"/>
                    <w:bottom w:val="single" w:color="auto" w:sz="4" w:space="0"/>
                    <w:right w:val="single" w:color="auto" w:sz="4" w:space="0"/>
                  </w:tcBorders>
                  <w:shd w:val="clear" w:color="auto" w:fill="auto"/>
                  <w:noWrap/>
                  <w:vAlign w:val="center"/>
                </w:tcPr>
                <w:p w14:paraId="09D5EB1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681249.9</w:t>
                  </w:r>
                </w:p>
              </w:tc>
              <w:tc>
                <w:tcPr>
                  <w:tcW w:w="2511" w:type="dxa"/>
                  <w:tcBorders>
                    <w:top w:val="nil"/>
                    <w:left w:val="nil"/>
                    <w:bottom w:val="single" w:color="auto" w:sz="4" w:space="0"/>
                    <w:right w:val="single" w:color="auto" w:sz="4" w:space="0"/>
                  </w:tcBorders>
                  <w:shd w:val="clear" w:color="auto" w:fill="auto"/>
                  <w:noWrap/>
                  <w:vAlign w:val="center"/>
                </w:tcPr>
                <w:p w14:paraId="6EA7CA4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77.75%</w:t>
                  </w:r>
                </w:p>
              </w:tc>
            </w:tr>
            <w:tr w14:paraId="5FC8DB59">
              <w:tblPrEx>
                <w:tblCellMar>
                  <w:top w:w="0" w:type="dxa"/>
                  <w:left w:w="108" w:type="dxa"/>
                  <w:bottom w:w="0" w:type="dxa"/>
                  <w:right w:w="108" w:type="dxa"/>
                </w:tblCellMar>
              </w:tblPrEx>
              <w:trPr>
                <w:trHeight w:val="23" w:hRule="atLeast"/>
                <w:jc w:val="center"/>
              </w:trPr>
              <w:tc>
                <w:tcPr>
                  <w:tcW w:w="1907" w:type="pct"/>
                  <w:tcBorders>
                    <w:top w:val="nil"/>
                    <w:left w:val="single" w:color="auto" w:sz="4" w:space="0"/>
                    <w:bottom w:val="single" w:color="auto" w:sz="4" w:space="0"/>
                    <w:right w:val="single" w:color="auto" w:sz="4" w:space="0"/>
                  </w:tcBorders>
                  <w:shd w:val="clear" w:color="auto" w:fill="auto"/>
                  <w:noWrap/>
                  <w:vAlign w:val="center"/>
                </w:tcPr>
                <w:p w14:paraId="4D3F25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val="0"/>
                      <w:bCs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湿地生态系统</w:t>
                  </w:r>
                </w:p>
              </w:tc>
              <w:tc>
                <w:tcPr>
                  <w:tcW w:w="2392" w:type="dxa"/>
                  <w:tcBorders>
                    <w:top w:val="nil"/>
                    <w:left w:val="nil"/>
                    <w:bottom w:val="single" w:color="auto" w:sz="4" w:space="0"/>
                    <w:right w:val="single" w:color="auto" w:sz="4" w:space="0"/>
                  </w:tcBorders>
                  <w:shd w:val="clear" w:color="auto" w:fill="auto"/>
                  <w:noWrap/>
                  <w:vAlign w:val="center"/>
                </w:tcPr>
                <w:p w14:paraId="3C0A9529">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81002.8</w:t>
                  </w:r>
                </w:p>
              </w:tc>
              <w:tc>
                <w:tcPr>
                  <w:tcW w:w="2511" w:type="dxa"/>
                  <w:tcBorders>
                    <w:top w:val="nil"/>
                    <w:left w:val="nil"/>
                    <w:bottom w:val="single" w:color="auto" w:sz="4" w:space="0"/>
                    <w:right w:val="single" w:color="auto" w:sz="4" w:space="0"/>
                  </w:tcBorders>
                  <w:shd w:val="clear" w:color="auto" w:fill="auto"/>
                  <w:noWrap/>
                  <w:vAlign w:val="center"/>
                </w:tcPr>
                <w:p w14:paraId="7D09107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9.24%</w:t>
                  </w:r>
                </w:p>
              </w:tc>
            </w:tr>
            <w:tr w14:paraId="26C98568">
              <w:tblPrEx>
                <w:tblCellMar>
                  <w:top w:w="0" w:type="dxa"/>
                  <w:left w:w="108" w:type="dxa"/>
                  <w:bottom w:w="0" w:type="dxa"/>
                  <w:right w:w="108" w:type="dxa"/>
                </w:tblCellMar>
              </w:tblPrEx>
              <w:trPr>
                <w:trHeight w:val="23" w:hRule="atLeast"/>
                <w:jc w:val="center"/>
              </w:trPr>
              <w:tc>
                <w:tcPr>
                  <w:tcW w:w="1907" w:type="pct"/>
                  <w:tcBorders>
                    <w:top w:val="nil"/>
                    <w:left w:val="single" w:color="auto" w:sz="4" w:space="0"/>
                    <w:bottom w:val="single" w:color="auto" w:sz="4" w:space="0"/>
                    <w:right w:val="single" w:color="auto" w:sz="4" w:space="0"/>
                  </w:tcBorders>
                  <w:shd w:val="clear" w:color="auto" w:fill="auto"/>
                  <w:noWrap/>
                  <w:vAlign w:val="center"/>
                </w:tcPr>
                <w:p w14:paraId="3793E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val="0"/>
                      <w:bCs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森林生态系统</w:t>
                  </w:r>
                </w:p>
              </w:tc>
              <w:tc>
                <w:tcPr>
                  <w:tcW w:w="2392" w:type="dxa"/>
                  <w:tcBorders>
                    <w:top w:val="nil"/>
                    <w:left w:val="nil"/>
                    <w:bottom w:val="single" w:color="auto" w:sz="4" w:space="0"/>
                    <w:right w:val="single" w:color="auto" w:sz="4" w:space="0"/>
                  </w:tcBorders>
                  <w:shd w:val="clear" w:color="auto" w:fill="auto"/>
                  <w:noWrap/>
                  <w:vAlign w:val="center"/>
                </w:tcPr>
                <w:p w14:paraId="74FFB58A">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480.2</w:t>
                  </w:r>
                </w:p>
              </w:tc>
              <w:tc>
                <w:tcPr>
                  <w:tcW w:w="2511" w:type="dxa"/>
                  <w:tcBorders>
                    <w:top w:val="nil"/>
                    <w:left w:val="nil"/>
                    <w:bottom w:val="single" w:color="auto" w:sz="4" w:space="0"/>
                    <w:right w:val="single" w:color="auto" w:sz="4" w:space="0"/>
                  </w:tcBorders>
                  <w:shd w:val="clear" w:color="auto" w:fill="auto"/>
                  <w:noWrap/>
                  <w:vAlign w:val="center"/>
                </w:tcPr>
                <w:p w14:paraId="10E470D6">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0.05%</w:t>
                  </w:r>
                </w:p>
              </w:tc>
            </w:tr>
            <w:tr w14:paraId="526FBB2A">
              <w:tblPrEx>
                <w:tblCellMar>
                  <w:top w:w="0" w:type="dxa"/>
                  <w:left w:w="108" w:type="dxa"/>
                  <w:bottom w:w="0" w:type="dxa"/>
                  <w:right w:w="108" w:type="dxa"/>
                </w:tblCellMar>
              </w:tblPrEx>
              <w:trPr>
                <w:trHeight w:val="23" w:hRule="atLeast"/>
                <w:jc w:val="center"/>
              </w:trPr>
              <w:tc>
                <w:tcPr>
                  <w:tcW w:w="1907" w:type="pct"/>
                  <w:tcBorders>
                    <w:top w:val="nil"/>
                    <w:left w:val="single" w:color="auto" w:sz="4" w:space="0"/>
                    <w:bottom w:val="single" w:color="auto" w:sz="4" w:space="0"/>
                    <w:right w:val="single" w:color="auto" w:sz="4" w:space="0"/>
                  </w:tcBorders>
                  <w:shd w:val="clear" w:color="auto" w:fill="auto"/>
                  <w:noWrap/>
                  <w:vAlign w:val="center"/>
                </w:tcPr>
                <w:p w14:paraId="1E97A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val="0"/>
                      <w:bCs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城镇生态系统</w:t>
                  </w:r>
                </w:p>
              </w:tc>
              <w:tc>
                <w:tcPr>
                  <w:tcW w:w="2392" w:type="dxa"/>
                  <w:tcBorders>
                    <w:top w:val="nil"/>
                    <w:left w:val="nil"/>
                    <w:bottom w:val="single" w:color="auto" w:sz="4" w:space="0"/>
                    <w:right w:val="single" w:color="auto" w:sz="4" w:space="0"/>
                  </w:tcBorders>
                  <w:shd w:val="clear" w:color="auto" w:fill="auto"/>
                  <w:noWrap/>
                  <w:vAlign w:val="center"/>
                </w:tcPr>
                <w:p w14:paraId="30DD2EF5">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113505.2</w:t>
                  </w:r>
                </w:p>
              </w:tc>
              <w:tc>
                <w:tcPr>
                  <w:tcW w:w="2511" w:type="dxa"/>
                  <w:tcBorders>
                    <w:top w:val="nil"/>
                    <w:left w:val="nil"/>
                    <w:bottom w:val="single" w:color="auto" w:sz="4" w:space="0"/>
                    <w:right w:val="single" w:color="auto" w:sz="4" w:space="0"/>
                  </w:tcBorders>
                  <w:shd w:val="clear" w:color="auto" w:fill="auto"/>
                  <w:noWrap/>
                  <w:vAlign w:val="center"/>
                </w:tcPr>
                <w:p w14:paraId="305F4891">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12.95%</w:t>
                  </w:r>
                </w:p>
              </w:tc>
            </w:tr>
            <w:tr w14:paraId="7B062E5A">
              <w:tblPrEx>
                <w:tblCellMar>
                  <w:top w:w="0" w:type="dxa"/>
                  <w:left w:w="108" w:type="dxa"/>
                  <w:bottom w:w="0" w:type="dxa"/>
                  <w:right w:w="108" w:type="dxa"/>
                </w:tblCellMar>
              </w:tblPrEx>
              <w:trPr>
                <w:trHeight w:val="23" w:hRule="atLeast"/>
                <w:jc w:val="center"/>
              </w:trPr>
              <w:tc>
                <w:tcPr>
                  <w:tcW w:w="1907" w:type="pct"/>
                  <w:tcBorders>
                    <w:top w:val="nil"/>
                    <w:left w:val="single" w:color="auto" w:sz="4" w:space="0"/>
                    <w:bottom w:val="single" w:color="auto" w:sz="4" w:space="0"/>
                    <w:right w:val="single" w:color="auto" w:sz="4" w:space="0"/>
                  </w:tcBorders>
                  <w:shd w:val="clear" w:color="auto" w:fill="auto"/>
                  <w:noWrap/>
                  <w:vAlign w:val="center"/>
                </w:tcPr>
                <w:p w14:paraId="236C27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b w:val="0"/>
                      <w:bCs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2392" w:type="dxa"/>
                  <w:tcBorders>
                    <w:top w:val="nil"/>
                    <w:left w:val="nil"/>
                    <w:bottom w:val="single" w:color="auto" w:sz="4" w:space="0"/>
                    <w:right w:val="single" w:color="auto" w:sz="4" w:space="0"/>
                  </w:tcBorders>
                  <w:shd w:val="clear" w:color="auto" w:fill="auto"/>
                  <w:noWrap/>
                  <w:vAlign w:val="center"/>
                </w:tcPr>
                <w:p w14:paraId="1D972DD3">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876238.1</w:t>
                  </w:r>
                </w:p>
              </w:tc>
              <w:tc>
                <w:tcPr>
                  <w:tcW w:w="2511" w:type="dxa"/>
                  <w:tcBorders>
                    <w:top w:val="nil"/>
                    <w:left w:val="nil"/>
                    <w:bottom w:val="single" w:color="auto" w:sz="4" w:space="0"/>
                    <w:right w:val="single" w:color="auto" w:sz="4" w:space="0"/>
                  </w:tcBorders>
                  <w:shd w:val="clear" w:color="auto" w:fill="auto"/>
                  <w:noWrap/>
                  <w:vAlign w:val="center"/>
                </w:tcPr>
                <w:p w14:paraId="4BC5B6E4">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74DE54A6">
            <w:pPr>
              <w:pStyle w:val="14"/>
              <w:snapToGrid/>
              <w:spacing w:line="360" w:lineRule="auto"/>
              <w:ind w:firstLine="480" w:firstLineChars="200"/>
              <w:rPr>
                <w:rFonts w:ascii="Times New Roman" w:hAnsi="Times New Roman"/>
                <w:color w:val="auto"/>
                <w:sz w:val="24"/>
              </w:rPr>
            </w:pPr>
            <w:r>
              <w:rPr>
                <w:rFonts w:ascii="Times New Roman" w:hAnsi="Times New Roman"/>
                <w:color w:val="auto"/>
                <w:sz w:val="24"/>
              </w:rPr>
              <w:t>（3）土地利用情况</w:t>
            </w:r>
          </w:p>
          <w:p w14:paraId="21E6601C">
            <w:pPr>
              <w:pStyle w:val="31"/>
              <w:adjustRightInd/>
              <w:spacing w:line="360" w:lineRule="auto"/>
              <w:ind w:firstLine="480" w:firstLineChars="200"/>
              <w:jc w:val="both"/>
              <w:rPr>
                <w:rFonts w:hint="default" w:ascii="Times New Roman" w:hAnsi="Times New Roman" w:eastAsia="宋体"/>
                <w:color w:val="auto"/>
                <w:highlight w:val="none"/>
                <w:lang w:val="en-US" w:eastAsia="zh-CN"/>
              </w:rPr>
            </w:pPr>
            <w:r>
              <w:rPr>
                <w:rFonts w:hint="eastAsia" w:ascii="Times New Roman" w:hAnsi="Times New Roman"/>
                <w:color w:val="auto"/>
              </w:rPr>
              <w:t>本项目为地面补勘钻孔及奥灰长观孔项目，属于地质勘查技术服务项目，临时用地面积为</w:t>
            </w:r>
            <w:r>
              <w:rPr>
                <w:rFonts w:hint="eastAsia" w:ascii="Times New Roman" w:hAnsi="Times New Roman"/>
                <w:color w:val="auto"/>
                <w:lang w:eastAsia="zh-CN"/>
              </w:rPr>
              <w:t>2949</w:t>
            </w:r>
            <w:r>
              <w:rPr>
                <w:rFonts w:hint="eastAsia" w:ascii="Times New Roman" w:hAnsi="Times New Roman"/>
                <w:color w:val="auto"/>
              </w:rPr>
              <w:t>m</w:t>
            </w:r>
            <w:r>
              <w:rPr>
                <w:rFonts w:hint="eastAsia" w:ascii="Times New Roman" w:hAnsi="Times New Roman"/>
                <w:color w:val="auto"/>
                <w:vertAlign w:val="superscript"/>
              </w:rPr>
              <w:t>2</w:t>
            </w:r>
            <w:r>
              <w:rPr>
                <w:rFonts w:hint="eastAsia" w:ascii="Times New Roman" w:hAnsi="Times New Roman"/>
                <w:color w:val="auto"/>
              </w:rPr>
              <w:t>，用地时间预计为</w:t>
            </w:r>
            <w:r>
              <w:rPr>
                <w:rFonts w:hint="eastAsia" w:ascii="Times New Roman" w:hAnsi="Times New Roman"/>
                <w:color w:val="auto"/>
                <w:lang w:val="en-US" w:eastAsia="zh-CN"/>
              </w:rPr>
              <w:t>6</w:t>
            </w:r>
            <w:r>
              <w:rPr>
                <w:rFonts w:hint="eastAsia" w:ascii="Times New Roman" w:hAnsi="Times New Roman"/>
                <w:color w:val="auto"/>
              </w:rPr>
              <w:t>个月。中安联合煤化有限责任公司委托施工单位淮北工程勘察院有限公司办理了项目临时用地相关手续。项目租用安徽省淮南市潘集区贺疃镇境内的土地作为本项目的临时建设用地。</w:t>
            </w:r>
            <w:r>
              <w:rPr>
                <w:rFonts w:hint="eastAsia" w:ascii="Times New Roman" w:hAnsi="Times New Roman"/>
                <w:color w:val="auto"/>
                <w:highlight w:val="none"/>
                <w:lang w:val="en-US" w:eastAsia="zh-CN"/>
              </w:rPr>
              <w:t>本项目评价范围内土地利用现状图详见附图，评价区内主要为农村宅基地、水田、旱地、道路等。</w:t>
            </w:r>
          </w:p>
          <w:p w14:paraId="032039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表3-2  本项目评价区域土地利用现状</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6"/>
              <w:gridCol w:w="1842"/>
              <w:gridCol w:w="2401"/>
            </w:tblGrid>
            <w:tr w14:paraId="6D70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42ED2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地类名称</w:t>
                  </w:r>
                </w:p>
              </w:tc>
              <w:tc>
                <w:tcPr>
                  <w:tcW w:w="1163" w:type="pct"/>
                  <w:shd w:val="clear" w:color="auto" w:fill="auto"/>
                  <w:noWrap/>
                  <w:vAlign w:val="center"/>
                </w:tcPr>
                <w:p w14:paraId="34DF4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面积（m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1516" w:type="pct"/>
                  <w:shd w:val="clear" w:color="auto" w:fill="auto"/>
                  <w:noWrap/>
                  <w:vAlign w:val="center"/>
                </w:tcPr>
                <w:p w14:paraId="73E32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面积占比（</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w:t>
                  </w:r>
                </w:p>
              </w:tc>
            </w:tr>
            <w:tr w14:paraId="0E96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2026A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农村宅基地</w:t>
                  </w:r>
                </w:p>
              </w:tc>
              <w:tc>
                <w:tcPr>
                  <w:tcW w:w="1842" w:type="dxa"/>
                  <w:shd w:val="clear" w:color="auto" w:fill="auto"/>
                  <w:noWrap/>
                  <w:vAlign w:val="center"/>
                </w:tcPr>
                <w:p w14:paraId="2E11469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97020.2</w:t>
                  </w:r>
                </w:p>
              </w:tc>
              <w:tc>
                <w:tcPr>
                  <w:tcW w:w="2401" w:type="dxa"/>
                  <w:shd w:val="clear" w:color="auto" w:fill="auto"/>
                  <w:noWrap/>
                  <w:vAlign w:val="center"/>
                </w:tcPr>
                <w:p w14:paraId="67CF164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11.10%</w:t>
                  </w:r>
                </w:p>
              </w:tc>
            </w:tr>
            <w:tr w14:paraId="6D19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43308C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沟渠</w:t>
                  </w:r>
                </w:p>
              </w:tc>
              <w:tc>
                <w:tcPr>
                  <w:tcW w:w="1842" w:type="dxa"/>
                  <w:shd w:val="clear" w:color="auto" w:fill="auto"/>
                  <w:noWrap/>
                  <w:vAlign w:val="center"/>
                </w:tcPr>
                <w:p w14:paraId="58AD0C3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37324.9</w:t>
                  </w:r>
                </w:p>
              </w:tc>
              <w:tc>
                <w:tcPr>
                  <w:tcW w:w="2401" w:type="dxa"/>
                  <w:shd w:val="clear" w:color="auto" w:fill="auto"/>
                  <w:noWrap/>
                  <w:vAlign w:val="center"/>
                </w:tcPr>
                <w:p w14:paraId="01BA8F5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4.27%</w:t>
                  </w:r>
                </w:p>
              </w:tc>
            </w:tr>
            <w:tr w14:paraId="2B41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735B5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水田</w:t>
                  </w:r>
                </w:p>
              </w:tc>
              <w:tc>
                <w:tcPr>
                  <w:tcW w:w="1842" w:type="dxa"/>
                  <w:shd w:val="clear" w:color="auto" w:fill="auto"/>
                  <w:noWrap/>
                  <w:vAlign w:val="center"/>
                </w:tcPr>
                <w:p w14:paraId="6617974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577354.5</w:t>
                  </w:r>
                </w:p>
              </w:tc>
              <w:tc>
                <w:tcPr>
                  <w:tcW w:w="2401" w:type="dxa"/>
                  <w:shd w:val="clear" w:color="auto" w:fill="auto"/>
                  <w:noWrap/>
                  <w:vAlign w:val="center"/>
                </w:tcPr>
                <w:p w14:paraId="321358C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66.04%</w:t>
                  </w:r>
                </w:p>
              </w:tc>
            </w:tr>
            <w:tr w14:paraId="46FF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16DF9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设施农用地</w:t>
                  </w:r>
                </w:p>
              </w:tc>
              <w:tc>
                <w:tcPr>
                  <w:tcW w:w="1842" w:type="dxa"/>
                  <w:shd w:val="clear" w:color="auto" w:fill="auto"/>
                  <w:noWrap/>
                  <w:vAlign w:val="center"/>
                </w:tcPr>
                <w:p w14:paraId="5F4480C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1641.1</w:t>
                  </w:r>
                </w:p>
              </w:tc>
              <w:tc>
                <w:tcPr>
                  <w:tcW w:w="2401" w:type="dxa"/>
                  <w:shd w:val="clear" w:color="auto" w:fill="auto"/>
                  <w:noWrap/>
                  <w:vAlign w:val="center"/>
                </w:tcPr>
                <w:p w14:paraId="620DD05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14:paraId="2EDC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5E09F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乔木林地</w:t>
                  </w:r>
                </w:p>
              </w:tc>
              <w:tc>
                <w:tcPr>
                  <w:tcW w:w="1842" w:type="dxa"/>
                  <w:shd w:val="clear" w:color="auto" w:fill="auto"/>
                  <w:noWrap/>
                  <w:vAlign w:val="center"/>
                </w:tcPr>
                <w:p w14:paraId="5CAFAB6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480.2</w:t>
                  </w:r>
                </w:p>
              </w:tc>
              <w:tc>
                <w:tcPr>
                  <w:tcW w:w="2401" w:type="dxa"/>
                  <w:shd w:val="clear" w:color="auto" w:fill="auto"/>
                  <w:noWrap/>
                  <w:vAlign w:val="center"/>
                </w:tcPr>
                <w:p w14:paraId="5A4F4A2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6792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48F9C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农村道路</w:t>
                  </w:r>
                </w:p>
              </w:tc>
              <w:tc>
                <w:tcPr>
                  <w:tcW w:w="1842" w:type="dxa"/>
                  <w:shd w:val="clear" w:color="auto" w:fill="auto"/>
                  <w:noWrap/>
                  <w:vAlign w:val="center"/>
                </w:tcPr>
                <w:p w14:paraId="3058689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9689.8</w:t>
                  </w:r>
                </w:p>
              </w:tc>
              <w:tc>
                <w:tcPr>
                  <w:tcW w:w="2401" w:type="dxa"/>
                  <w:shd w:val="clear" w:color="auto" w:fill="auto"/>
                  <w:noWrap/>
                  <w:vAlign w:val="center"/>
                </w:tcPr>
                <w:p w14:paraId="4AB046A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1.11%</w:t>
                  </w:r>
                </w:p>
              </w:tc>
            </w:tr>
            <w:tr w14:paraId="1728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00C5D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坑塘水面</w:t>
                  </w:r>
                </w:p>
              </w:tc>
              <w:tc>
                <w:tcPr>
                  <w:tcW w:w="1842" w:type="dxa"/>
                  <w:shd w:val="clear" w:color="auto" w:fill="auto"/>
                  <w:noWrap/>
                  <w:vAlign w:val="center"/>
                </w:tcPr>
                <w:p w14:paraId="57A645F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41667.2</w:t>
                  </w:r>
                </w:p>
              </w:tc>
              <w:tc>
                <w:tcPr>
                  <w:tcW w:w="2401" w:type="dxa"/>
                  <w:shd w:val="clear" w:color="auto" w:fill="auto"/>
                  <w:noWrap/>
                  <w:vAlign w:val="center"/>
                </w:tcPr>
                <w:p w14:paraId="20D7F04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4.77%</w:t>
                  </w:r>
                </w:p>
              </w:tc>
            </w:tr>
            <w:tr w14:paraId="61C4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098E2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旱地</w:t>
                  </w:r>
                </w:p>
              </w:tc>
              <w:tc>
                <w:tcPr>
                  <w:tcW w:w="1842" w:type="dxa"/>
                  <w:shd w:val="clear" w:color="auto" w:fill="auto"/>
                  <w:noWrap/>
                  <w:vAlign w:val="center"/>
                </w:tcPr>
                <w:p w14:paraId="6A82D56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102254.2</w:t>
                  </w:r>
                </w:p>
              </w:tc>
              <w:tc>
                <w:tcPr>
                  <w:tcW w:w="2401" w:type="dxa"/>
                  <w:shd w:val="clear" w:color="auto" w:fill="auto"/>
                  <w:noWrap/>
                  <w:vAlign w:val="center"/>
                </w:tcPr>
                <w:p w14:paraId="384247A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11.70%</w:t>
                  </w:r>
                </w:p>
              </w:tc>
            </w:tr>
            <w:tr w14:paraId="7586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noWrap/>
                  <w:vAlign w:val="center"/>
                </w:tcPr>
                <w:p w14:paraId="55370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城镇村道路用地</w:t>
                  </w:r>
                </w:p>
              </w:tc>
              <w:tc>
                <w:tcPr>
                  <w:tcW w:w="1842" w:type="dxa"/>
                  <w:shd w:val="clear" w:color="auto" w:fill="auto"/>
                  <w:noWrap/>
                  <w:vAlign w:val="center"/>
                </w:tcPr>
                <w:p w14:paraId="554E268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6795.2</w:t>
                  </w:r>
                </w:p>
              </w:tc>
              <w:tc>
                <w:tcPr>
                  <w:tcW w:w="2401" w:type="dxa"/>
                  <w:shd w:val="clear" w:color="auto" w:fill="auto"/>
                  <w:noWrap/>
                  <w:vAlign w:val="center"/>
                </w:tcPr>
                <w:p w14:paraId="32294D4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r>
            <w:tr w14:paraId="7F83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0" w:type="pct"/>
                  <w:shd w:val="clear" w:color="auto" w:fill="auto"/>
                  <w:vAlign w:val="center"/>
                </w:tcPr>
                <w:p w14:paraId="43BD8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842" w:type="dxa"/>
                  <w:shd w:val="clear" w:color="auto" w:fill="auto"/>
                  <w:noWrap/>
                  <w:vAlign w:val="center"/>
                </w:tcPr>
                <w:p w14:paraId="75F04FF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874227.3</w:t>
                  </w:r>
                </w:p>
              </w:tc>
              <w:tc>
                <w:tcPr>
                  <w:tcW w:w="2401" w:type="dxa"/>
                  <w:shd w:val="clear" w:color="auto" w:fill="auto"/>
                  <w:noWrap/>
                  <w:vAlign w:val="center"/>
                </w:tcPr>
                <w:p w14:paraId="16DA088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100.00%</w:t>
                  </w:r>
                </w:p>
              </w:tc>
            </w:tr>
          </w:tbl>
          <w:p w14:paraId="28BC8C27">
            <w:pPr>
              <w:pStyle w:val="14"/>
              <w:snapToGrid/>
              <w:spacing w:line="360" w:lineRule="auto"/>
              <w:ind w:firstLine="480" w:firstLineChars="200"/>
              <w:rPr>
                <w:rFonts w:ascii="Times New Roman" w:hAnsi="Times New Roman"/>
                <w:bCs/>
                <w:sz w:val="24"/>
              </w:rPr>
            </w:pPr>
            <w:r>
              <w:rPr>
                <w:rFonts w:ascii="Times New Roman" w:hAnsi="Times New Roman"/>
                <w:bCs/>
                <w:sz w:val="24"/>
              </w:rPr>
              <w:t>（4）土壤、植被类型及野生动植物</w:t>
            </w:r>
          </w:p>
          <w:p w14:paraId="5AE2B1C1">
            <w:pPr>
              <w:pStyle w:val="14"/>
              <w:snapToGrid/>
              <w:spacing w:line="360" w:lineRule="auto"/>
              <w:ind w:firstLine="480" w:firstLineChars="200"/>
              <w:rPr>
                <w:rFonts w:ascii="Times New Roman" w:hAnsi="Times New Roman"/>
                <w:bCs/>
                <w:sz w:val="24"/>
                <w:szCs w:val="24"/>
              </w:rPr>
            </w:pPr>
            <w:r>
              <w:rPr>
                <w:rFonts w:ascii="Times New Roman" w:hAnsi="Times New Roman"/>
                <w:bCs/>
                <w:sz w:val="24"/>
                <w:szCs w:val="24"/>
              </w:rPr>
              <w:t>项目区地处淮河中游，地势平坦。由滩地、岗地伸向平原中心，一般分布着黄棕壤和水稻土。土层厚度约为30cm。根据现场调查并结合现有的资料，运用景观法（即以植被作为主导因素），并结合土壤、地貌等因子进行综合分析后对土地进行分类，将土地利用格局的拼块类型分</w:t>
            </w:r>
            <w:r>
              <w:rPr>
                <w:rFonts w:ascii="Times New Roman" w:hAnsi="Times New Roman"/>
                <w:bCs/>
                <w:color w:val="auto"/>
                <w:sz w:val="24"/>
                <w:szCs w:val="24"/>
              </w:rPr>
              <w:t>为</w:t>
            </w:r>
            <w:r>
              <w:rPr>
                <w:rFonts w:hint="eastAsia" w:ascii="Times New Roman" w:hAnsi="Times New Roman"/>
                <w:bCs/>
                <w:color w:val="auto"/>
                <w:sz w:val="24"/>
                <w:szCs w:val="24"/>
                <w:lang w:val="en-US" w:eastAsia="zh-CN"/>
              </w:rPr>
              <w:t>农村宅基地</w:t>
            </w:r>
            <w:r>
              <w:rPr>
                <w:rFonts w:ascii="Times New Roman" w:hAnsi="Times New Roman"/>
                <w:bCs/>
                <w:color w:val="auto"/>
                <w:sz w:val="24"/>
                <w:szCs w:val="24"/>
              </w:rPr>
              <w:t>、</w:t>
            </w:r>
            <w:r>
              <w:rPr>
                <w:rFonts w:hint="eastAsia" w:ascii="Times New Roman" w:hAnsi="Times New Roman"/>
                <w:bCs/>
                <w:color w:val="auto"/>
                <w:sz w:val="24"/>
                <w:szCs w:val="24"/>
                <w:lang w:val="en-US" w:eastAsia="zh-CN"/>
              </w:rPr>
              <w:t>沟渠、水田、设施农用</w:t>
            </w:r>
            <w:r>
              <w:rPr>
                <w:rFonts w:ascii="Times New Roman" w:hAnsi="Times New Roman"/>
                <w:bCs/>
                <w:color w:val="auto"/>
                <w:sz w:val="24"/>
                <w:szCs w:val="24"/>
              </w:rPr>
              <w:t>地</w:t>
            </w:r>
            <w:r>
              <w:rPr>
                <w:rFonts w:hint="eastAsia" w:ascii="Times New Roman" w:hAnsi="Times New Roman"/>
                <w:bCs/>
                <w:color w:val="auto"/>
                <w:sz w:val="24"/>
                <w:szCs w:val="24"/>
                <w:lang w:eastAsia="zh-CN"/>
              </w:rPr>
              <w:t>、</w:t>
            </w:r>
            <w:r>
              <w:rPr>
                <w:rFonts w:hint="eastAsia" w:ascii="Times New Roman" w:hAnsi="Times New Roman"/>
                <w:bCs/>
                <w:color w:val="auto"/>
                <w:sz w:val="24"/>
                <w:szCs w:val="24"/>
                <w:lang w:val="en-US" w:eastAsia="zh-CN"/>
              </w:rPr>
              <w:t>乔木林地、农村道路</w:t>
            </w:r>
            <w:r>
              <w:rPr>
                <w:rFonts w:ascii="Times New Roman" w:hAnsi="Times New Roman"/>
                <w:bCs/>
                <w:color w:val="auto"/>
                <w:sz w:val="24"/>
                <w:szCs w:val="24"/>
              </w:rPr>
              <w:t>、耕地</w:t>
            </w:r>
            <w:r>
              <w:rPr>
                <w:rStyle w:val="27"/>
                <w:rFonts w:hint="eastAsia" w:ascii="Times New Roman" w:hAnsi="Times New Roman"/>
                <w:color w:val="auto"/>
                <w:kern w:val="0"/>
                <w:sz w:val="24"/>
                <w:szCs w:val="24"/>
                <w:lang w:val="en-US" w:eastAsia="zh-CN"/>
              </w:rPr>
              <w:t>等</w:t>
            </w:r>
            <w:r>
              <w:rPr>
                <w:rFonts w:hint="eastAsia" w:ascii="Times New Roman" w:hAnsi="Times New Roman"/>
                <w:bCs/>
                <w:color w:val="auto"/>
                <w:sz w:val="24"/>
                <w:szCs w:val="24"/>
                <w:lang w:val="en-US" w:eastAsia="zh-CN"/>
              </w:rPr>
              <w:t>九</w:t>
            </w:r>
            <w:r>
              <w:rPr>
                <w:rFonts w:ascii="Times New Roman" w:hAnsi="Times New Roman"/>
                <w:bCs/>
                <w:color w:val="auto"/>
                <w:sz w:val="24"/>
                <w:szCs w:val="24"/>
              </w:rPr>
              <w:t>种类型。</w:t>
            </w:r>
          </w:p>
          <w:p w14:paraId="4E66E6E1">
            <w:pPr>
              <w:pStyle w:val="14"/>
              <w:snapToGrid/>
              <w:spacing w:line="360" w:lineRule="auto"/>
              <w:ind w:firstLine="480" w:firstLineChars="200"/>
              <w:rPr>
                <w:rFonts w:ascii="Times New Roman" w:hAnsi="Times New Roman"/>
                <w:bCs/>
                <w:sz w:val="24"/>
              </w:rPr>
            </w:pPr>
            <w:r>
              <w:rPr>
                <w:rFonts w:ascii="Times New Roman" w:hAnsi="Times New Roman"/>
                <w:sz w:val="24"/>
              </w:rPr>
              <w:t>评价区地势平坦，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w:t>
            </w:r>
            <w:r>
              <w:rPr>
                <w:rFonts w:ascii="Times New Roman" w:hAnsi="Times New Roman"/>
                <w:bCs/>
                <w:sz w:val="24"/>
              </w:rPr>
              <w:t>。</w:t>
            </w:r>
          </w:p>
          <w:p w14:paraId="16FBCEBA">
            <w:pPr>
              <w:pStyle w:val="14"/>
              <w:snapToGrid/>
              <w:spacing w:line="360" w:lineRule="auto"/>
              <w:ind w:firstLine="480" w:firstLineChars="200"/>
              <w:rPr>
                <w:rFonts w:ascii="Times New Roman" w:hAnsi="Times New Roman"/>
                <w:bCs/>
                <w:sz w:val="24"/>
              </w:rPr>
            </w:pPr>
            <w:r>
              <w:rPr>
                <w:rFonts w:ascii="Times New Roman" w:hAnsi="Times New Roman"/>
                <w:bCs/>
                <w:sz w:val="24"/>
              </w:rPr>
              <w:t>根据现场调查，本工程涉及区域植被主要为农作物、绿化植被和行道树，沿线分布少量林木、主要为杨树及灌木等。</w:t>
            </w:r>
          </w:p>
          <w:p w14:paraId="32FA8B07">
            <w:pPr>
              <w:pStyle w:val="14"/>
              <w:tabs>
                <w:tab w:val="left" w:pos="0"/>
              </w:tabs>
              <w:snapToGrid/>
              <w:spacing w:line="360" w:lineRule="auto"/>
              <w:ind w:firstLine="480" w:firstLineChars="200"/>
              <w:rPr>
                <w:rFonts w:ascii="Times New Roman" w:hAnsi="Times New Roman"/>
                <w:sz w:val="24"/>
              </w:rPr>
            </w:pPr>
            <w:r>
              <w:rPr>
                <w:rFonts w:ascii="Times New Roman" w:hAnsi="Times New Roman"/>
                <w:sz w:val="24"/>
              </w:rPr>
              <w:t>项目所在地区由于人类活动和生态环境的改变，树木草丛之间早已没有大型野生动物，仅有鸟类、鼠类、蛙类小型动物以及各种昆虫等。随着人类的农业开发，项目所在区域的自然生态系统早已被人工农业生态环境所替代。</w:t>
            </w:r>
          </w:p>
          <w:p w14:paraId="73CED74E">
            <w:pPr>
              <w:pStyle w:val="14"/>
              <w:tabs>
                <w:tab w:val="left" w:pos="0"/>
              </w:tabs>
              <w:snapToGrid/>
              <w:spacing w:line="360" w:lineRule="auto"/>
              <w:ind w:firstLine="480" w:firstLineChars="200"/>
              <w:rPr>
                <w:rFonts w:ascii="Times New Roman" w:hAnsi="Times New Roman"/>
                <w:sz w:val="24"/>
              </w:rPr>
            </w:pPr>
            <w:r>
              <w:rPr>
                <w:rFonts w:ascii="Times New Roman" w:hAnsi="Times New Roman"/>
                <w:sz w:val="24"/>
              </w:rPr>
              <w:t>综上所述，项目未穿越自然保护区和森林公园。项目评价区域内人口分散，部分密集，沿线未发现珍稀、濒危植物，未见挂牌名木古树，沿线未发现珍稀、濒危动物，陆生动物以家禽、家畜为主。</w:t>
            </w:r>
          </w:p>
          <w:p w14:paraId="2BD941B7">
            <w:pPr>
              <w:spacing w:line="360" w:lineRule="auto"/>
              <w:ind w:firstLine="482" w:firstLineChars="200"/>
              <w:rPr>
                <w:rFonts w:ascii="Times New Roman" w:hAnsi="Times New Roman"/>
                <w:b/>
                <w:color w:val="auto"/>
                <w:sz w:val="24"/>
                <w:highlight w:val="none"/>
              </w:rPr>
            </w:pPr>
            <w:r>
              <w:rPr>
                <w:rFonts w:ascii="Times New Roman" w:hAnsi="Times New Roman"/>
                <w:b/>
                <w:bCs/>
                <w:color w:val="auto"/>
                <w:sz w:val="24"/>
                <w:highlight w:val="none"/>
              </w:rPr>
              <w:t>2、</w:t>
            </w:r>
            <w:r>
              <w:rPr>
                <w:rFonts w:ascii="Times New Roman" w:hAnsi="Times New Roman"/>
                <w:b/>
                <w:color w:val="auto"/>
                <w:sz w:val="24"/>
                <w:highlight w:val="none"/>
              </w:rPr>
              <w:t>地形地貌</w:t>
            </w:r>
          </w:p>
          <w:p w14:paraId="02D88E1E">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项目区域在构造单元上属于中朝准地台淮河台坳淮南陷褶断带（即华北地台豫淮褶皱带）东部的淮南复向斜。东界为郯庐断裂，西临周口坳陷，北接蚌埠隆起，南邻合肥坳陷，南北为洞山断裂和刘府断裂夹持。区内构造以北西西向构造占主导地位，受后期强烈改造，但总体形态变化不大，复式向斜内次一级褶皱及断裂发育。地质演化历史可分为前震旦纪、震旦纪—三叠纪、侏罗纪—第四纪3个阶段，前震旦纪，淮南地壳处于活动阶段；震旦纪—三叠纪属于剧烈运动时期，先后经历了蚌埠、凤阳、皖南、加里东、华西力、印支等运动。其间地壳几度隆起沉降，形成了海陆交互相地层。特别是晚石炭纪和二叠纪时期海陆交互相的沉积环境，为煤炭资源的生成提供了良好条件，从而形成了境内大量的煤炭资源。侏罗纪—第四纪，经过燕山运动和喜马拉雅运动，逐渐塑造出了今天的地貌特征。</w:t>
            </w:r>
          </w:p>
          <w:p w14:paraId="493C16D4">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市境以淮河为界形成两种不同的地貌类型，淮河以南为丘陵，属于江淮丘陵的一部分；淮河以北为地势平坦的淮北平原，淮河南岸由东至西隆起不连续的低山丘陵，环山为一斜坡地带，宽约500米～1500米，坡度10°左右，海拔40米～75米；斜坡地带以下交错衔接洪冲积二级阶地，宽500米～2500米，海拔30米～40米，坡度2°左右；舜耕山以北二级阶地以下是淮河冲积一级阶地，宽2500米～3000米，海拔25米以下，坡度平缓；一级阶地以下是淮河高位漫滩，宽2000米～3000米，海拔17米～20米，漫滩以下是淮河滨河浅滩。舜耕山以南斜坡以下，东为高塘湖一、二级洪冲积阶地，西为瓦埠湖一、二级洪冲积阶地；中为丘陵岗地。</w:t>
            </w:r>
          </w:p>
          <w:p w14:paraId="0193A70F">
            <w:pPr>
              <w:spacing w:line="360" w:lineRule="auto"/>
              <w:ind w:firstLine="482" w:firstLineChars="200"/>
              <w:rPr>
                <w:rFonts w:ascii="Times New Roman" w:hAnsi="Times New Roman"/>
                <w:b/>
                <w:sz w:val="24"/>
              </w:rPr>
            </w:pPr>
            <w:r>
              <w:rPr>
                <w:rFonts w:ascii="Times New Roman" w:hAnsi="Times New Roman"/>
                <w:b/>
                <w:sz w:val="24"/>
              </w:rPr>
              <w:t>3、气候、气象</w:t>
            </w:r>
          </w:p>
          <w:p w14:paraId="19485585">
            <w:pPr>
              <w:spacing w:line="360" w:lineRule="auto"/>
              <w:ind w:firstLine="480" w:firstLineChars="200"/>
              <w:rPr>
                <w:rFonts w:ascii="Times New Roman" w:hAnsi="Times New Roman"/>
                <w:color w:val="auto"/>
                <w:sz w:val="24"/>
              </w:rPr>
            </w:pPr>
            <w:r>
              <w:rPr>
                <w:rFonts w:hint="eastAsia" w:ascii="Times New Roman" w:hAnsi="Times New Roman"/>
                <w:color w:val="auto"/>
                <w:sz w:val="24"/>
              </w:rPr>
              <w:t>2024年，淮南市气候继续呈现</w:t>
            </w:r>
            <w:r>
              <w:rPr>
                <w:rFonts w:hint="eastAsia" w:ascii="Times New Roman" w:hAnsi="Times New Roman"/>
                <w:color w:val="auto"/>
                <w:sz w:val="24"/>
                <w:lang w:eastAsia="zh-CN"/>
              </w:rPr>
              <w:t>“</w:t>
            </w:r>
            <w:r>
              <w:rPr>
                <w:rFonts w:hint="eastAsia" w:ascii="Times New Roman" w:hAnsi="Times New Roman"/>
                <w:color w:val="auto"/>
                <w:sz w:val="24"/>
              </w:rPr>
              <w:t>暖干</w:t>
            </w:r>
            <w:r>
              <w:rPr>
                <w:rFonts w:hint="eastAsia" w:ascii="Times New Roman" w:hAnsi="Times New Roman"/>
                <w:color w:val="auto"/>
                <w:sz w:val="24"/>
                <w:lang w:eastAsia="zh-CN"/>
              </w:rPr>
              <w:t>”</w:t>
            </w:r>
            <w:r>
              <w:rPr>
                <w:rFonts w:hint="eastAsia" w:ascii="Times New Roman" w:hAnsi="Times New Roman"/>
                <w:color w:val="auto"/>
                <w:sz w:val="24"/>
              </w:rPr>
              <w:t>特征，气温偏高、高温日数多、降水略偏少。全市年平均气温16.6℃，较常年偏高1.0℃，为1961年以来第3高值；除2、12月分别偏低0.7℃、1.5℃外，其余月份均偏高，4月偏高2.8℃最显著。冬季平均气温3.5℃，属正常略偏低。全年高温（≥35℃）日数28天，较常年偏多11天，极端最高38.9℃出现在7月30日；极端最低-5.5℃出现在1月23日。无霜期238天，初霜11月6日，终霜3月13日。年降水量893.4毫米，比常年略偏少，降水日数107天，暴雨日5天。6月22日入梅、7月21日出梅，均偏晚，梅雨量166.3毫米；首场降雪12月22日，冬季降水偏少</w:t>
            </w:r>
            <w:r>
              <w:rPr>
                <w:rFonts w:ascii="Times New Roman" w:hAnsi="Times New Roman"/>
                <w:color w:val="auto"/>
                <w:sz w:val="24"/>
              </w:rPr>
              <w:t>。</w:t>
            </w:r>
          </w:p>
          <w:p w14:paraId="35FA163B">
            <w:pPr>
              <w:spacing w:line="360" w:lineRule="auto"/>
              <w:ind w:firstLine="482" w:firstLineChars="200"/>
              <w:rPr>
                <w:rFonts w:ascii="Times New Roman" w:hAnsi="Times New Roman"/>
                <w:b/>
                <w:sz w:val="24"/>
              </w:rPr>
            </w:pPr>
            <w:r>
              <w:rPr>
                <w:rFonts w:ascii="Times New Roman" w:hAnsi="Times New Roman"/>
                <w:b/>
                <w:sz w:val="24"/>
              </w:rPr>
              <w:t>4、水文状况</w:t>
            </w:r>
          </w:p>
          <w:p w14:paraId="11C78D16">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淮河流域西起桐柏山和伏牛山，南以大别山和江淮丘陵与长江流域分界，北以黄河南堤和沂蒙山与黄河流域分界。淮河流域由淮河与泗、沂、沭河两大水系组成，流域面积29万km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，其中淮河水系为21万km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，泗、沂、沭河水系为8万km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w:t>
            </w:r>
          </w:p>
          <w:p w14:paraId="112AA340">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是我国五大水系之一，发源于河南省桐柏山北麓，流经河南、安徽至江苏扬州三江营入长江。历史上淮河是一条独流入海的河流，公元1194年黄河第四次决堤南泛夺淮，至1855年黄河改道北经山东利津入海的661年间，黄河挟带的大量泥沙淤塞了淮河入海尾闾，逐使淮河改道经三河、高宝湖穿运河至三江营流入长江。</w:t>
            </w:r>
          </w:p>
          <w:p w14:paraId="57212247">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干流全长1000km，总落差200m，平均比降0.2‰。豫皖两省交界的洪河口以上为上游，长360km，落差177m，比降0.5‰，流域面积3万km2；洪河口至洪泽湖三河闸为中游，长490km，原有落差16m，自三河闸控制后，平均比降0.027‰，流域面积16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；洪泽湖以下为下游，流域面积3万km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，入江水道长150km，平均比降0.036‰。淮河干流安徽段上自阜南县洪河口，下至明光市洪山头，全长430km，上承河南大量迅猛来水，下受洪泽湖顶托，中间有天然三峡</w:t>
            </w:r>
            <w:r>
              <w:rPr>
                <w:rFonts w:hint="eastAsia" w:ascii="Times New Roman" w:hAnsi="Times New Roman"/>
                <w:snapToGrid w:val="0"/>
                <w:color w:val="auto"/>
                <w:sz w:val="24"/>
                <w:highlight w:val="none"/>
                <w:lang w:eastAsia="zh-CN"/>
              </w:rPr>
              <w:t>（</w:t>
            </w:r>
            <w:r>
              <w:rPr>
                <w:rFonts w:ascii="Times New Roman" w:hAnsi="Times New Roman"/>
                <w:snapToGrid w:val="0"/>
                <w:color w:val="auto"/>
                <w:sz w:val="24"/>
                <w:highlight w:val="none"/>
              </w:rPr>
              <w:t>峡山口、荆山峡、浮山峡</w:t>
            </w:r>
            <w:r>
              <w:rPr>
                <w:rFonts w:hint="eastAsia" w:ascii="Times New Roman" w:hAnsi="Times New Roman"/>
                <w:snapToGrid w:val="0"/>
                <w:color w:val="auto"/>
                <w:sz w:val="24"/>
                <w:highlight w:val="none"/>
                <w:lang w:eastAsia="zh-CN"/>
              </w:rPr>
              <w:t>）</w:t>
            </w:r>
            <w:r>
              <w:rPr>
                <w:rFonts w:ascii="Times New Roman" w:hAnsi="Times New Roman"/>
                <w:snapToGrid w:val="0"/>
                <w:color w:val="auto"/>
                <w:sz w:val="24"/>
                <w:highlight w:val="none"/>
              </w:rPr>
              <w:t>阻水。平水河槽宽一般为260～320m，平均深3～6m；洪水河槽宽度，蚌埠上下一般约1000～1250m，峡山口仅400m，平均深度6.5～7.5m。淮河干流安徽段地势平缓，蓄水能力差，汛期河水暴涨，易泛滥成灾，干旱时期则河流断流。1949年～2005年，安徽省淮河流域水灾面积在1000万亩以上的有10多年，灾旱面积在1000万亩以上的也有10多年。</w:t>
            </w:r>
          </w:p>
          <w:p w14:paraId="053CBE9A">
            <w:pPr>
              <w:spacing w:line="360" w:lineRule="auto"/>
              <w:ind w:firstLine="480" w:firstLineChars="200"/>
              <w:rPr>
                <w:rFonts w:ascii="Times New Roman" w:hAnsi="Times New Roman"/>
                <w:snapToGrid w:val="0"/>
                <w:color w:val="auto"/>
                <w:sz w:val="24"/>
                <w:highlight w:val="none"/>
              </w:rPr>
            </w:pPr>
            <w:r>
              <w:rPr>
                <w:rFonts w:ascii="Times New Roman" w:hAnsi="Times New Roman"/>
                <w:snapToGrid w:val="0"/>
                <w:color w:val="auto"/>
                <w:sz w:val="24"/>
                <w:highlight w:val="none"/>
              </w:rPr>
              <w:t>淮河中上游支流多，流域面积大于1000km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的一级支流21条，其中大于2000km</w:t>
            </w:r>
            <w:r>
              <w:rPr>
                <w:rFonts w:ascii="Times New Roman" w:hAnsi="Times New Roman"/>
                <w:snapToGrid w:val="0"/>
                <w:color w:val="auto"/>
                <w:sz w:val="24"/>
                <w:highlight w:val="none"/>
                <w:vertAlign w:val="superscript"/>
              </w:rPr>
              <w:t>2</w:t>
            </w:r>
            <w:r>
              <w:rPr>
                <w:rFonts w:ascii="Times New Roman" w:hAnsi="Times New Roman"/>
                <w:snapToGrid w:val="0"/>
                <w:color w:val="auto"/>
                <w:sz w:val="24"/>
                <w:highlight w:val="none"/>
              </w:rPr>
              <w:t>的有16条，其它小支流达180条以上。淮河主要支流北岸有洪河、颍河、黑茨河、汾泉河、包浍河、沱河、涡河、奎濉河等跨省河流，安徽省境内淮河北岸支流有谷河、润河、八里河、泥黑河、茨河、北淝河等，淮河南岸主要支流有史河、淠河、沣河、汲河、东淝河、窑河、天河、池河、白塔河等，均发源于安徽省境内，并在安徽境内入淮河。</w:t>
            </w:r>
          </w:p>
          <w:p w14:paraId="386CBB41">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泥河自源头东南过徐圩入市境潘集区至徐桥再至刘隆集，河面宽4～10米，两岸支流多，汇水面积253平方公里；自刘隆集河面宽300米，东南流8公里，转东流7公里，左汇黑河，河面宽1.1公里。</w:t>
            </w:r>
          </w:p>
          <w:p w14:paraId="3EDA3DA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茨淮新河：淮河一级支流，人工河流，上起沙颍河茨淮铺，于荆山口上游入淮河，流经阜阳、利辛、蒙城、凤台、淮南、怀远四县两市，全长134.2km，流域总面积7127km</w:t>
            </w:r>
            <w:r>
              <w:rPr>
                <w:rFonts w:ascii="Times New Roman" w:hAnsi="Times New Roman"/>
                <w:color w:val="auto"/>
                <w:sz w:val="24"/>
                <w:highlight w:val="none"/>
                <w:vertAlign w:val="superscript"/>
              </w:rPr>
              <w:t>2</w:t>
            </w:r>
            <w:r>
              <w:rPr>
                <w:rFonts w:ascii="Times New Roman" w:hAnsi="Times New Roman"/>
                <w:color w:val="auto"/>
                <w:sz w:val="24"/>
                <w:highlight w:val="none"/>
              </w:rPr>
              <w:t>；凤台县流经长31.12km，境内河宽225~375m，1995~2004年最枯月平均流量1.98m</w:t>
            </w:r>
            <w:r>
              <w:rPr>
                <w:rFonts w:ascii="Times New Roman" w:hAnsi="Times New Roman"/>
                <w:color w:val="auto"/>
                <w:sz w:val="24"/>
                <w:highlight w:val="none"/>
                <w:vertAlign w:val="superscript"/>
              </w:rPr>
              <w:t>3</w:t>
            </w:r>
            <w:r>
              <w:rPr>
                <w:rFonts w:ascii="Times New Roman" w:hAnsi="Times New Roman"/>
                <w:color w:val="auto"/>
                <w:sz w:val="24"/>
                <w:highlight w:val="none"/>
              </w:rPr>
              <w:t>/s。</w:t>
            </w:r>
          </w:p>
          <w:p w14:paraId="1C113B06">
            <w:pPr>
              <w:pStyle w:val="10"/>
              <w:spacing w:before="0" w:after="0" w:line="360" w:lineRule="auto"/>
              <w:ind w:right="0" w:firstLine="480" w:firstLineChars="200"/>
              <w:rPr>
                <w:color w:val="auto"/>
                <w:highlight w:val="none"/>
              </w:rPr>
            </w:pPr>
            <w:r>
              <w:rPr>
                <w:rFonts w:hint="eastAsia" w:ascii="Times New Roman" w:hAnsi="Times New Roman"/>
                <w:color w:val="auto"/>
                <w:kern w:val="2"/>
                <w:sz w:val="24"/>
                <w:szCs w:val="24"/>
                <w:highlight w:val="none"/>
              </w:rPr>
              <w:t>利民新河属于人工开挖河道，主要功能为灌溉和排涝，无通航功能，不承担防洪任务。河道全长约16km，河道宽约20～30m，利民新河汇水面积约32km</w:t>
            </w:r>
            <w:r>
              <w:rPr>
                <w:rFonts w:hint="eastAsia" w:ascii="Times New Roman" w:hAnsi="Times New Roman"/>
                <w:color w:val="auto"/>
                <w:kern w:val="2"/>
                <w:sz w:val="24"/>
                <w:szCs w:val="24"/>
                <w:highlight w:val="none"/>
                <w:vertAlign w:val="superscript"/>
              </w:rPr>
              <w:t>2</w:t>
            </w:r>
            <w:r>
              <w:rPr>
                <w:rFonts w:hint="eastAsia" w:ascii="Times New Roman" w:hAnsi="Times New Roman"/>
                <w:color w:val="auto"/>
                <w:kern w:val="2"/>
                <w:sz w:val="24"/>
                <w:szCs w:val="24"/>
                <w:highlight w:val="none"/>
              </w:rPr>
              <w:t>。线路在利民新河2处跨越处河道上口宽均约30m。</w:t>
            </w:r>
          </w:p>
          <w:p w14:paraId="7D526610">
            <w:pPr>
              <w:spacing w:line="360" w:lineRule="auto"/>
              <w:ind w:firstLine="482" w:firstLineChars="200"/>
              <w:rPr>
                <w:rFonts w:ascii="Times New Roman" w:hAnsi="Times New Roman"/>
                <w:b/>
                <w:color w:val="auto"/>
                <w:sz w:val="24"/>
                <w:highlight w:val="none"/>
              </w:rPr>
            </w:pPr>
            <w:r>
              <w:rPr>
                <w:rFonts w:ascii="Times New Roman" w:hAnsi="Times New Roman"/>
                <w:b/>
                <w:color w:val="auto"/>
                <w:sz w:val="24"/>
                <w:highlight w:val="none"/>
              </w:rPr>
              <w:t>5、土壤植被</w:t>
            </w:r>
          </w:p>
          <w:p w14:paraId="4F1A8A1C">
            <w:pPr>
              <w:spacing w:line="360" w:lineRule="auto"/>
              <w:ind w:firstLine="480" w:firstLineChars="200"/>
              <w:rPr>
                <w:rFonts w:ascii="Times New Roman" w:hAnsi="Times New Roman"/>
                <w:b/>
                <w:bCs/>
                <w:color w:val="auto"/>
                <w:sz w:val="24"/>
                <w:highlight w:val="none"/>
              </w:rPr>
            </w:pPr>
            <w:r>
              <w:rPr>
                <w:rFonts w:ascii="Times New Roman" w:hAnsi="Times New Roman"/>
                <w:color w:val="auto"/>
                <w:sz w:val="24"/>
                <w:highlight w:val="none"/>
              </w:rPr>
              <w:t>评价区地势平坦，由河谷平原与丘岗组成。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毗邻河流湖泊的地势较低地段为湖泊沉积物发育的湖泥土，目前项目区域主要为农田。</w:t>
            </w:r>
          </w:p>
          <w:p w14:paraId="64132E04">
            <w:pPr>
              <w:pStyle w:val="14"/>
              <w:tabs>
                <w:tab w:val="left" w:pos="0"/>
              </w:tabs>
              <w:snapToGrid/>
              <w:spacing w:line="360" w:lineRule="auto"/>
              <w:rPr>
                <w:rFonts w:ascii="Times New Roman" w:hAnsi="Times New Roman"/>
                <w:b/>
                <w:bCs/>
                <w:color w:val="auto"/>
                <w:sz w:val="24"/>
                <w:highlight w:val="none"/>
              </w:rPr>
            </w:pPr>
            <w:r>
              <w:rPr>
                <w:rFonts w:ascii="Times New Roman" w:hAnsi="Times New Roman"/>
                <w:b/>
                <w:bCs/>
                <w:color w:val="auto"/>
                <w:sz w:val="24"/>
                <w:highlight w:val="none"/>
              </w:rPr>
              <w:t>二、环境质量现状</w:t>
            </w:r>
          </w:p>
          <w:p w14:paraId="1EBCC0A0">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1、大气环境质量现状</w:t>
            </w:r>
          </w:p>
          <w:p w14:paraId="541EDBA0">
            <w:pPr>
              <w:pStyle w:val="31"/>
              <w:adjustRightInd/>
              <w:spacing w:line="360" w:lineRule="auto"/>
              <w:ind w:firstLine="480" w:firstLineChars="200"/>
              <w:jc w:val="both"/>
              <w:rPr>
                <w:rFonts w:ascii="Times New Roman" w:hAnsi="Times New Roman"/>
                <w:color w:val="auto"/>
                <w:highlight w:val="none"/>
              </w:rPr>
            </w:pPr>
            <w:r>
              <w:rPr>
                <w:rFonts w:hint="eastAsia" w:ascii="Times New Roman" w:hAnsi="Times New Roman"/>
                <w:color w:val="auto"/>
                <w:highlight w:val="none"/>
              </w:rPr>
              <w:t>项目所在区域达标判定优先采用国家或地方生态环境主管部门公开发布的评价基准年环境质量公告或环境质量报告中的数据或结论。本工程位于淮南市潘集区境内，本次评价采用淮南市生态环境局于2025年6月4日在其网站公开发布的《2024年淮南市环境质量状况公报》，项目区域空气环境质量现状评价见下表。</w:t>
            </w:r>
          </w:p>
          <w:p w14:paraId="5A5E1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表3-3  区域大气污染物浓度值</w:t>
            </w:r>
          </w:p>
          <w:tbl>
            <w:tblPr>
              <w:tblStyle w:val="23"/>
              <w:tblpPr w:leftFromText="181" w:rightFromText="181" w:bottomFromText="17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134"/>
              <w:gridCol w:w="1799"/>
              <w:gridCol w:w="1338"/>
              <w:gridCol w:w="1024"/>
              <w:gridCol w:w="792"/>
            </w:tblGrid>
            <w:tr w14:paraId="0E01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4B77093B">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污染物</w:t>
                  </w:r>
                </w:p>
              </w:tc>
              <w:tc>
                <w:tcPr>
                  <w:tcW w:w="1364" w:type="pct"/>
                  <w:tcBorders>
                    <w:tl2br w:val="nil"/>
                    <w:tr2bl w:val="nil"/>
                  </w:tcBorders>
                  <w:noWrap/>
                  <w:vAlign w:val="center"/>
                </w:tcPr>
                <w:p w14:paraId="5ECF885E">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年度评价指标</w:t>
                  </w:r>
                </w:p>
              </w:tc>
              <w:tc>
                <w:tcPr>
                  <w:tcW w:w="1151" w:type="pct"/>
                  <w:tcBorders>
                    <w:tl2br w:val="nil"/>
                    <w:tr2bl w:val="nil"/>
                  </w:tcBorders>
                  <w:noWrap/>
                  <w:vAlign w:val="center"/>
                </w:tcPr>
                <w:p w14:paraId="1C88553C">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现状浓度（µg/m³）</w:t>
                  </w:r>
                </w:p>
              </w:tc>
              <w:tc>
                <w:tcPr>
                  <w:tcW w:w="857" w:type="pct"/>
                  <w:tcBorders>
                    <w:tl2br w:val="nil"/>
                    <w:tr2bl w:val="nil"/>
                  </w:tcBorders>
                  <w:noWrap/>
                  <w:vAlign w:val="center"/>
                </w:tcPr>
                <w:p w14:paraId="4A7A3A75">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标准值（µg/m³）</w:t>
                  </w:r>
                </w:p>
              </w:tc>
              <w:tc>
                <w:tcPr>
                  <w:tcW w:w="630" w:type="pct"/>
                  <w:tcBorders>
                    <w:tl2br w:val="nil"/>
                    <w:tr2bl w:val="nil"/>
                  </w:tcBorders>
                  <w:noWrap/>
                  <w:vAlign w:val="center"/>
                </w:tcPr>
                <w:p w14:paraId="3FB3BBC2">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占标率</w:t>
                  </w:r>
                </w:p>
                <w:p w14:paraId="0E373871">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w:t>
                  </w:r>
                </w:p>
              </w:tc>
              <w:tc>
                <w:tcPr>
                  <w:tcW w:w="509" w:type="pct"/>
                  <w:tcBorders>
                    <w:tl2br w:val="nil"/>
                    <w:tr2bl w:val="nil"/>
                  </w:tcBorders>
                  <w:noWrap/>
                  <w:vAlign w:val="center"/>
                </w:tcPr>
                <w:p w14:paraId="2C2C57BD">
                  <w:pPr>
                    <w:widowControl/>
                    <w:jc w:val="center"/>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达标情况</w:t>
                  </w:r>
                </w:p>
              </w:tc>
            </w:tr>
            <w:tr w14:paraId="17B7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71337FE1">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SO</w:t>
                  </w:r>
                  <w:r>
                    <w:rPr>
                      <w:rFonts w:hint="eastAsia" w:ascii="Times New Roman" w:hAnsi="Times New Roman"/>
                      <w:color w:val="auto"/>
                      <w:kern w:val="0"/>
                      <w:szCs w:val="21"/>
                      <w:highlight w:val="none"/>
                      <w:vertAlign w:val="subscript"/>
                    </w:rPr>
                    <w:t>2</w:t>
                  </w:r>
                </w:p>
              </w:tc>
              <w:tc>
                <w:tcPr>
                  <w:tcW w:w="1364" w:type="pct"/>
                  <w:tcBorders>
                    <w:tl2br w:val="nil"/>
                    <w:tr2bl w:val="nil"/>
                  </w:tcBorders>
                  <w:noWrap/>
                  <w:vAlign w:val="center"/>
                </w:tcPr>
                <w:p w14:paraId="4DE79868">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年均值</w:t>
                  </w:r>
                </w:p>
              </w:tc>
              <w:tc>
                <w:tcPr>
                  <w:tcW w:w="1151" w:type="pct"/>
                  <w:tcBorders>
                    <w:tl2br w:val="nil"/>
                    <w:tr2bl w:val="nil"/>
                  </w:tcBorders>
                  <w:noWrap/>
                  <w:vAlign w:val="center"/>
                </w:tcPr>
                <w:p w14:paraId="06CE4614">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7</w:t>
                  </w:r>
                </w:p>
              </w:tc>
              <w:tc>
                <w:tcPr>
                  <w:tcW w:w="857" w:type="pct"/>
                  <w:tcBorders>
                    <w:tl2br w:val="nil"/>
                    <w:tr2bl w:val="nil"/>
                  </w:tcBorders>
                  <w:noWrap/>
                  <w:vAlign w:val="center"/>
                </w:tcPr>
                <w:p w14:paraId="25638F31">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60</w:t>
                  </w:r>
                </w:p>
              </w:tc>
              <w:tc>
                <w:tcPr>
                  <w:tcW w:w="1024" w:type="dxa"/>
                  <w:tcBorders>
                    <w:tl2br w:val="nil"/>
                    <w:tr2bl w:val="nil"/>
                  </w:tcBorders>
                  <w:noWrap/>
                  <w:vAlign w:val="center"/>
                </w:tcPr>
                <w:p w14:paraId="3E8A7BA4">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11.67</w:t>
                  </w:r>
                </w:p>
              </w:tc>
              <w:tc>
                <w:tcPr>
                  <w:tcW w:w="509" w:type="pct"/>
                  <w:tcBorders>
                    <w:tl2br w:val="nil"/>
                    <w:tr2bl w:val="nil"/>
                  </w:tcBorders>
                  <w:noWrap/>
                  <w:vAlign w:val="center"/>
                </w:tcPr>
                <w:p w14:paraId="6E7CBCA6">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达标</w:t>
                  </w:r>
                </w:p>
              </w:tc>
            </w:tr>
            <w:tr w14:paraId="41DE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276C3982">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NO</w:t>
                  </w:r>
                  <w:r>
                    <w:rPr>
                      <w:rFonts w:hint="eastAsia" w:ascii="Times New Roman" w:hAnsi="Times New Roman"/>
                      <w:color w:val="auto"/>
                      <w:kern w:val="0"/>
                      <w:szCs w:val="21"/>
                      <w:highlight w:val="none"/>
                      <w:vertAlign w:val="subscript"/>
                    </w:rPr>
                    <w:t>2</w:t>
                  </w:r>
                </w:p>
              </w:tc>
              <w:tc>
                <w:tcPr>
                  <w:tcW w:w="1364" w:type="pct"/>
                  <w:tcBorders>
                    <w:tl2br w:val="nil"/>
                    <w:tr2bl w:val="nil"/>
                  </w:tcBorders>
                  <w:noWrap/>
                  <w:vAlign w:val="center"/>
                </w:tcPr>
                <w:p w14:paraId="003D2C41">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年均值</w:t>
                  </w:r>
                </w:p>
              </w:tc>
              <w:tc>
                <w:tcPr>
                  <w:tcW w:w="1151" w:type="pct"/>
                  <w:tcBorders>
                    <w:tl2br w:val="nil"/>
                    <w:tr2bl w:val="nil"/>
                  </w:tcBorders>
                  <w:noWrap/>
                  <w:vAlign w:val="center"/>
                </w:tcPr>
                <w:p w14:paraId="0115661B">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19</w:t>
                  </w:r>
                </w:p>
              </w:tc>
              <w:tc>
                <w:tcPr>
                  <w:tcW w:w="857" w:type="pct"/>
                  <w:tcBorders>
                    <w:tl2br w:val="nil"/>
                    <w:tr2bl w:val="nil"/>
                  </w:tcBorders>
                  <w:noWrap/>
                  <w:vAlign w:val="center"/>
                </w:tcPr>
                <w:p w14:paraId="2198EF57">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40</w:t>
                  </w:r>
                </w:p>
              </w:tc>
              <w:tc>
                <w:tcPr>
                  <w:tcW w:w="1024" w:type="dxa"/>
                  <w:tcBorders>
                    <w:tl2br w:val="nil"/>
                    <w:tr2bl w:val="nil"/>
                  </w:tcBorders>
                  <w:noWrap/>
                  <w:vAlign w:val="center"/>
                </w:tcPr>
                <w:p w14:paraId="62A46468">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47.50</w:t>
                  </w:r>
                </w:p>
              </w:tc>
              <w:tc>
                <w:tcPr>
                  <w:tcW w:w="509" w:type="pct"/>
                  <w:tcBorders>
                    <w:tl2br w:val="nil"/>
                    <w:tr2bl w:val="nil"/>
                  </w:tcBorders>
                  <w:noWrap/>
                  <w:vAlign w:val="center"/>
                </w:tcPr>
                <w:p w14:paraId="0CFA19F2">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达标</w:t>
                  </w:r>
                </w:p>
              </w:tc>
            </w:tr>
            <w:tr w14:paraId="28A5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53BCF200">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CO</w:t>
                  </w:r>
                </w:p>
              </w:tc>
              <w:tc>
                <w:tcPr>
                  <w:tcW w:w="1364" w:type="pct"/>
                  <w:tcBorders>
                    <w:tl2br w:val="nil"/>
                    <w:tr2bl w:val="nil"/>
                  </w:tcBorders>
                  <w:noWrap/>
                  <w:vAlign w:val="center"/>
                </w:tcPr>
                <w:p w14:paraId="02DBFCB9">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日均值第95百分位数</w:t>
                  </w:r>
                </w:p>
              </w:tc>
              <w:tc>
                <w:tcPr>
                  <w:tcW w:w="1151" w:type="pct"/>
                  <w:tcBorders>
                    <w:tl2br w:val="nil"/>
                    <w:tr2bl w:val="nil"/>
                  </w:tcBorders>
                  <w:noWrap/>
                  <w:vAlign w:val="center"/>
                </w:tcPr>
                <w:p w14:paraId="152D1EE1">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800</w:t>
                  </w:r>
                </w:p>
              </w:tc>
              <w:tc>
                <w:tcPr>
                  <w:tcW w:w="857" w:type="pct"/>
                  <w:tcBorders>
                    <w:tl2br w:val="nil"/>
                    <w:tr2bl w:val="nil"/>
                  </w:tcBorders>
                  <w:noWrap/>
                  <w:vAlign w:val="center"/>
                </w:tcPr>
                <w:p w14:paraId="55DE2E89">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4000</w:t>
                  </w:r>
                </w:p>
              </w:tc>
              <w:tc>
                <w:tcPr>
                  <w:tcW w:w="1024" w:type="dxa"/>
                  <w:tcBorders>
                    <w:tl2br w:val="nil"/>
                    <w:tr2bl w:val="nil"/>
                  </w:tcBorders>
                  <w:noWrap/>
                  <w:vAlign w:val="center"/>
                </w:tcPr>
                <w:p w14:paraId="7C587D7F">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20.00</w:t>
                  </w:r>
                </w:p>
              </w:tc>
              <w:tc>
                <w:tcPr>
                  <w:tcW w:w="509" w:type="pct"/>
                  <w:tcBorders>
                    <w:tl2br w:val="nil"/>
                    <w:tr2bl w:val="nil"/>
                  </w:tcBorders>
                  <w:noWrap/>
                  <w:vAlign w:val="center"/>
                </w:tcPr>
                <w:p w14:paraId="4AE5A0D6">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达标</w:t>
                  </w:r>
                </w:p>
              </w:tc>
            </w:tr>
            <w:tr w14:paraId="456F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41191B60">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O</w:t>
                  </w:r>
                  <w:r>
                    <w:rPr>
                      <w:rFonts w:hint="eastAsia" w:ascii="Times New Roman" w:hAnsi="Times New Roman"/>
                      <w:color w:val="auto"/>
                      <w:kern w:val="0"/>
                      <w:szCs w:val="21"/>
                      <w:highlight w:val="none"/>
                      <w:vertAlign w:val="subscript"/>
                    </w:rPr>
                    <w:t>3</w:t>
                  </w:r>
                </w:p>
              </w:tc>
              <w:tc>
                <w:tcPr>
                  <w:tcW w:w="1364" w:type="pct"/>
                  <w:tcBorders>
                    <w:tl2br w:val="nil"/>
                    <w:tr2bl w:val="nil"/>
                  </w:tcBorders>
                  <w:noWrap/>
                  <w:vAlign w:val="center"/>
                </w:tcPr>
                <w:p w14:paraId="139FAFB4">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日最大8小时平均值第90百分位数</w:t>
                  </w:r>
                </w:p>
              </w:tc>
              <w:tc>
                <w:tcPr>
                  <w:tcW w:w="1151" w:type="pct"/>
                  <w:tcBorders>
                    <w:tl2br w:val="nil"/>
                    <w:tr2bl w:val="nil"/>
                  </w:tcBorders>
                  <w:noWrap/>
                  <w:vAlign w:val="center"/>
                </w:tcPr>
                <w:p w14:paraId="70F0AABD">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160</w:t>
                  </w:r>
                </w:p>
              </w:tc>
              <w:tc>
                <w:tcPr>
                  <w:tcW w:w="857" w:type="pct"/>
                  <w:tcBorders>
                    <w:tl2br w:val="nil"/>
                    <w:tr2bl w:val="nil"/>
                  </w:tcBorders>
                  <w:noWrap/>
                  <w:vAlign w:val="center"/>
                </w:tcPr>
                <w:p w14:paraId="7D536432">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160</w:t>
                  </w:r>
                </w:p>
              </w:tc>
              <w:tc>
                <w:tcPr>
                  <w:tcW w:w="1024" w:type="dxa"/>
                  <w:tcBorders>
                    <w:tl2br w:val="nil"/>
                    <w:tr2bl w:val="nil"/>
                  </w:tcBorders>
                  <w:noWrap/>
                  <w:vAlign w:val="center"/>
                </w:tcPr>
                <w:p w14:paraId="223730D2">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100.00</w:t>
                  </w:r>
                </w:p>
              </w:tc>
              <w:tc>
                <w:tcPr>
                  <w:tcW w:w="509" w:type="pct"/>
                  <w:tcBorders>
                    <w:tl2br w:val="nil"/>
                    <w:tr2bl w:val="nil"/>
                  </w:tcBorders>
                  <w:noWrap/>
                  <w:vAlign w:val="center"/>
                </w:tcPr>
                <w:p w14:paraId="0E4EBD6C">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达标</w:t>
                  </w:r>
                </w:p>
              </w:tc>
            </w:tr>
            <w:tr w14:paraId="5B83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67D420E8">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PM</w:t>
                  </w:r>
                  <w:r>
                    <w:rPr>
                      <w:rFonts w:hint="eastAsia" w:ascii="Times New Roman" w:hAnsi="Times New Roman"/>
                      <w:color w:val="auto"/>
                      <w:kern w:val="0"/>
                      <w:szCs w:val="21"/>
                      <w:highlight w:val="none"/>
                      <w:vertAlign w:val="subscript"/>
                    </w:rPr>
                    <w:t>10</w:t>
                  </w:r>
                </w:p>
              </w:tc>
              <w:tc>
                <w:tcPr>
                  <w:tcW w:w="1364" w:type="pct"/>
                  <w:tcBorders>
                    <w:tl2br w:val="nil"/>
                    <w:tr2bl w:val="nil"/>
                  </w:tcBorders>
                  <w:noWrap/>
                  <w:vAlign w:val="center"/>
                </w:tcPr>
                <w:p w14:paraId="6E6DC083">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年均值</w:t>
                  </w:r>
                </w:p>
              </w:tc>
              <w:tc>
                <w:tcPr>
                  <w:tcW w:w="1151" w:type="pct"/>
                  <w:tcBorders>
                    <w:tl2br w:val="nil"/>
                    <w:tr2bl w:val="nil"/>
                  </w:tcBorders>
                  <w:noWrap/>
                  <w:vAlign w:val="center"/>
                </w:tcPr>
                <w:p w14:paraId="4FAEF35E">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65</w:t>
                  </w:r>
                </w:p>
              </w:tc>
              <w:tc>
                <w:tcPr>
                  <w:tcW w:w="857" w:type="pct"/>
                  <w:tcBorders>
                    <w:tl2br w:val="nil"/>
                    <w:tr2bl w:val="nil"/>
                  </w:tcBorders>
                  <w:noWrap/>
                  <w:vAlign w:val="center"/>
                </w:tcPr>
                <w:p w14:paraId="4702D214">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70</w:t>
                  </w:r>
                </w:p>
              </w:tc>
              <w:tc>
                <w:tcPr>
                  <w:tcW w:w="1024" w:type="dxa"/>
                  <w:tcBorders>
                    <w:tl2br w:val="nil"/>
                    <w:tr2bl w:val="nil"/>
                  </w:tcBorders>
                  <w:noWrap/>
                  <w:vAlign w:val="center"/>
                </w:tcPr>
                <w:p w14:paraId="745803CE">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92.86</w:t>
                  </w:r>
                </w:p>
              </w:tc>
              <w:tc>
                <w:tcPr>
                  <w:tcW w:w="509" w:type="pct"/>
                  <w:tcBorders>
                    <w:tl2br w:val="nil"/>
                    <w:tr2bl w:val="nil"/>
                  </w:tcBorders>
                  <w:noWrap/>
                  <w:vAlign w:val="center"/>
                </w:tcPr>
                <w:p w14:paraId="63F2D4E4">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达标</w:t>
                  </w:r>
                </w:p>
              </w:tc>
            </w:tr>
            <w:tr w14:paraId="06A3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ign w:val="center"/>
                </w:tcPr>
                <w:p w14:paraId="2B28F9FC">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PM</w:t>
                  </w:r>
                  <w:r>
                    <w:rPr>
                      <w:rFonts w:hint="eastAsia" w:ascii="Times New Roman" w:hAnsi="Times New Roman"/>
                      <w:color w:val="auto"/>
                      <w:kern w:val="0"/>
                      <w:szCs w:val="21"/>
                      <w:highlight w:val="none"/>
                      <w:vertAlign w:val="subscript"/>
                    </w:rPr>
                    <w:t>2.5</w:t>
                  </w:r>
                </w:p>
              </w:tc>
              <w:tc>
                <w:tcPr>
                  <w:tcW w:w="1364" w:type="pct"/>
                  <w:tcBorders>
                    <w:tl2br w:val="nil"/>
                    <w:tr2bl w:val="nil"/>
                  </w:tcBorders>
                  <w:noWrap/>
                  <w:vAlign w:val="center"/>
                </w:tcPr>
                <w:p w14:paraId="35F5DEEB">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年均值</w:t>
                  </w:r>
                </w:p>
              </w:tc>
              <w:tc>
                <w:tcPr>
                  <w:tcW w:w="1151" w:type="pct"/>
                  <w:tcBorders>
                    <w:tl2br w:val="nil"/>
                    <w:tr2bl w:val="nil"/>
                  </w:tcBorders>
                  <w:noWrap/>
                  <w:vAlign w:val="center"/>
                </w:tcPr>
                <w:p w14:paraId="41DCBA45">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40</w:t>
                  </w:r>
                </w:p>
              </w:tc>
              <w:tc>
                <w:tcPr>
                  <w:tcW w:w="857" w:type="pct"/>
                  <w:tcBorders>
                    <w:tl2br w:val="nil"/>
                    <w:tr2bl w:val="nil"/>
                  </w:tcBorders>
                  <w:noWrap/>
                  <w:vAlign w:val="center"/>
                </w:tcPr>
                <w:p w14:paraId="371E3F7D">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35</w:t>
                  </w:r>
                </w:p>
              </w:tc>
              <w:tc>
                <w:tcPr>
                  <w:tcW w:w="1024" w:type="dxa"/>
                  <w:tcBorders>
                    <w:tl2br w:val="nil"/>
                    <w:tr2bl w:val="nil"/>
                  </w:tcBorders>
                  <w:noWrap/>
                  <w:vAlign w:val="center"/>
                </w:tcPr>
                <w:p w14:paraId="56B4515C">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114.29</w:t>
                  </w:r>
                </w:p>
              </w:tc>
              <w:tc>
                <w:tcPr>
                  <w:tcW w:w="509" w:type="pct"/>
                  <w:tcBorders>
                    <w:tl2br w:val="nil"/>
                    <w:tr2bl w:val="nil"/>
                  </w:tcBorders>
                  <w:noWrap/>
                  <w:vAlign w:val="center"/>
                </w:tcPr>
                <w:p w14:paraId="63F1CF9A">
                  <w:pPr>
                    <w:widowControl/>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不达标</w:t>
                  </w:r>
                </w:p>
              </w:tc>
            </w:tr>
          </w:tbl>
          <w:p w14:paraId="5607E23D">
            <w:pPr>
              <w:pStyle w:val="6"/>
              <w:spacing w:line="360" w:lineRule="auto"/>
              <w:ind w:firstLine="480"/>
              <w:outlineLvl w:val="2"/>
              <w:rPr>
                <w:rFonts w:ascii="Times New Roman" w:hAnsi="Times New Roman"/>
                <w:color w:val="auto"/>
                <w:sz w:val="24"/>
                <w:highlight w:val="none"/>
              </w:rPr>
            </w:pPr>
            <w:bookmarkStart w:id="7" w:name="_Toc12167"/>
            <w:r>
              <w:rPr>
                <w:rFonts w:hint="eastAsia" w:ascii="Times New Roman" w:hAnsi="Times New Roman"/>
                <w:color w:val="auto"/>
                <w:sz w:val="24"/>
                <w:highlight w:val="none"/>
              </w:rPr>
              <w:t>综上，2024年淮南市二氧化硫（SO</w:t>
            </w:r>
            <w:r>
              <w:rPr>
                <w:rFonts w:hint="eastAsia" w:ascii="Times New Roman" w:hAnsi="Times New Roman"/>
                <w:color w:val="auto"/>
                <w:sz w:val="24"/>
                <w:highlight w:val="none"/>
                <w:vertAlign w:val="subscript"/>
              </w:rPr>
              <w:t>2</w:t>
            </w:r>
            <w:r>
              <w:rPr>
                <w:rFonts w:hint="eastAsia" w:ascii="Times New Roman" w:hAnsi="Times New Roman"/>
                <w:color w:val="auto"/>
                <w:sz w:val="24"/>
                <w:highlight w:val="none"/>
              </w:rPr>
              <w:t>）、二氧化氮（NO</w:t>
            </w:r>
            <w:r>
              <w:rPr>
                <w:rFonts w:hint="eastAsia" w:ascii="Times New Roman" w:hAnsi="Times New Roman"/>
                <w:color w:val="auto"/>
                <w:sz w:val="24"/>
                <w:highlight w:val="none"/>
                <w:vertAlign w:val="subscript"/>
              </w:rPr>
              <w:t>2</w:t>
            </w:r>
            <w:r>
              <w:rPr>
                <w:rFonts w:hint="eastAsia" w:ascii="Times New Roman" w:hAnsi="Times New Roman"/>
                <w:color w:val="auto"/>
                <w:sz w:val="24"/>
                <w:highlight w:val="none"/>
              </w:rPr>
              <w:t>）、一氧化碳（CO）、可吸入颗粒物（PM</w:t>
            </w:r>
            <w:r>
              <w:rPr>
                <w:rFonts w:hint="eastAsia" w:ascii="Times New Roman" w:hAnsi="Times New Roman"/>
                <w:color w:val="auto"/>
                <w:sz w:val="24"/>
                <w:highlight w:val="none"/>
                <w:vertAlign w:val="subscript"/>
              </w:rPr>
              <w:t>10</w:t>
            </w:r>
            <w:r>
              <w:rPr>
                <w:rFonts w:hint="eastAsia" w:ascii="Times New Roman" w:hAnsi="Times New Roman"/>
                <w:color w:val="auto"/>
                <w:sz w:val="24"/>
                <w:highlight w:val="none"/>
              </w:rPr>
              <w:t>年均浓度）、臭氧（O</w:t>
            </w:r>
            <w:r>
              <w:rPr>
                <w:rFonts w:hint="eastAsia" w:ascii="Times New Roman" w:hAnsi="Times New Roman"/>
                <w:color w:val="auto"/>
                <w:sz w:val="24"/>
                <w:highlight w:val="none"/>
                <w:vertAlign w:val="subscript"/>
              </w:rPr>
              <w:t>3</w:t>
            </w:r>
            <w:r>
              <w:rPr>
                <w:rFonts w:hint="eastAsia" w:ascii="Times New Roman" w:hAnsi="Times New Roman"/>
                <w:color w:val="auto"/>
                <w:sz w:val="24"/>
                <w:highlight w:val="none"/>
              </w:rPr>
              <w:t>）年均浓度均符合《环境空气质量标准》（GB3095-2012）二级标准，细颗粒物（PM</w:t>
            </w:r>
            <w:r>
              <w:rPr>
                <w:rFonts w:hint="eastAsia" w:ascii="Times New Roman" w:hAnsi="Times New Roman"/>
                <w:color w:val="auto"/>
                <w:sz w:val="24"/>
                <w:highlight w:val="none"/>
                <w:vertAlign w:val="subscript"/>
              </w:rPr>
              <w:t>2.5</w:t>
            </w:r>
            <w:r>
              <w:rPr>
                <w:rFonts w:hint="eastAsia" w:ascii="Times New Roman" w:hAnsi="Times New Roman"/>
                <w:color w:val="auto"/>
                <w:sz w:val="24"/>
                <w:highlight w:val="none"/>
              </w:rPr>
              <w:t>）年均浓度超过《环境空气质量标准》（GB3095-2012）二级标准，</w:t>
            </w:r>
            <w:bookmarkEnd w:id="7"/>
            <w:r>
              <w:rPr>
                <w:rFonts w:hint="eastAsia" w:ascii="Times New Roman" w:hAnsi="Times New Roman"/>
                <w:sz w:val="24"/>
              </w:rPr>
              <w:t>因此项目所在评价区域为不达标区。</w:t>
            </w:r>
          </w:p>
          <w:p w14:paraId="657B3BC7">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2、地表水环境现状</w:t>
            </w:r>
          </w:p>
          <w:p w14:paraId="6EEF85F8">
            <w:pPr>
              <w:pStyle w:val="3"/>
              <w:spacing w:line="360" w:lineRule="auto"/>
              <w:ind w:firstLine="480"/>
              <w:rPr>
                <w:rFonts w:ascii="Times New Roman" w:hAnsi="Times New Roman"/>
                <w:b w:val="0"/>
                <w:color w:val="auto"/>
                <w:sz w:val="24"/>
                <w:szCs w:val="24"/>
                <w:highlight w:val="none"/>
              </w:rPr>
            </w:pPr>
            <w:r>
              <w:rPr>
                <w:rFonts w:hint="eastAsia" w:ascii="Times New Roman" w:hAnsi="Times New Roman"/>
                <w:b w:val="0"/>
                <w:color w:val="auto"/>
                <w:sz w:val="24"/>
                <w:szCs w:val="24"/>
                <w:highlight w:val="none"/>
              </w:rPr>
              <w:t>根据《2024年淮南市生态环境质量状况公报》：</w:t>
            </w:r>
          </w:p>
          <w:p w14:paraId="3502C06D">
            <w:pPr>
              <w:pStyle w:val="3"/>
              <w:spacing w:line="360" w:lineRule="auto"/>
              <w:ind w:firstLine="480"/>
              <w:rPr>
                <w:rFonts w:ascii="Times New Roman" w:hAnsi="Times New Roman"/>
                <w:b w:val="0"/>
                <w:color w:val="auto"/>
                <w:sz w:val="24"/>
                <w:szCs w:val="24"/>
                <w:highlight w:val="none"/>
              </w:rPr>
            </w:pPr>
            <w:r>
              <w:rPr>
                <w:rFonts w:hint="eastAsia" w:ascii="Times New Roman" w:hAnsi="Times New Roman"/>
                <w:b w:val="0"/>
                <w:color w:val="auto"/>
                <w:sz w:val="24"/>
                <w:szCs w:val="24"/>
                <w:highlight w:val="none"/>
              </w:rPr>
              <w:t>2024年淮南市地表水24个监测断面中优良水质比例为91.7%，比上年下降了4.1个百分点，Ⅳ类水质比例8.3%，总体水质状况优。</w:t>
            </w:r>
          </w:p>
          <w:p w14:paraId="62F8543A">
            <w:pPr>
              <w:pStyle w:val="6"/>
              <w:spacing w:line="360" w:lineRule="auto"/>
              <w:ind w:firstLine="482"/>
              <w:rPr>
                <w:rFonts w:ascii="Times New Roman" w:hAnsi="Times New Roman"/>
                <w:b/>
                <w:bCs/>
                <w:color w:val="auto"/>
                <w:sz w:val="24"/>
                <w:highlight w:val="none"/>
              </w:rPr>
            </w:pPr>
            <w:r>
              <w:rPr>
                <w:rFonts w:ascii="Times New Roman" w:hAnsi="Times New Roman"/>
                <w:b/>
                <w:bCs/>
                <w:color w:val="auto"/>
                <w:sz w:val="24"/>
                <w:highlight w:val="none"/>
              </w:rPr>
              <w:t>3、声环境质量现状</w:t>
            </w:r>
          </w:p>
          <w:p w14:paraId="44E04BB0">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2024年，全市区域环境噪声昼间平均等效声级为51.6分贝，与上年相比上升0.4分贝，噪声总体水平稳定保持二级，声环境质量较好。</w:t>
            </w:r>
          </w:p>
          <w:p w14:paraId="6A2F11E4">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城市道路交通噪声昼间平均等效声级为66.6分贝，与上年相比上升0.4分贝，噪声强度等级稳定保持为一级，声环境质量级别为好。</w:t>
            </w:r>
          </w:p>
          <w:p w14:paraId="46E10E27">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各功能区噪声平均等效声级达标率为70.8%，昼间达标率为83.3%，夜间达标率为58.3%。与上年相比，昼间达标率减少0.5个百分点，夜间达标率减少6.7个百分点，平均等效声级达标率减少了3.5个百分点。</w:t>
            </w:r>
          </w:p>
          <w:p w14:paraId="0319FFD6">
            <w:pPr>
              <w:spacing w:line="360" w:lineRule="auto"/>
              <w:ind w:firstLine="480" w:firstLineChars="200"/>
              <w:rPr>
                <w:rFonts w:ascii="Times New Roman" w:hAnsi="Times New Roman" w:eastAsia="宋体" w:cs="Times New Roman"/>
                <w:b/>
                <w:bCs/>
                <w:color w:val="auto"/>
                <w:kern w:val="0"/>
                <w:sz w:val="24"/>
                <w:szCs w:val="24"/>
                <w:highlight w:val="none"/>
                <w:lang w:val="en-US" w:eastAsia="zh-CN" w:bidi="ar-SA"/>
              </w:rPr>
            </w:pPr>
            <w:r>
              <w:rPr>
                <w:rFonts w:ascii="Times New Roman"/>
                <w:color w:val="auto"/>
                <w:sz w:val="24"/>
                <w:highlight w:val="none"/>
              </w:rPr>
              <w:t>根据现场踏勘，</w:t>
            </w:r>
            <w:r>
              <w:rPr>
                <w:rFonts w:hint="eastAsia" w:ascii="Times New Roman"/>
                <w:color w:val="auto"/>
                <w:sz w:val="24"/>
                <w:highlight w:val="none"/>
                <w:lang w:val="en-US" w:eastAsia="zh-CN"/>
              </w:rPr>
              <w:t>本项目各井场周边</w:t>
            </w:r>
            <w:r>
              <w:rPr>
                <w:rFonts w:ascii="Times New Roman"/>
                <w:color w:val="auto"/>
                <w:sz w:val="24"/>
                <w:highlight w:val="none"/>
              </w:rPr>
              <w:t>50米范围内</w:t>
            </w:r>
            <w:r>
              <w:rPr>
                <w:rFonts w:hint="eastAsia" w:ascii="Times New Roman"/>
                <w:color w:val="auto"/>
                <w:sz w:val="24"/>
                <w:highlight w:val="none"/>
                <w:lang w:val="en-US" w:eastAsia="zh-CN"/>
              </w:rPr>
              <w:t>无</w:t>
            </w:r>
            <w:r>
              <w:rPr>
                <w:rFonts w:ascii="Times New Roman"/>
                <w:color w:val="auto"/>
                <w:sz w:val="24"/>
                <w:highlight w:val="none"/>
              </w:rPr>
              <w:t>声环境保护目标</w:t>
            </w:r>
            <w:r>
              <w:rPr>
                <w:rFonts w:hint="eastAsia" w:ascii="Times New Roman"/>
                <w:color w:val="auto"/>
                <w:sz w:val="24"/>
                <w:highlight w:val="none"/>
                <w:lang w:eastAsia="zh-CN"/>
              </w:rPr>
              <w:t>，</w:t>
            </w:r>
            <w:r>
              <w:rPr>
                <w:rFonts w:hint="eastAsia" w:ascii="Times New Roman"/>
                <w:color w:val="auto"/>
                <w:sz w:val="24"/>
                <w:highlight w:val="none"/>
              </w:rPr>
              <w:t>根据《建设项目环境影响报告表编制技术指南（污染影响类）（试行）》要求，本次环评声环境质量评价不进行现状监测。</w:t>
            </w:r>
          </w:p>
          <w:p w14:paraId="2F935A51">
            <w:pPr>
              <w:numPr>
                <w:ilvl w:val="0"/>
                <w:numId w:val="0"/>
              </w:numPr>
              <w:spacing w:line="360" w:lineRule="auto"/>
              <w:ind w:firstLine="482" w:firstLineChars="200"/>
              <w:rPr>
                <w:rFonts w:ascii="Times New Roman" w:hAnsi="Times New Roman"/>
                <w:b/>
                <w:bCs/>
                <w:color w:val="auto"/>
                <w:kern w:val="0"/>
                <w:sz w:val="24"/>
                <w:highlight w:val="none"/>
              </w:rPr>
            </w:pPr>
            <w:r>
              <w:rPr>
                <w:rFonts w:ascii="Times New Roman" w:hAnsi="Times New Roman" w:eastAsia="宋体" w:cs="Times New Roman"/>
                <w:b/>
                <w:bCs/>
                <w:color w:val="auto"/>
                <w:kern w:val="0"/>
                <w:sz w:val="24"/>
                <w:szCs w:val="24"/>
                <w:highlight w:val="none"/>
                <w:lang w:val="en-US" w:eastAsia="zh-CN" w:bidi="ar-SA"/>
              </w:rPr>
              <w:t>4、</w:t>
            </w:r>
            <w:r>
              <w:rPr>
                <w:rFonts w:hint="eastAsia" w:ascii="Times New Roman" w:hAnsi="Times New Roman"/>
                <w:b/>
                <w:bCs/>
                <w:color w:val="auto"/>
                <w:kern w:val="0"/>
                <w:sz w:val="24"/>
                <w:highlight w:val="none"/>
              </w:rPr>
              <w:t>土壤</w:t>
            </w:r>
            <w:r>
              <w:rPr>
                <w:rFonts w:hint="eastAsia" w:ascii="Times New Roman" w:hAnsi="Times New Roman"/>
                <w:b/>
                <w:bCs/>
                <w:color w:val="auto"/>
                <w:kern w:val="0"/>
                <w:sz w:val="24"/>
                <w:highlight w:val="none"/>
                <w:lang w:eastAsia="zh-CN"/>
              </w:rPr>
              <w:t>、</w:t>
            </w:r>
            <w:r>
              <w:rPr>
                <w:rFonts w:hint="eastAsia" w:ascii="Times New Roman" w:hAnsi="Times New Roman"/>
                <w:b/>
                <w:bCs/>
                <w:color w:val="auto"/>
                <w:kern w:val="0"/>
                <w:sz w:val="24"/>
                <w:highlight w:val="none"/>
                <w:lang w:val="en-US" w:eastAsia="zh-CN"/>
              </w:rPr>
              <w:t>地下水</w:t>
            </w:r>
            <w:r>
              <w:rPr>
                <w:rFonts w:hint="eastAsia" w:ascii="Times New Roman" w:hAnsi="Times New Roman"/>
                <w:b/>
                <w:bCs/>
                <w:color w:val="auto"/>
                <w:kern w:val="0"/>
                <w:sz w:val="24"/>
                <w:highlight w:val="none"/>
              </w:rPr>
              <w:t>环境质量现状调查</w:t>
            </w:r>
          </w:p>
          <w:p w14:paraId="26E711C9">
            <w:pPr>
              <w:spacing w:line="360" w:lineRule="auto"/>
              <w:ind w:firstLine="480" w:firstLineChars="200"/>
            </w:pPr>
            <w:r>
              <w:rPr>
                <w:rFonts w:ascii="Times New Roman" w:hAnsi="Times New Roman"/>
                <w:color w:val="auto"/>
                <w:kern w:val="0"/>
                <w:sz w:val="24"/>
                <w:highlight w:val="none"/>
              </w:rPr>
              <w:t>根据《环境影响评价技术导则 土壤环境（试行）》（HJ964-2018），本项目属于其他行业，为Ⅳ类，可不开展土壤环境影响评价</w:t>
            </w:r>
            <w:r>
              <w:rPr>
                <w:rFonts w:hint="eastAsia" w:ascii="Times New Roman" w:hAnsi="Times New Roman"/>
                <w:color w:val="auto"/>
                <w:kern w:val="0"/>
                <w:sz w:val="24"/>
                <w:highlight w:val="none"/>
                <w:lang w:eastAsia="zh-CN"/>
              </w:rPr>
              <w:t>；</w:t>
            </w:r>
            <w:r>
              <w:rPr>
                <w:rFonts w:hint="eastAsia" w:ascii="Times New Roman" w:hAnsi="Times New Roman"/>
                <w:color w:val="auto"/>
                <w:sz w:val="24"/>
                <w:highlight w:val="none"/>
              </w:rPr>
              <w:t>根据《环境影响评价技术导则 地下水环境》（HJ610-2016）</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本项目属于Ⅳ类项目，本项目可不开展地下水环境影响评价</w:t>
            </w:r>
            <w:r>
              <w:rPr>
                <w:rFonts w:ascii="Times New Roman" w:hAnsi="Times New Roman"/>
                <w:color w:val="auto"/>
                <w:kern w:val="0"/>
                <w:sz w:val="24"/>
                <w:highlight w:val="none"/>
              </w:rPr>
              <w:t>。</w:t>
            </w:r>
          </w:p>
          <w:p w14:paraId="179F0909">
            <w:pPr>
              <w:spacing w:line="360" w:lineRule="auto"/>
              <w:ind w:firstLine="482" w:firstLineChars="200"/>
              <w:rPr>
                <w:rFonts w:ascii="Times New Roman" w:hAnsi="Times New Roman"/>
                <w:b/>
                <w:bCs/>
                <w:color w:val="auto"/>
                <w:kern w:val="0"/>
                <w:sz w:val="24"/>
                <w:highlight w:val="none"/>
              </w:rPr>
            </w:pPr>
            <w:r>
              <w:rPr>
                <w:rFonts w:hint="eastAsia" w:ascii="Times New Roman" w:hAnsi="Times New Roman"/>
                <w:b/>
                <w:bCs/>
                <w:color w:val="auto"/>
                <w:kern w:val="0"/>
                <w:sz w:val="24"/>
                <w:highlight w:val="none"/>
              </w:rPr>
              <w:t>5</w:t>
            </w:r>
            <w:r>
              <w:rPr>
                <w:rFonts w:hint="eastAsia" w:ascii="Times New Roman" w:hAnsi="Times New Roman"/>
                <w:b/>
                <w:bCs/>
                <w:color w:val="auto"/>
                <w:kern w:val="0"/>
                <w:sz w:val="24"/>
                <w:highlight w:val="none"/>
                <w:lang w:eastAsia="zh-CN"/>
              </w:rPr>
              <w:t>、</w:t>
            </w:r>
            <w:r>
              <w:rPr>
                <w:rFonts w:ascii="Times New Roman" w:hAnsi="Times New Roman"/>
                <w:b/>
                <w:bCs/>
                <w:color w:val="auto"/>
                <w:kern w:val="0"/>
                <w:sz w:val="24"/>
                <w:highlight w:val="none"/>
              </w:rPr>
              <w:t>电磁辐射</w:t>
            </w:r>
          </w:p>
          <w:p w14:paraId="1D46798E">
            <w:pPr>
              <w:spacing w:line="360" w:lineRule="auto"/>
              <w:ind w:firstLine="480" w:firstLineChars="200"/>
              <w:rPr>
                <w:rFonts w:ascii="Times New Roman" w:hAnsi="Times New Roman"/>
                <w:color w:val="auto"/>
                <w:highlight w:val="none"/>
              </w:rPr>
            </w:pPr>
            <w:r>
              <w:rPr>
                <w:rFonts w:ascii="Times New Roman" w:hAnsi="Times New Roman"/>
                <w:bCs/>
                <w:color w:val="auto"/>
                <w:sz w:val="24"/>
                <w:highlight w:val="none"/>
              </w:rPr>
              <w:t>本项目不属于新建或改建、扩建广播电台、差转台、电视塔台、卫星地球上行站、雷达等电磁辐射类项目。因此，不进行电磁辐射现状监测和评价。</w:t>
            </w:r>
          </w:p>
        </w:tc>
      </w:tr>
      <w:tr w14:paraId="0D04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454" w:type="dxa"/>
            <w:tcBorders>
              <w:tl2br w:val="nil"/>
              <w:tr2bl w:val="nil"/>
            </w:tcBorders>
            <w:noWrap/>
            <w:vAlign w:val="center"/>
          </w:tcPr>
          <w:p w14:paraId="029F4193">
            <w:pPr>
              <w:adjustRightInd w:val="0"/>
              <w:snapToGrid w:val="0"/>
              <w:jc w:val="center"/>
              <w:rPr>
                <w:rFonts w:ascii="Times New Roman" w:hAnsi="Times New Roman"/>
                <w:bCs/>
                <w:color w:val="auto"/>
                <w:sz w:val="24"/>
                <w:highlight w:val="none"/>
              </w:rPr>
            </w:pPr>
            <w:r>
              <w:rPr>
                <w:rFonts w:ascii="Times New Roman" w:hAnsi="Times New Roman"/>
                <w:bCs/>
                <w:color w:val="auto"/>
                <w:sz w:val="24"/>
                <w:highlight w:val="none"/>
              </w:rPr>
              <w:t>与项目有关的原有环境污染和生态破坏问题</w:t>
            </w:r>
          </w:p>
        </w:tc>
        <w:tc>
          <w:tcPr>
            <w:tcW w:w="8068" w:type="dxa"/>
            <w:tcBorders>
              <w:tl2br w:val="nil"/>
              <w:tr2bl w:val="nil"/>
            </w:tcBorders>
            <w:noWrap/>
            <w:vAlign w:val="center"/>
          </w:tcPr>
          <w:p w14:paraId="73A32075">
            <w:pPr>
              <w:autoSpaceDE w:val="0"/>
              <w:autoSpaceDN w:val="0"/>
              <w:spacing w:line="360" w:lineRule="auto"/>
              <w:ind w:firstLine="480" w:firstLineChars="200"/>
              <w:rPr>
                <w:rFonts w:ascii="Times New Roman" w:hAnsi="Times New Roman"/>
                <w:color w:val="auto"/>
                <w:highlight w:val="none"/>
              </w:rPr>
            </w:pPr>
            <w:r>
              <w:rPr>
                <w:rFonts w:ascii="Times New Roman" w:hAnsi="Times New Roman"/>
                <w:color w:val="auto"/>
                <w:sz w:val="24"/>
                <w:highlight w:val="none"/>
              </w:rPr>
              <w:t>本项目为新建项目，</w:t>
            </w:r>
            <w:r>
              <w:rPr>
                <w:rFonts w:ascii="Times New Roman" w:hAnsi="Times New Roman"/>
                <w:color w:val="auto"/>
                <w:kern w:val="0"/>
                <w:sz w:val="24"/>
                <w:highlight w:val="none"/>
              </w:rPr>
              <w:t>项目区域现状为农田，不存在原有污染问题。</w:t>
            </w:r>
          </w:p>
        </w:tc>
      </w:tr>
      <w:tr w14:paraId="3CD5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tcBorders>
              <w:tl2br w:val="nil"/>
              <w:tr2bl w:val="nil"/>
            </w:tcBorders>
            <w:noWrap/>
            <w:vAlign w:val="center"/>
          </w:tcPr>
          <w:p w14:paraId="0F942981">
            <w:pPr>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生态环境保护目标</w:t>
            </w:r>
          </w:p>
        </w:tc>
        <w:tc>
          <w:tcPr>
            <w:tcW w:w="8068" w:type="dxa"/>
            <w:tcBorders>
              <w:tl2br w:val="nil"/>
              <w:tr2bl w:val="nil"/>
            </w:tcBorders>
            <w:noWrap/>
            <w:vAlign w:val="center"/>
          </w:tcPr>
          <w:p w14:paraId="1A3239D2">
            <w:pPr>
              <w:pStyle w:val="14"/>
              <w:tabs>
                <w:tab w:val="left" w:pos="0"/>
              </w:tabs>
              <w:spacing w:line="360" w:lineRule="auto"/>
              <w:ind w:firstLine="480" w:firstLineChars="200"/>
              <w:contextualSpacing/>
              <w:rPr>
                <w:rFonts w:ascii="Times New Roman" w:hAnsi="Times New Roman"/>
                <w:b/>
                <w:color w:val="auto"/>
                <w:sz w:val="24"/>
                <w:highlight w:val="none"/>
              </w:rPr>
            </w:pPr>
            <w:r>
              <w:rPr>
                <w:rFonts w:ascii="Times New Roman" w:hAnsi="Times New Roman"/>
                <w:color w:val="auto"/>
                <w:sz w:val="24"/>
                <w:highlight w:val="none"/>
              </w:rPr>
              <w:t>根据对建设项目所地块周边环境现状的踏勘，建设项目附近无文物保护、风景名胜区、饮用水源地等敏感环境保护目标，本项目主要环境保护目标见下表。</w:t>
            </w:r>
          </w:p>
          <w:p w14:paraId="1FCCAFB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b/>
                <w:color w:val="auto"/>
                <w:szCs w:val="21"/>
                <w:highlight w:val="none"/>
                <w:lang w:val="en-US" w:eastAsia="zh-CN"/>
              </w:rPr>
            </w:pPr>
            <w:r>
              <w:rPr>
                <w:rFonts w:hint="eastAsia" w:ascii="Times New Roman" w:hAnsi="Times New Roman"/>
                <w:b/>
                <w:color w:val="auto"/>
                <w:szCs w:val="21"/>
                <w:highlight w:val="none"/>
                <w:lang w:val="en-US" w:eastAsia="zh-CN"/>
              </w:rPr>
              <w:t>1、大气环境</w:t>
            </w:r>
          </w:p>
          <w:p w14:paraId="1635E90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本项目各井场外500m范围内大气环境保护目标详见下表。</w:t>
            </w:r>
          </w:p>
          <w:p w14:paraId="5FC713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表3-4  项目大气环境保护目标一览表</w:t>
            </w:r>
          </w:p>
          <w:tbl>
            <w:tblPr>
              <w:tblStyle w:val="23"/>
              <w:tblW w:w="79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3"/>
              <w:gridCol w:w="871"/>
              <w:gridCol w:w="686"/>
              <w:gridCol w:w="690"/>
              <w:gridCol w:w="620"/>
              <w:gridCol w:w="695"/>
              <w:gridCol w:w="804"/>
              <w:gridCol w:w="1601"/>
              <w:gridCol w:w="790"/>
              <w:gridCol w:w="700"/>
            </w:tblGrid>
            <w:tr w14:paraId="56427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463" w:type="dxa"/>
                  <w:tcBorders>
                    <w:tl2br w:val="nil"/>
                    <w:tr2bl w:val="nil"/>
                  </w:tcBorders>
                  <w:shd w:val="clear" w:color="auto" w:fill="auto"/>
                  <w:vAlign w:val="center"/>
                </w:tcPr>
                <w:p w14:paraId="5BBCD4A1">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环境要素</w:t>
                  </w:r>
                </w:p>
              </w:tc>
              <w:tc>
                <w:tcPr>
                  <w:tcW w:w="871" w:type="dxa"/>
                  <w:tcBorders>
                    <w:tl2br w:val="nil"/>
                    <w:tr2bl w:val="nil"/>
                  </w:tcBorders>
                  <w:shd w:val="clear" w:color="auto" w:fill="auto"/>
                  <w:vAlign w:val="center"/>
                </w:tcPr>
                <w:p w14:paraId="78B874B9">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区域</w:t>
                  </w:r>
                </w:p>
              </w:tc>
              <w:tc>
                <w:tcPr>
                  <w:tcW w:w="686" w:type="dxa"/>
                  <w:tcBorders>
                    <w:tl2br w:val="nil"/>
                    <w:tr2bl w:val="nil"/>
                  </w:tcBorders>
                  <w:shd w:val="clear" w:color="auto" w:fill="auto"/>
                  <w:vAlign w:val="center"/>
                </w:tcPr>
                <w:p w14:paraId="5E3749B3">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名称</w:t>
                  </w:r>
                </w:p>
              </w:tc>
              <w:tc>
                <w:tcPr>
                  <w:tcW w:w="690" w:type="dxa"/>
                  <w:tcBorders>
                    <w:tl2br w:val="nil"/>
                    <w:tr2bl w:val="nil"/>
                  </w:tcBorders>
                  <w:shd w:val="clear" w:color="auto" w:fill="auto"/>
                  <w:vAlign w:val="center"/>
                </w:tcPr>
                <w:p w14:paraId="2A6AD7B4">
                  <w:pPr>
                    <w:widowControl/>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X</w:t>
                  </w:r>
                </w:p>
              </w:tc>
              <w:tc>
                <w:tcPr>
                  <w:tcW w:w="620" w:type="dxa"/>
                  <w:tcBorders>
                    <w:tl2br w:val="nil"/>
                    <w:tr2bl w:val="nil"/>
                  </w:tcBorders>
                  <w:shd w:val="clear" w:color="auto" w:fill="auto"/>
                  <w:vAlign w:val="center"/>
                </w:tcPr>
                <w:p w14:paraId="54320153">
                  <w:pPr>
                    <w:widowControl/>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Y</w:t>
                  </w:r>
                </w:p>
              </w:tc>
              <w:tc>
                <w:tcPr>
                  <w:tcW w:w="695" w:type="dxa"/>
                  <w:tcBorders>
                    <w:tl2br w:val="nil"/>
                    <w:tr2bl w:val="nil"/>
                  </w:tcBorders>
                  <w:shd w:val="clear" w:color="auto" w:fill="auto"/>
                  <w:vAlign w:val="center"/>
                </w:tcPr>
                <w:p w14:paraId="4767B2AC">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保护对象</w:t>
                  </w:r>
                </w:p>
              </w:tc>
              <w:tc>
                <w:tcPr>
                  <w:tcW w:w="804" w:type="dxa"/>
                  <w:tcBorders>
                    <w:tl2br w:val="nil"/>
                    <w:tr2bl w:val="nil"/>
                  </w:tcBorders>
                  <w:shd w:val="clear" w:color="auto" w:fill="auto"/>
                  <w:vAlign w:val="center"/>
                </w:tcPr>
                <w:p w14:paraId="59A6EA70">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保护内容</w:t>
                  </w:r>
                </w:p>
              </w:tc>
              <w:tc>
                <w:tcPr>
                  <w:tcW w:w="1601" w:type="dxa"/>
                  <w:tcBorders>
                    <w:tl2br w:val="nil"/>
                    <w:tr2bl w:val="nil"/>
                  </w:tcBorders>
                  <w:shd w:val="clear" w:color="auto" w:fill="auto"/>
                  <w:vAlign w:val="center"/>
                </w:tcPr>
                <w:p w14:paraId="0CCB7DA9">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环境功能区</w:t>
                  </w:r>
                </w:p>
              </w:tc>
              <w:tc>
                <w:tcPr>
                  <w:tcW w:w="790" w:type="dxa"/>
                  <w:tcBorders>
                    <w:tl2br w:val="nil"/>
                    <w:tr2bl w:val="nil"/>
                  </w:tcBorders>
                  <w:shd w:val="clear" w:color="auto" w:fill="auto"/>
                  <w:vAlign w:val="center"/>
                </w:tcPr>
                <w:p w14:paraId="59330613">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相对厂址方位</w:t>
                  </w:r>
                </w:p>
              </w:tc>
              <w:tc>
                <w:tcPr>
                  <w:tcW w:w="700" w:type="dxa"/>
                  <w:tcBorders>
                    <w:tl2br w:val="nil"/>
                    <w:tr2bl w:val="nil"/>
                  </w:tcBorders>
                  <w:shd w:val="clear" w:color="auto" w:fill="auto"/>
                  <w:vAlign w:val="center"/>
                </w:tcPr>
                <w:p w14:paraId="77A9F346">
                  <w:pPr>
                    <w:widowControl/>
                    <w:jc w:val="center"/>
                    <w:textAlignment w:val="center"/>
                    <w:rPr>
                      <w:rFonts w:ascii="Times New Roman" w:hAnsi="Times New Roman" w:cs="宋体"/>
                      <w:b/>
                      <w:bCs/>
                      <w:color w:val="auto"/>
                      <w:szCs w:val="21"/>
                      <w:highlight w:val="none"/>
                    </w:rPr>
                  </w:pPr>
                  <w:r>
                    <w:rPr>
                      <w:rStyle w:val="48"/>
                      <w:rFonts w:hint="default" w:ascii="Times New Roman" w:hAnsi="Times New Roman"/>
                      <w:b/>
                      <w:bCs/>
                      <w:color w:val="auto"/>
                      <w:highlight w:val="none"/>
                    </w:rPr>
                    <w:t>相对各井场边界距离</w:t>
                  </w:r>
                  <w:r>
                    <w:rPr>
                      <w:rStyle w:val="49"/>
                      <w:b/>
                      <w:bCs/>
                      <w:color w:val="auto"/>
                      <w:highlight w:val="none"/>
                    </w:rPr>
                    <w:t>/m</w:t>
                  </w:r>
                </w:p>
              </w:tc>
            </w:tr>
            <w:tr w14:paraId="3A7F9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63" w:type="dxa"/>
                  <w:vMerge w:val="restart"/>
                  <w:tcBorders>
                    <w:tl2br w:val="nil"/>
                    <w:tr2bl w:val="nil"/>
                  </w:tcBorders>
                  <w:shd w:val="clear" w:color="auto" w:fill="auto"/>
                  <w:vAlign w:val="center"/>
                </w:tcPr>
                <w:p w14:paraId="50AEBD9A">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大气环境</w:t>
                  </w:r>
                </w:p>
              </w:tc>
              <w:tc>
                <w:tcPr>
                  <w:tcW w:w="871" w:type="dxa"/>
                  <w:vMerge w:val="restart"/>
                  <w:tcBorders>
                    <w:tl2br w:val="nil"/>
                    <w:tr2bl w:val="nil"/>
                  </w:tcBorders>
                  <w:shd w:val="clear" w:color="auto" w:fill="auto"/>
                  <w:vAlign w:val="center"/>
                </w:tcPr>
                <w:p w14:paraId="0DB523B4">
                  <w:pPr>
                    <w:widowControl/>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39-B8井场</w:t>
                  </w:r>
                </w:p>
              </w:tc>
              <w:tc>
                <w:tcPr>
                  <w:tcW w:w="686" w:type="dxa"/>
                  <w:tcBorders>
                    <w:tl2br w:val="nil"/>
                    <w:tr2bl w:val="nil"/>
                  </w:tcBorders>
                  <w:shd w:val="clear" w:color="auto" w:fill="auto"/>
                  <w:vAlign w:val="center"/>
                </w:tcPr>
                <w:p w14:paraId="39343B77">
                  <w:pPr>
                    <w:widowControl/>
                    <w:jc w:val="center"/>
                    <w:textAlignment w:val="center"/>
                    <w:rPr>
                      <w:rFonts w:hint="eastAsia" w:ascii="Times New Roman" w:hAnsi="Times New Roman" w:eastAsia="宋体" w:cs="宋体"/>
                      <w:color w:val="auto"/>
                      <w:szCs w:val="21"/>
                      <w:highlight w:val="none"/>
                      <w:lang w:val="en-US" w:eastAsia="zh-CN"/>
                    </w:rPr>
                  </w:pPr>
                  <w:r>
                    <w:rPr>
                      <w:rFonts w:hint="eastAsia" w:ascii="Times New Roman" w:hAnsi="Times New Roman" w:cs="宋体"/>
                      <w:color w:val="auto"/>
                      <w:kern w:val="0"/>
                      <w:szCs w:val="21"/>
                      <w:highlight w:val="none"/>
                      <w:lang w:val="en-US" w:eastAsia="zh-CN"/>
                    </w:rPr>
                    <w:t>小李</w:t>
                  </w:r>
                </w:p>
              </w:tc>
              <w:tc>
                <w:tcPr>
                  <w:tcW w:w="690" w:type="dxa"/>
                  <w:tcBorders>
                    <w:tl2br w:val="nil"/>
                    <w:tr2bl w:val="nil"/>
                  </w:tcBorders>
                  <w:shd w:val="clear" w:color="auto" w:fill="auto"/>
                  <w:vAlign w:val="center"/>
                </w:tcPr>
                <w:p w14:paraId="0789FADE">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-197</w:t>
                  </w:r>
                </w:p>
              </w:tc>
              <w:tc>
                <w:tcPr>
                  <w:tcW w:w="620" w:type="dxa"/>
                  <w:tcBorders>
                    <w:tl2br w:val="nil"/>
                    <w:tr2bl w:val="nil"/>
                  </w:tcBorders>
                  <w:shd w:val="clear" w:color="auto" w:fill="auto"/>
                  <w:vAlign w:val="center"/>
                </w:tcPr>
                <w:p w14:paraId="1538871F">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-14</w:t>
                  </w:r>
                </w:p>
              </w:tc>
              <w:tc>
                <w:tcPr>
                  <w:tcW w:w="695" w:type="dxa"/>
                  <w:tcBorders>
                    <w:tl2br w:val="nil"/>
                    <w:tr2bl w:val="nil"/>
                  </w:tcBorders>
                  <w:shd w:val="clear" w:color="auto" w:fill="auto"/>
                  <w:vAlign w:val="center"/>
                </w:tcPr>
                <w:p w14:paraId="29F53AD7">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6CE6BC56">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120人</w:t>
                  </w:r>
                </w:p>
              </w:tc>
              <w:tc>
                <w:tcPr>
                  <w:tcW w:w="1601" w:type="dxa"/>
                  <w:vMerge w:val="restart"/>
                  <w:tcBorders>
                    <w:tl2br w:val="nil"/>
                    <w:tr2bl w:val="nil"/>
                  </w:tcBorders>
                  <w:shd w:val="clear" w:color="auto" w:fill="auto"/>
                  <w:vAlign w:val="center"/>
                </w:tcPr>
                <w:p w14:paraId="2BA8DBB5">
                  <w:pPr>
                    <w:widowControl/>
                    <w:jc w:val="center"/>
                    <w:textAlignment w:val="center"/>
                    <w:rPr>
                      <w:rFonts w:ascii="Times New Roman" w:hAnsi="Times New Roman" w:cs="宋体"/>
                      <w:color w:val="auto"/>
                      <w:szCs w:val="21"/>
                      <w:highlight w:val="none"/>
                    </w:rPr>
                  </w:pPr>
                  <w:r>
                    <w:rPr>
                      <w:rStyle w:val="48"/>
                      <w:rFonts w:hint="default" w:ascii="Times New Roman" w:hAnsi="Times New Roman"/>
                      <w:color w:val="auto"/>
                      <w:highlight w:val="none"/>
                    </w:rPr>
                    <w:t>环境功能区《环境空气质量标准》（</w:t>
                  </w:r>
                  <w:r>
                    <w:rPr>
                      <w:rStyle w:val="49"/>
                      <w:color w:val="auto"/>
                      <w:highlight w:val="none"/>
                    </w:rPr>
                    <w:t>GB3095-2012</w:t>
                  </w:r>
                  <w:r>
                    <w:rPr>
                      <w:rStyle w:val="48"/>
                      <w:rFonts w:hint="default" w:ascii="Times New Roman" w:hAnsi="Times New Roman"/>
                      <w:color w:val="auto"/>
                      <w:highlight w:val="none"/>
                    </w:rPr>
                    <w:t>）二级标准</w:t>
                  </w:r>
                </w:p>
              </w:tc>
              <w:tc>
                <w:tcPr>
                  <w:tcW w:w="790" w:type="dxa"/>
                  <w:tcBorders>
                    <w:tl2br w:val="nil"/>
                    <w:tr2bl w:val="nil"/>
                  </w:tcBorders>
                  <w:shd w:val="clear" w:color="auto" w:fill="auto"/>
                  <w:vAlign w:val="center"/>
                </w:tcPr>
                <w:p w14:paraId="5D121BC5">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SWW</w:t>
                  </w:r>
                </w:p>
              </w:tc>
              <w:tc>
                <w:tcPr>
                  <w:tcW w:w="700" w:type="dxa"/>
                  <w:tcBorders>
                    <w:tl2br w:val="nil"/>
                    <w:tr2bl w:val="nil"/>
                  </w:tcBorders>
                  <w:shd w:val="clear" w:color="auto" w:fill="auto"/>
                  <w:vAlign w:val="center"/>
                </w:tcPr>
                <w:p w14:paraId="0F07B289">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196</w:t>
                  </w:r>
                </w:p>
              </w:tc>
            </w:tr>
            <w:tr w14:paraId="6C998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463" w:type="dxa"/>
                  <w:vMerge w:val="continue"/>
                  <w:tcBorders>
                    <w:tl2br w:val="nil"/>
                    <w:tr2bl w:val="nil"/>
                  </w:tcBorders>
                  <w:shd w:val="clear" w:color="auto" w:fill="auto"/>
                  <w:vAlign w:val="center"/>
                </w:tcPr>
                <w:p w14:paraId="72042DDC">
                  <w:pPr>
                    <w:jc w:val="center"/>
                    <w:rPr>
                      <w:rFonts w:ascii="Times New Roman" w:hAnsi="Times New Roman" w:cs="宋体"/>
                      <w:color w:val="auto"/>
                      <w:szCs w:val="21"/>
                      <w:highlight w:val="none"/>
                    </w:rPr>
                  </w:pPr>
                </w:p>
              </w:tc>
              <w:tc>
                <w:tcPr>
                  <w:tcW w:w="871" w:type="dxa"/>
                  <w:vMerge w:val="continue"/>
                  <w:tcBorders>
                    <w:tl2br w:val="nil"/>
                    <w:tr2bl w:val="nil"/>
                  </w:tcBorders>
                  <w:shd w:val="clear" w:color="auto" w:fill="auto"/>
                  <w:vAlign w:val="center"/>
                </w:tcPr>
                <w:p w14:paraId="5EA55A28">
                  <w:pPr>
                    <w:jc w:val="center"/>
                    <w:rPr>
                      <w:rFonts w:ascii="Times New Roman" w:hAnsi="Times New Roman"/>
                      <w:color w:val="auto"/>
                      <w:szCs w:val="21"/>
                      <w:highlight w:val="none"/>
                    </w:rPr>
                  </w:pPr>
                </w:p>
              </w:tc>
              <w:tc>
                <w:tcPr>
                  <w:tcW w:w="686" w:type="dxa"/>
                  <w:tcBorders>
                    <w:tl2br w:val="nil"/>
                    <w:tr2bl w:val="nil"/>
                  </w:tcBorders>
                  <w:shd w:val="clear" w:color="auto" w:fill="auto"/>
                  <w:vAlign w:val="center"/>
                </w:tcPr>
                <w:p w14:paraId="088C9AC7">
                  <w:pPr>
                    <w:widowControl/>
                    <w:jc w:val="center"/>
                    <w:textAlignment w:val="center"/>
                    <w:rPr>
                      <w:rFonts w:hint="eastAsia"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武湖</w:t>
                  </w:r>
                </w:p>
              </w:tc>
              <w:tc>
                <w:tcPr>
                  <w:tcW w:w="690" w:type="dxa"/>
                  <w:tcBorders>
                    <w:tl2br w:val="nil"/>
                    <w:tr2bl w:val="nil"/>
                  </w:tcBorders>
                  <w:shd w:val="clear" w:color="auto" w:fill="auto"/>
                  <w:vAlign w:val="center"/>
                </w:tcPr>
                <w:p w14:paraId="35FF9B1E">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-170</w:t>
                  </w:r>
                </w:p>
              </w:tc>
              <w:tc>
                <w:tcPr>
                  <w:tcW w:w="620" w:type="dxa"/>
                  <w:tcBorders>
                    <w:tl2br w:val="nil"/>
                    <w:tr2bl w:val="nil"/>
                  </w:tcBorders>
                  <w:shd w:val="clear" w:color="auto" w:fill="auto"/>
                  <w:vAlign w:val="center"/>
                </w:tcPr>
                <w:p w14:paraId="52441A9D">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470</w:t>
                  </w:r>
                </w:p>
              </w:tc>
              <w:tc>
                <w:tcPr>
                  <w:tcW w:w="695" w:type="dxa"/>
                  <w:tcBorders>
                    <w:tl2br w:val="nil"/>
                    <w:tr2bl w:val="nil"/>
                  </w:tcBorders>
                  <w:shd w:val="clear" w:color="auto" w:fill="auto"/>
                  <w:vAlign w:val="center"/>
                </w:tcPr>
                <w:p w14:paraId="03F3053B">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1D7F58E1">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100人</w:t>
                  </w:r>
                </w:p>
              </w:tc>
              <w:tc>
                <w:tcPr>
                  <w:tcW w:w="1601" w:type="dxa"/>
                  <w:vMerge w:val="continue"/>
                  <w:tcBorders>
                    <w:tl2br w:val="nil"/>
                    <w:tr2bl w:val="nil"/>
                  </w:tcBorders>
                  <w:shd w:val="clear" w:color="auto" w:fill="auto"/>
                  <w:vAlign w:val="center"/>
                </w:tcPr>
                <w:p w14:paraId="3622706F">
                  <w:pPr>
                    <w:jc w:val="center"/>
                    <w:rPr>
                      <w:rFonts w:ascii="Times New Roman" w:hAnsi="Times New Roman" w:cs="宋体"/>
                      <w:color w:val="auto"/>
                      <w:szCs w:val="21"/>
                      <w:highlight w:val="none"/>
                    </w:rPr>
                  </w:pPr>
                </w:p>
              </w:tc>
              <w:tc>
                <w:tcPr>
                  <w:tcW w:w="790" w:type="dxa"/>
                  <w:tcBorders>
                    <w:tl2br w:val="nil"/>
                    <w:tr2bl w:val="nil"/>
                  </w:tcBorders>
                  <w:shd w:val="clear" w:color="auto" w:fill="auto"/>
                  <w:vAlign w:val="center"/>
                </w:tcPr>
                <w:p w14:paraId="36ECFBF9">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NWN</w:t>
                  </w:r>
                </w:p>
              </w:tc>
              <w:tc>
                <w:tcPr>
                  <w:tcW w:w="700" w:type="dxa"/>
                  <w:tcBorders>
                    <w:tl2br w:val="nil"/>
                    <w:tr2bl w:val="nil"/>
                  </w:tcBorders>
                  <w:shd w:val="clear" w:color="auto" w:fill="auto"/>
                  <w:vAlign w:val="center"/>
                </w:tcPr>
                <w:p w14:paraId="76F1B4EE">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458</w:t>
                  </w:r>
                </w:p>
              </w:tc>
            </w:tr>
            <w:tr w14:paraId="68EAC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63" w:type="dxa"/>
                  <w:vMerge w:val="continue"/>
                  <w:tcBorders>
                    <w:tl2br w:val="nil"/>
                    <w:tr2bl w:val="nil"/>
                  </w:tcBorders>
                  <w:shd w:val="clear" w:color="auto" w:fill="auto"/>
                  <w:vAlign w:val="center"/>
                </w:tcPr>
                <w:p w14:paraId="206F738A">
                  <w:pPr>
                    <w:jc w:val="center"/>
                    <w:rPr>
                      <w:rFonts w:ascii="Times New Roman" w:hAnsi="Times New Roman" w:cs="宋体"/>
                      <w:color w:val="auto"/>
                      <w:szCs w:val="21"/>
                      <w:highlight w:val="none"/>
                    </w:rPr>
                  </w:pPr>
                </w:p>
              </w:tc>
              <w:tc>
                <w:tcPr>
                  <w:tcW w:w="871" w:type="dxa"/>
                  <w:vMerge w:val="restart"/>
                  <w:tcBorders>
                    <w:tl2br w:val="nil"/>
                    <w:tr2bl w:val="nil"/>
                  </w:tcBorders>
                  <w:shd w:val="clear" w:color="auto" w:fill="auto"/>
                  <w:vAlign w:val="center"/>
                </w:tcPr>
                <w:p w14:paraId="5C0A8EF4">
                  <w:pPr>
                    <w:widowControl/>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40-B7井场</w:t>
                  </w:r>
                </w:p>
              </w:tc>
              <w:tc>
                <w:tcPr>
                  <w:tcW w:w="686" w:type="dxa"/>
                  <w:tcBorders>
                    <w:tl2br w:val="nil"/>
                    <w:tr2bl w:val="nil"/>
                  </w:tcBorders>
                  <w:shd w:val="clear" w:color="auto" w:fill="auto"/>
                  <w:vAlign w:val="center"/>
                </w:tcPr>
                <w:p w14:paraId="3DED7131">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kern w:val="0"/>
                      <w:szCs w:val="21"/>
                      <w:highlight w:val="none"/>
                      <w:lang w:val="en-US" w:eastAsia="zh-CN"/>
                    </w:rPr>
                    <w:t>小李</w:t>
                  </w:r>
                </w:p>
              </w:tc>
              <w:tc>
                <w:tcPr>
                  <w:tcW w:w="690" w:type="dxa"/>
                  <w:tcBorders>
                    <w:tl2br w:val="nil"/>
                    <w:tr2bl w:val="nil"/>
                  </w:tcBorders>
                  <w:shd w:val="clear" w:color="auto" w:fill="auto"/>
                  <w:vAlign w:val="center"/>
                </w:tcPr>
                <w:p w14:paraId="640C8E33">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123</w:t>
                  </w:r>
                </w:p>
              </w:tc>
              <w:tc>
                <w:tcPr>
                  <w:tcW w:w="620" w:type="dxa"/>
                  <w:tcBorders>
                    <w:tl2br w:val="nil"/>
                    <w:tr2bl w:val="nil"/>
                  </w:tcBorders>
                  <w:shd w:val="clear" w:color="auto" w:fill="auto"/>
                  <w:vAlign w:val="center"/>
                </w:tcPr>
                <w:p w14:paraId="477887C6">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-69</w:t>
                  </w:r>
                </w:p>
              </w:tc>
              <w:tc>
                <w:tcPr>
                  <w:tcW w:w="695" w:type="dxa"/>
                  <w:tcBorders>
                    <w:tl2br w:val="nil"/>
                    <w:tr2bl w:val="nil"/>
                  </w:tcBorders>
                  <w:shd w:val="clear" w:color="auto" w:fill="auto"/>
                  <w:vAlign w:val="center"/>
                </w:tcPr>
                <w:p w14:paraId="589007D7">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060205D2">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120人</w:t>
                  </w:r>
                </w:p>
              </w:tc>
              <w:tc>
                <w:tcPr>
                  <w:tcW w:w="1601" w:type="dxa"/>
                  <w:vMerge w:val="continue"/>
                  <w:tcBorders>
                    <w:tl2br w:val="nil"/>
                    <w:tr2bl w:val="nil"/>
                  </w:tcBorders>
                  <w:shd w:val="clear" w:color="auto" w:fill="auto"/>
                  <w:vAlign w:val="center"/>
                </w:tcPr>
                <w:p w14:paraId="7E27612E">
                  <w:pPr>
                    <w:jc w:val="center"/>
                    <w:rPr>
                      <w:rFonts w:ascii="Times New Roman" w:hAnsi="Times New Roman" w:cs="宋体"/>
                      <w:color w:val="auto"/>
                      <w:szCs w:val="21"/>
                      <w:highlight w:val="none"/>
                    </w:rPr>
                  </w:pPr>
                </w:p>
              </w:tc>
              <w:tc>
                <w:tcPr>
                  <w:tcW w:w="790" w:type="dxa"/>
                  <w:tcBorders>
                    <w:tl2br w:val="nil"/>
                    <w:tr2bl w:val="nil"/>
                  </w:tcBorders>
                  <w:shd w:val="clear" w:color="auto" w:fill="auto"/>
                  <w:vAlign w:val="center"/>
                </w:tcPr>
                <w:p w14:paraId="56EBA644">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SES</w:t>
                  </w:r>
                </w:p>
              </w:tc>
              <w:tc>
                <w:tcPr>
                  <w:tcW w:w="700" w:type="dxa"/>
                  <w:tcBorders>
                    <w:tl2br w:val="nil"/>
                    <w:tr2bl w:val="nil"/>
                  </w:tcBorders>
                  <w:shd w:val="clear" w:color="auto" w:fill="auto"/>
                  <w:vAlign w:val="center"/>
                </w:tcPr>
                <w:p w14:paraId="49295180">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105</w:t>
                  </w:r>
                </w:p>
              </w:tc>
            </w:tr>
            <w:tr w14:paraId="4DAD8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63" w:type="dxa"/>
                  <w:vMerge w:val="continue"/>
                  <w:tcBorders>
                    <w:tl2br w:val="nil"/>
                    <w:tr2bl w:val="nil"/>
                  </w:tcBorders>
                  <w:shd w:val="clear" w:color="auto" w:fill="auto"/>
                  <w:vAlign w:val="center"/>
                </w:tcPr>
                <w:p w14:paraId="65100A6E">
                  <w:pPr>
                    <w:jc w:val="center"/>
                    <w:rPr>
                      <w:rFonts w:ascii="Times New Roman" w:hAnsi="Times New Roman" w:cs="宋体"/>
                      <w:color w:val="auto"/>
                      <w:szCs w:val="21"/>
                      <w:highlight w:val="none"/>
                    </w:rPr>
                  </w:pPr>
                </w:p>
              </w:tc>
              <w:tc>
                <w:tcPr>
                  <w:tcW w:w="871" w:type="dxa"/>
                  <w:vMerge w:val="continue"/>
                  <w:tcBorders>
                    <w:tl2br w:val="nil"/>
                    <w:tr2bl w:val="nil"/>
                  </w:tcBorders>
                  <w:shd w:val="clear" w:color="auto" w:fill="auto"/>
                  <w:vAlign w:val="center"/>
                </w:tcPr>
                <w:p w14:paraId="295E9B0E">
                  <w:pPr>
                    <w:jc w:val="center"/>
                    <w:rPr>
                      <w:rFonts w:ascii="Times New Roman" w:hAnsi="Times New Roman"/>
                      <w:color w:val="auto"/>
                      <w:szCs w:val="21"/>
                      <w:highlight w:val="none"/>
                    </w:rPr>
                  </w:pPr>
                </w:p>
              </w:tc>
              <w:tc>
                <w:tcPr>
                  <w:tcW w:w="686" w:type="dxa"/>
                  <w:tcBorders>
                    <w:tl2br w:val="nil"/>
                    <w:tr2bl w:val="nil"/>
                  </w:tcBorders>
                  <w:shd w:val="clear" w:color="auto" w:fill="auto"/>
                  <w:vAlign w:val="center"/>
                </w:tcPr>
                <w:p w14:paraId="71B12357">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szCs w:val="21"/>
                      <w:highlight w:val="none"/>
                      <w:lang w:val="en-US" w:eastAsia="zh-CN"/>
                    </w:rPr>
                    <w:t>武湖</w:t>
                  </w:r>
                </w:p>
              </w:tc>
              <w:tc>
                <w:tcPr>
                  <w:tcW w:w="690" w:type="dxa"/>
                  <w:tcBorders>
                    <w:tl2br w:val="nil"/>
                    <w:tr2bl w:val="nil"/>
                  </w:tcBorders>
                  <w:shd w:val="clear" w:color="auto" w:fill="auto"/>
                  <w:vAlign w:val="center"/>
                </w:tcPr>
                <w:p w14:paraId="40051379">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77</w:t>
                  </w:r>
                </w:p>
              </w:tc>
              <w:tc>
                <w:tcPr>
                  <w:tcW w:w="620" w:type="dxa"/>
                  <w:tcBorders>
                    <w:tl2br w:val="nil"/>
                    <w:tr2bl w:val="nil"/>
                  </w:tcBorders>
                  <w:shd w:val="clear" w:color="auto" w:fill="auto"/>
                  <w:vAlign w:val="center"/>
                </w:tcPr>
                <w:p w14:paraId="775DB07B">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324</w:t>
                  </w:r>
                </w:p>
              </w:tc>
              <w:tc>
                <w:tcPr>
                  <w:tcW w:w="695" w:type="dxa"/>
                  <w:tcBorders>
                    <w:tl2br w:val="nil"/>
                    <w:tr2bl w:val="nil"/>
                  </w:tcBorders>
                  <w:shd w:val="clear" w:color="auto" w:fill="auto"/>
                  <w:vAlign w:val="center"/>
                </w:tcPr>
                <w:p w14:paraId="3879766A">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596A377E">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100人</w:t>
                  </w:r>
                </w:p>
              </w:tc>
              <w:tc>
                <w:tcPr>
                  <w:tcW w:w="1601" w:type="dxa"/>
                  <w:vMerge w:val="continue"/>
                  <w:tcBorders>
                    <w:tl2br w:val="nil"/>
                    <w:tr2bl w:val="nil"/>
                  </w:tcBorders>
                  <w:shd w:val="clear" w:color="auto" w:fill="auto"/>
                  <w:vAlign w:val="center"/>
                </w:tcPr>
                <w:p w14:paraId="6DD7FCC3">
                  <w:pPr>
                    <w:jc w:val="center"/>
                    <w:rPr>
                      <w:rFonts w:ascii="Times New Roman" w:hAnsi="Times New Roman" w:cs="宋体"/>
                      <w:color w:val="auto"/>
                      <w:szCs w:val="21"/>
                      <w:highlight w:val="none"/>
                    </w:rPr>
                  </w:pPr>
                </w:p>
              </w:tc>
              <w:tc>
                <w:tcPr>
                  <w:tcW w:w="790" w:type="dxa"/>
                  <w:tcBorders>
                    <w:tl2br w:val="nil"/>
                    <w:tr2bl w:val="nil"/>
                  </w:tcBorders>
                  <w:shd w:val="clear" w:color="auto" w:fill="auto"/>
                  <w:vAlign w:val="center"/>
                </w:tcPr>
                <w:p w14:paraId="5C6ECE6A">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NEN</w:t>
                  </w:r>
                </w:p>
              </w:tc>
              <w:tc>
                <w:tcPr>
                  <w:tcW w:w="700" w:type="dxa"/>
                  <w:tcBorders>
                    <w:tl2br w:val="nil"/>
                    <w:tr2bl w:val="nil"/>
                  </w:tcBorders>
                  <w:shd w:val="clear" w:color="auto" w:fill="auto"/>
                  <w:vAlign w:val="center"/>
                </w:tcPr>
                <w:p w14:paraId="4947186D">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296</w:t>
                  </w:r>
                </w:p>
              </w:tc>
            </w:tr>
            <w:tr w14:paraId="2EC8B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63" w:type="dxa"/>
                  <w:vMerge w:val="continue"/>
                  <w:tcBorders>
                    <w:tl2br w:val="nil"/>
                    <w:tr2bl w:val="nil"/>
                  </w:tcBorders>
                  <w:shd w:val="clear" w:color="auto" w:fill="auto"/>
                  <w:vAlign w:val="center"/>
                </w:tcPr>
                <w:p w14:paraId="6F634648">
                  <w:pPr>
                    <w:jc w:val="center"/>
                    <w:rPr>
                      <w:rFonts w:ascii="Times New Roman" w:hAnsi="Times New Roman" w:cs="宋体"/>
                      <w:color w:val="auto"/>
                      <w:szCs w:val="21"/>
                      <w:highlight w:val="none"/>
                    </w:rPr>
                  </w:pPr>
                </w:p>
              </w:tc>
              <w:tc>
                <w:tcPr>
                  <w:tcW w:w="871" w:type="dxa"/>
                  <w:vMerge w:val="continue"/>
                  <w:tcBorders>
                    <w:tl2br w:val="nil"/>
                    <w:tr2bl w:val="nil"/>
                  </w:tcBorders>
                  <w:shd w:val="clear" w:color="auto" w:fill="auto"/>
                  <w:vAlign w:val="center"/>
                </w:tcPr>
                <w:p w14:paraId="65195809">
                  <w:pPr>
                    <w:jc w:val="center"/>
                    <w:rPr>
                      <w:rFonts w:ascii="Times New Roman" w:hAnsi="Times New Roman"/>
                      <w:color w:val="auto"/>
                      <w:szCs w:val="21"/>
                      <w:highlight w:val="none"/>
                    </w:rPr>
                  </w:pPr>
                </w:p>
              </w:tc>
              <w:tc>
                <w:tcPr>
                  <w:tcW w:w="686" w:type="dxa"/>
                  <w:tcBorders>
                    <w:tl2br w:val="nil"/>
                    <w:tr2bl w:val="nil"/>
                  </w:tcBorders>
                  <w:shd w:val="clear" w:color="auto" w:fill="auto"/>
                  <w:vAlign w:val="center"/>
                </w:tcPr>
                <w:p w14:paraId="60F3E862">
                  <w:pPr>
                    <w:widowControl/>
                    <w:jc w:val="center"/>
                    <w:textAlignment w:val="center"/>
                    <w:rPr>
                      <w:rFonts w:hint="default"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小胡庄</w:t>
                  </w:r>
                </w:p>
              </w:tc>
              <w:tc>
                <w:tcPr>
                  <w:tcW w:w="690" w:type="dxa"/>
                  <w:tcBorders>
                    <w:tl2br w:val="nil"/>
                    <w:tr2bl w:val="nil"/>
                  </w:tcBorders>
                  <w:shd w:val="clear" w:color="auto" w:fill="auto"/>
                  <w:vAlign w:val="center"/>
                </w:tcPr>
                <w:p w14:paraId="68E75CF1">
                  <w:pPr>
                    <w:widowControl/>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-144</w:t>
                  </w:r>
                </w:p>
              </w:tc>
              <w:tc>
                <w:tcPr>
                  <w:tcW w:w="620" w:type="dxa"/>
                  <w:tcBorders>
                    <w:tl2br w:val="nil"/>
                    <w:tr2bl w:val="nil"/>
                  </w:tcBorders>
                  <w:shd w:val="clear" w:color="auto" w:fill="auto"/>
                  <w:vAlign w:val="center"/>
                </w:tcPr>
                <w:p w14:paraId="747D2FF7">
                  <w:pPr>
                    <w:widowControl/>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w:t>
                  </w:r>
                </w:p>
              </w:tc>
              <w:tc>
                <w:tcPr>
                  <w:tcW w:w="695" w:type="dxa"/>
                  <w:tcBorders>
                    <w:tl2br w:val="nil"/>
                    <w:tr2bl w:val="nil"/>
                  </w:tcBorders>
                  <w:shd w:val="clear" w:color="auto" w:fill="auto"/>
                  <w:vAlign w:val="center"/>
                </w:tcPr>
                <w:p w14:paraId="16E859DF">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100E5305">
                  <w:pPr>
                    <w:widowControl/>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110人</w:t>
                  </w:r>
                </w:p>
              </w:tc>
              <w:tc>
                <w:tcPr>
                  <w:tcW w:w="1601" w:type="dxa"/>
                  <w:vMerge w:val="continue"/>
                  <w:tcBorders>
                    <w:tl2br w:val="nil"/>
                    <w:tr2bl w:val="nil"/>
                  </w:tcBorders>
                  <w:shd w:val="clear" w:color="auto" w:fill="auto"/>
                  <w:vAlign w:val="center"/>
                </w:tcPr>
                <w:p w14:paraId="6CB09E4C">
                  <w:pPr>
                    <w:jc w:val="center"/>
                    <w:rPr>
                      <w:rFonts w:ascii="Times New Roman" w:hAnsi="Times New Roman" w:cs="宋体"/>
                      <w:color w:val="auto"/>
                      <w:szCs w:val="21"/>
                      <w:highlight w:val="none"/>
                    </w:rPr>
                  </w:pPr>
                </w:p>
              </w:tc>
              <w:tc>
                <w:tcPr>
                  <w:tcW w:w="790" w:type="dxa"/>
                  <w:tcBorders>
                    <w:tl2br w:val="nil"/>
                    <w:tr2bl w:val="nil"/>
                  </w:tcBorders>
                  <w:shd w:val="clear" w:color="auto" w:fill="auto"/>
                  <w:vAlign w:val="center"/>
                </w:tcPr>
                <w:p w14:paraId="4B60F25E">
                  <w:pPr>
                    <w:widowControl/>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w:t>
                  </w:r>
                </w:p>
              </w:tc>
              <w:tc>
                <w:tcPr>
                  <w:tcW w:w="700" w:type="dxa"/>
                  <w:tcBorders>
                    <w:tl2br w:val="nil"/>
                    <w:tr2bl w:val="nil"/>
                  </w:tcBorders>
                  <w:shd w:val="clear" w:color="auto" w:fill="auto"/>
                  <w:vAlign w:val="center"/>
                </w:tcPr>
                <w:p w14:paraId="6842DC06">
                  <w:pPr>
                    <w:widowControl/>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144</w:t>
                  </w:r>
                </w:p>
              </w:tc>
            </w:tr>
            <w:tr w14:paraId="75F8F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63" w:type="dxa"/>
                  <w:vMerge w:val="continue"/>
                  <w:tcBorders>
                    <w:tl2br w:val="nil"/>
                    <w:tr2bl w:val="nil"/>
                  </w:tcBorders>
                  <w:shd w:val="clear" w:color="auto" w:fill="auto"/>
                  <w:vAlign w:val="center"/>
                </w:tcPr>
                <w:p w14:paraId="75BD2E33">
                  <w:pPr>
                    <w:jc w:val="center"/>
                    <w:rPr>
                      <w:rFonts w:ascii="Times New Roman" w:hAnsi="Times New Roman" w:cs="宋体"/>
                      <w:color w:val="auto"/>
                      <w:szCs w:val="21"/>
                      <w:highlight w:val="none"/>
                    </w:rPr>
                  </w:pPr>
                </w:p>
              </w:tc>
              <w:tc>
                <w:tcPr>
                  <w:tcW w:w="871" w:type="dxa"/>
                  <w:vMerge w:val="restart"/>
                  <w:tcBorders>
                    <w:tl2br w:val="nil"/>
                    <w:tr2bl w:val="nil"/>
                  </w:tcBorders>
                  <w:shd w:val="clear" w:color="auto" w:fill="auto"/>
                  <w:vAlign w:val="center"/>
                </w:tcPr>
                <w:p w14:paraId="04860169">
                  <w:pPr>
                    <w:widowControl/>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奥灰-1孔井场</w:t>
                  </w:r>
                </w:p>
              </w:tc>
              <w:tc>
                <w:tcPr>
                  <w:tcW w:w="686" w:type="dxa"/>
                  <w:tcBorders>
                    <w:tl2br w:val="nil"/>
                    <w:tr2bl w:val="nil"/>
                  </w:tcBorders>
                  <w:shd w:val="clear" w:color="auto" w:fill="auto"/>
                  <w:vAlign w:val="center"/>
                </w:tcPr>
                <w:p w14:paraId="168C78BE">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辛王庄</w:t>
                  </w:r>
                </w:p>
              </w:tc>
              <w:tc>
                <w:tcPr>
                  <w:tcW w:w="690" w:type="dxa"/>
                  <w:tcBorders>
                    <w:tl2br w:val="nil"/>
                    <w:tr2bl w:val="nil"/>
                  </w:tcBorders>
                  <w:shd w:val="clear" w:color="auto" w:fill="auto"/>
                  <w:vAlign w:val="center"/>
                </w:tcPr>
                <w:p w14:paraId="178A34BD">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360</w:t>
                  </w:r>
                </w:p>
              </w:tc>
              <w:tc>
                <w:tcPr>
                  <w:tcW w:w="620" w:type="dxa"/>
                  <w:tcBorders>
                    <w:tl2br w:val="nil"/>
                    <w:tr2bl w:val="nil"/>
                  </w:tcBorders>
                  <w:shd w:val="clear" w:color="auto" w:fill="auto"/>
                  <w:vAlign w:val="center"/>
                </w:tcPr>
                <w:p w14:paraId="2326DEB3">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195</w:t>
                  </w:r>
                </w:p>
              </w:tc>
              <w:tc>
                <w:tcPr>
                  <w:tcW w:w="695" w:type="dxa"/>
                  <w:tcBorders>
                    <w:tl2br w:val="nil"/>
                    <w:tr2bl w:val="nil"/>
                  </w:tcBorders>
                  <w:shd w:val="clear" w:color="auto" w:fill="auto"/>
                  <w:vAlign w:val="center"/>
                </w:tcPr>
                <w:p w14:paraId="187A906C">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2F0E7E34">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120人</w:t>
                  </w:r>
                </w:p>
              </w:tc>
              <w:tc>
                <w:tcPr>
                  <w:tcW w:w="1601" w:type="dxa"/>
                  <w:vMerge w:val="continue"/>
                  <w:tcBorders>
                    <w:tl2br w:val="nil"/>
                    <w:tr2bl w:val="nil"/>
                  </w:tcBorders>
                  <w:shd w:val="clear" w:color="auto" w:fill="auto"/>
                  <w:vAlign w:val="center"/>
                </w:tcPr>
                <w:p w14:paraId="1AFF70FC">
                  <w:pPr>
                    <w:jc w:val="center"/>
                    <w:rPr>
                      <w:rFonts w:ascii="Times New Roman" w:hAnsi="Times New Roman" w:cs="宋体"/>
                      <w:color w:val="auto"/>
                      <w:szCs w:val="21"/>
                      <w:highlight w:val="none"/>
                    </w:rPr>
                  </w:pPr>
                </w:p>
              </w:tc>
              <w:tc>
                <w:tcPr>
                  <w:tcW w:w="790" w:type="dxa"/>
                  <w:tcBorders>
                    <w:tl2br w:val="nil"/>
                    <w:tr2bl w:val="nil"/>
                  </w:tcBorders>
                  <w:shd w:val="clear" w:color="auto" w:fill="auto"/>
                  <w:vAlign w:val="center"/>
                </w:tcPr>
                <w:p w14:paraId="5F7B7551">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NE</w:t>
                  </w:r>
                </w:p>
              </w:tc>
              <w:tc>
                <w:tcPr>
                  <w:tcW w:w="700" w:type="dxa"/>
                  <w:tcBorders>
                    <w:tl2br w:val="nil"/>
                    <w:tr2bl w:val="nil"/>
                  </w:tcBorders>
                  <w:shd w:val="clear" w:color="auto" w:fill="auto"/>
                  <w:vAlign w:val="center"/>
                </w:tcPr>
                <w:p w14:paraId="65785D45">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376</w:t>
                  </w:r>
                </w:p>
              </w:tc>
            </w:tr>
            <w:tr w14:paraId="51CF7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63" w:type="dxa"/>
                  <w:vMerge w:val="continue"/>
                  <w:tcBorders>
                    <w:tl2br w:val="nil"/>
                    <w:tr2bl w:val="nil"/>
                  </w:tcBorders>
                  <w:shd w:val="clear" w:color="auto" w:fill="auto"/>
                  <w:vAlign w:val="center"/>
                </w:tcPr>
                <w:p w14:paraId="68B94277">
                  <w:pPr>
                    <w:jc w:val="center"/>
                    <w:rPr>
                      <w:rFonts w:ascii="Times New Roman" w:hAnsi="Times New Roman" w:cs="宋体"/>
                      <w:color w:val="auto"/>
                      <w:szCs w:val="21"/>
                      <w:highlight w:val="none"/>
                    </w:rPr>
                  </w:pPr>
                </w:p>
              </w:tc>
              <w:tc>
                <w:tcPr>
                  <w:tcW w:w="871" w:type="dxa"/>
                  <w:vMerge w:val="continue"/>
                  <w:tcBorders>
                    <w:tl2br w:val="nil"/>
                    <w:tr2bl w:val="nil"/>
                  </w:tcBorders>
                  <w:shd w:val="clear" w:color="auto" w:fill="auto"/>
                  <w:vAlign w:val="center"/>
                </w:tcPr>
                <w:p w14:paraId="49A73F5C">
                  <w:pPr>
                    <w:jc w:val="center"/>
                    <w:rPr>
                      <w:rFonts w:ascii="Times New Roman" w:hAnsi="Times New Roman"/>
                      <w:color w:val="auto"/>
                      <w:szCs w:val="21"/>
                      <w:highlight w:val="none"/>
                    </w:rPr>
                  </w:pPr>
                </w:p>
              </w:tc>
              <w:tc>
                <w:tcPr>
                  <w:tcW w:w="686" w:type="dxa"/>
                  <w:tcBorders>
                    <w:tl2br w:val="nil"/>
                    <w:tr2bl w:val="nil"/>
                  </w:tcBorders>
                  <w:shd w:val="clear" w:color="auto" w:fill="auto"/>
                  <w:vAlign w:val="center"/>
                </w:tcPr>
                <w:p w14:paraId="5CFACACC">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陈倪庄</w:t>
                  </w:r>
                </w:p>
              </w:tc>
              <w:tc>
                <w:tcPr>
                  <w:tcW w:w="690" w:type="dxa"/>
                  <w:tcBorders>
                    <w:tl2br w:val="nil"/>
                    <w:tr2bl w:val="nil"/>
                  </w:tcBorders>
                  <w:shd w:val="clear" w:color="auto" w:fill="auto"/>
                  <w:vAlign w:val="center"/>
                </w:tcPr>
                <w:p w14:paraId="660C6685">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-36</w:t>
                  </w:r>
                </w:p>
              </w:tc>
              <w:tc>
                <w:tcPr>
                  <w:tcW w:w="620" w:type="dxa"/>
                  <w:tcBorders>
                    <w:tl2br w:val="nil"/>
                    <w:tr2bl w:val="nil"/>
                  </w:tcBorders>
                  <w:shd w:val="clear" w:color="auto" w:fill="auto"/>
                  <w:vAlign w:val="center"/>
                </w:tcPr>
                <w:p w14:paraId="7FF2863F">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-75</w:t>
                  </w:r>
                </w:p>
              </w:tc>
              <w:tc>
                <w:tcPr>
                  <w:tcW w:w="695" w:type="dxa"/>
                  <w:tcBorders>
                    <w:tl2br w:val="nil"/>
                    <w:tr2bl w:val="nil"/>
                  </w:tcBorders>
                  <w:shd w:val="clear" w:color="auto" w:fill="auto"/>
                  <w:vAlign w:val="center"/>
                </w:tcPr>
                <w:p w14:paraId="5A5493DF">
                  <w:pPr>
                    <w:widowControl/>
                    <w:jc w:val="center"/>
                    <w:textAlignment w:val="center"/>
                    <w:rPr>
                      <w:rFonts w:ascii="Times New Roman" w:hAnsi="Times New Roman" w:cs="宋体"/>
                      <w:color w:val="auto"/>
                      <w:szCs w:val="21"/>
                      <w:highlight w:val="none"/>
                    </w:rPr>
                  </w:pPr>
                  <w:r>
                    <w:rPr>
                      <w:rFonts w:hint="eastAsia" w:ascii="Times New Roman" w:hAnsi="Times New Roman" w:cs="宋体"/>
                      <w:color w:val="auto"/>
                      <w:kern w:val="0"/>
                      <w:szCs w:val="21"/>
                      <w:highlight w:val="none"/>
                    </w:rPr>
                    <w:t>居民</w:t>
                  </w:r>
                </w:p>
              </w:tc>
              <w:tc>
                <w:tcPr>
                  <w:tcW w:w="804" w:type="dxa"/>
                  <w:tcBorders>
                    <w:tl2br w:val="nil"/>
                    <w:tr2bl w:val="nil"/>
                  </w:tcBorders>
                  <w:shd w:val="clear" w:color="auto" w:fill="auto"/>
                  <w:vAlign w:val="center"/>
                </w:tcPr>
                <w:p w14:paraId="749B33B9">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250人</w:t>
                  </w:r>
                </w:p>
              </w:tc>
              <w:tc>
                <w:tcPr>
                  <w:tcW w:w="1601" w:type="dxa"/>
                  <w:vMerge w:val="continue"/>
                  <w:tcBorders>
                    <w:tl2br w:val="nil"/>
                    <w:tr2bl w:val="nil"/>
                  </w:tcBorders>
                  <w:shd w:val="clear" w:color="auto" w:fill="auto"/>
                  <w:vAlign w:val="center"/>
                </w:tcPr>
                <w:p w14:paraId="01F655C9">
                  <w:pPr>
                    <w:jc w:val="center"/>
                    <w:rPr>
                      <w:rFonts w:ascii="Times New Roman" w:hAnsi="Times New Roman" w:cs="宋体"/>
                      <w:color w:val="auto"/>
                      <w:szCs w:val="21"/>
                      <w:highlight w:val="none"/>
                    </w:rPr>
                  </w:pPr>
                </w:p>
              </w:tc>
              <w:tc>
                <w:tcPr>
                  <w:tcW w:w="790" w:type="dxa"/>
                  <w:tcBorders>
                    <w:tl2br w:val="nil"/>
                    <w:tr2bl w:val="nil"/>
                  </w:tcBorders>
                  <w:shd w:val="clear" w:color="auto" w:fill="auto"/>
                  <w:vAlign w:val="center"/>
                </w:tcPr>
                <w:p w14:paraId="4D01DF59">
                  <w:pPr>
                    <w:widowControl/>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SW</w:t>
                  </w:r>
                </w:p>
              </w:tc>
              <w:tc>
                <w:tcPr>
                  <w:tcW w:w="700" w:type="dxa"/>
                  <w:tcBorders>
                    <w:tl2br w:val="nil"/>
                    <w:tr2bl w:val="nil"/>
                  </w:tcBorders>
                  <w:shd w:val="clear" w:color="auto" w:fill="auto"/>
                  <w:vAlign w:val="center"/>
                </w:tcPr>
                <w:p w14:paraId="5E9F7CED">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91</w:t>
                  </w:r>
                </w:p>
              </w:tc>
            </w:tr>
            <w:tr w14:paraId="7C4E8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920" w:type="dxa"/>
                  <w:gridSpan w:val="10"/>
                  <w:tcBorders>
                    <w:tl2br w:val="nil"/>
                    <w:tr2bl w:val="nil"/>
                  </w:tcBorders>
                  <w:shd w:val="clear" w:color="auto" w:fill="auto"/>
                  <w:vAlign w:val="center"/>
                </w:tcPr>
                <w:p w14:paraId="00EA217C">
                  <w:pPr>
                    <w:widowControl/>
                    <w:jc w:val="left"/>
                    <w:textAlignment w:val="center"/>
                    <w:rPr>
                      <w:rStyle w:val="48"/>
                      <w:rFonts w:hint="default" w:ascii="Times New Roman" w:hAnsi="Times New Roman"/>
                      <w:color w:val="auto"/>
                      <w:highlight w:val="none"/>
                    </w:rPr>
                  </w:pPr>
                  <w:r>
                    <w:rPr>
                      <w:rStyle w:val="48"/>
                      <w:rFonts w:hint="default" w:ascii="Times New Roman" w:hAnsi="Times New Roman"/>
                      <w:color w:val="auto"/>
                      <w:highlight w:val="none"/>
                    </w:rPr>
                    <w:t>注：本项目以各井场</w:t>
                  </w:r>
                  <w:r>
                    <w:rPr>
                      <w:rStyle w:val="48"/>
                      <w:rFonts w:hint="eastAsia" w:ascii="Times New Roman" w:hAnsi="Times New Roman"/>
                      <w:color w:val="auto"/>
                      <w:highlight w:val="none"/>
                      <w:lang w:val="en-US" w:eastAsia="zh-CN"/>
                    </w:rPr>
                    <w:t>西南角</w:t>
                  </w:r>
                  <w:r>
                    <w:rPr>
                      <w:rStyle w:val="48"/>
                      <w:rFonts w:hint="default" w:ascii="Times New Roman" w:hAnsi="Times New Roman"/>
                      <w:color w:val="auto"/>
                      <w:highlight w:val="none"/>
                    </w:rPr>
                    <w:t>为</w:t>
                  </w:r>
                  <w:r>
                    <w:rPr>
                      <w:rStyle w:val="48"/>
                      <w:rFonts w:hint="eastAsia" w:ascii="Times New Roman" w:hAnsi="Times New Roman"/>
                      <w:color w:val="auto"/>
                      <w:highlight w:val="none"/>
                      <w:lang w:val="en-US" w:eastAsia="zh-CN"/>
                    </w:rPr>
                    <w:t>坐标</w:t>
                  </w:r>
                  <w:r>
                    <w:rPr>
                      <w:rStyle w:val="48"/>
                      <w:rFonts w:hint="default" w:ascii="Times New Roman" w:hAnsi="Times New Roman"/>
                      <w:color w:val="auto"/>
                      <w:highlight w:val="none"/>
                    </w:rPr>
                    <w:t>原点，东侧方向为</w:t>
                  </w:r>
                  <w:r>
                    <w:rPr>
                      <w:rStyle w:val="49"/>
                      <w:color w:val="auto"/>
                      <w:highlight w:val="none"/>
                    </w:rPr>
                    <w:t>X</w:t>
                  </w:r>
                  <w:r>
                    <w:rPr>
                      <w:rStyle w:val="48"/>
                      <w:rFonts w:hint="default" w:ascii="Times New Roman" w:hAnsi="Times New Roman"/>
                      <w:color w:val="auto"/>
                      <w:highlight w:val="none"/>
                    </w:rPr>
                    <w:t>轴、北侧方向为</w:t>
                  </w:r>
                  <w:r>
                    <w:rPr>
                      <w:rStyle w:val="49"/>
                      <w:color w:val="auto"/>
                      <w:highlight w:val="none"/>
                    </w:rPr>
                    <w:t>Y</w:t>
                  </w:r>
                  <w:r>
                    <w:rPr>
                      <w:rStyle w:val="48"/>
                      <w:rFonts w:hint="default" w:ascii="Times New Roman" w:hAnsi="Times New Roman"/>
                      <w:color w:val="auto"/>
                      <w:highlight w:val="none"/>
                    </w:rPr>
                    <w:t>轴，建立坐标系。各井场涉及相同保护目标，保护内容以村庄总人数进行统计</w:t>
                  </w:r>
                </w:p>
              </w:tc>
            </w:tr>
          </w:tbl>
          <w:p w14:paraId="485C4F6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2、声环境</w:t>
            </w:r>
          </w:p>
          <w:p w14:paraId="75A9857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本项目各井场外200m范围内声环境保护目标详见下表。</w:t>
            </w:r>
          </w:p>
          <w:p w14:paraId="48ED2A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表3-5  项目声环境保护目标一览表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945"/>
              <w:gridCol w:w="473"/>
              <w:gridCol w:w="601"/>
              <w:gridCol w:w="531"/>
              <w:gridCol w:w="345"/>
              <w:gridCol w:w="775"/>
              <w:gridCol w:w="616"/>
              <w:gridCol w:w="1531"/>
              <w:gridCol w:w="1566"/>
            </w:tblGrid>
            <w:tr w14:paraId="70AFE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450" w:type="dxa"/>
                  <w:vMerge w:val="restart"/>
                  <w:tcBorders>
                    <w:tl2br w:val="nil"/>
                    <w:tr2bl w:val="nil"/>
                  </w:tcBorders>
                  <w:shd w:val="clear" w:color="auto" w:fill="auto"/>
                  <w:vAlign w:val="center"/>
                </w:tcPr>
                <w:p w14:paraId="5A894E3C">
                  <w:pPr>
                    <w:widowControl/>
                    <w:jc w:val="center"/>
                    <w:textAlignment w:val="center"/>
                    <w:rPr>
                      <w:rFonts w:hint="eastAsia" w:ascii="Times New Roman" w:hAnsi="Times New Roman" w:eastAsia="宋体" w:cs="宋体"/>
                      <w:b/>
                      <w:bCs/>
                      <w:color w:val="auto"/>
                      <w:kern w:val="0"/>
                      <w:szCs w:val="21"/>
                      <w:highlight w:val="none"/>
                      <w:lang w:eastAsia="zh-CN"/>
                    </w:rPr>
                  </w:pPr>
                  <w:r>
                    <w:rPr>
                      <w:rFonts w:hint="eastAsia" w:ascii="Times New Roman" w:hAnsi="Times New Roman" w:cs="宋体"/>
                      <w:b/>
                      <w:bCs/>
                      <w:color w:val="auto"/>
                      <w:kern w:val="0"/>
                      <w:szCs w:val="21"/>
                      <w:highlight w:val="none"/>
                      <w:lang w:val="en-US" w:eastAsia="zh-CN"/>
                    </w:rPr>
                    <w:t>序号</w:t>
                  </w:r>
                </w:p>
              </w:tc>
              <w:tc>
                <w:tcPr>
                  <w:tcW w:w="945" w:type="dxa"/>
                  <w:vMerge w:val="restart"/>
                  <w:tcBorders>
                    <w:tl2br w:val="nil"/>
                    <w:tr2bl w:val="nil"/>
                  </w:tcBorders>
                  <w:shd w:val="clear" w:color="auto" w:fill="auto"/>
                  <w:vAlign w:val="center"/>
                </w:tcPr>
                <w:p w14:paraId="244740D8">
                  <w:pPr>
                    <w:widowControl/>
                    <w:jc w:val="center"/>
                    <w:textAlignment w:val="center"/>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cs="宋体"/>
                      <w:b/>
                      <w:bCs/>
                      <w:color w:val="auto"/>
                      <w:kern w:val="0"/>
                      <w:szCs w:val="21"/>
                      <w:highlight w:val="none"/>
                    </w:rPr>
                    <w:t>区域</w:t>
                  </w:r>
                </w:p>
              </w:tc>
              <w:tc>
                <w:tcPr>
                  <w:tcW w:w="473" w:type="dxa"/>
                  <w:vMerge w:val="restart"/>
                  <w:tcBorders>
                    <w:tl2br w:val="nil"/>
                    <w:tr2bl w:val="nil"/>
                  </w:tcBorders>
                  <w:shd w:val="clear" w:color="auto" w:fill="auto"/>
                  <w:vAlign w:val="center"/>
                </w:tcPr>
                <w:p w14:paraId="0312B5CD">
                  <w:pPr>
                    <w:widowControl/>
                    <w:jc w:val="center"/>
                    <w:textAlignment w:val="center"/>
                    <w:rPr>
                      <w:rFonts w:ascii="Times New Roman" w:hAnsi="Times New Roman" w:cs="宋体"/>
                      <w:b/>
                      <w:bCs/>
                      <w:color w:val="auto"/>
                      <w:szCs w:val="21"/>
                      <w:highlight w:val="none"/>
                    </w:rPr>
                  </w:pPr>
                  <w:r>
                    <w:rPr>
                      <w:rFonts w:hint="eastAsia" w:ascii="Times New Roman" w:hAnsi="Times New Roman" w:cs="宋体"/>
                      <w:b/>
                      <w:bCs/>
                      <w:color w:val="auto"/>
                      <w:kern w:val="0"/>
                      <w:szCs w:val="21"/>
                      <w:highlight w:val="none"/>
                    </w:rPr>
                    <w:t>名称</w:t>
                  </w:r>
                </w:p>
              </w:tc>
              <w:tc>
                <w:tcPr>
                  <w:tcW w:w="1477" w:type="dxa"/>
                  <w:gridSpan w:val="3"/>
                  <w:tcBorders>
                    <w:tl2br w:val="nil"/>
                    <w:tr2bl w:val="nil"/>
                  </w:tcBorders>
                  <w:shd w:val="clear" w:color="auto" w:fill="auto"/>
                  <w:vAlign w:val="center"/>
                </w:tcPr>
                <w:p w14:paraId="33C14F1A">
                  <w:pPr>
                    <w:widowControl/>
                    <w:jc w:val="center"/>
                    <w:textAlignment w:val="center"/>
                    <w:rPr>
                      <w:rFonts w:hint="eastAsia" w:ascii="Times New Roman" w:hAnsi="Times New Roman" w:cs="宋体"/>
                      <w:b/>
                      <w:bCs/>
                      <w:color w:val="auto"/>
                      <w:kern w:val="0"/>
                      <w:szCs w:val="21"/>
                      <w:highlight w:val="none"/>
                    </w:rPr>
                  </w:pPr>
                  <w:r>
                    <w:rPr>
                      <w:rFonts w:hint="eastAsia" w:ascii="Times New Roman" w:hAnsi="Times New Roman"/>
                      <w:b/>
                      <w:bCs/>
                      <w:color w:val="auto"/>
                      <w:szCs w:val="21"/>
                      <w:highlight w:val="none"/>
                      <w:lang w:val="en-US" w:eastAsia="zh-CN"/>
                    </w:rPr>
                    <w:t>空间相对位置</w:t>
                  </w:r>
                </w:p>
              </w:tc>
              <w:tc>
                <w:tcPr>
                  <w:tcW w:w="775" w:type="dxa"/>
                  <w:vMerge w:val="restart"/>
                  <w:tcBorders>
                    <w:tl2br w:val="nil"/>
                    <w:tr2bl w:val="nil"/>
                  </w:tcBorders>
                  <w:shd w:val="clear" w:color="auto" w:fill="auto"/>
                  <w:vAlign w:val="center"/>
                </w:tcPr>
                <w:p w14:paraId="1067B55A">
                  <w:pPr>
                    <w:widowControl/>
                    <w:jc w:val="center"/>
                    <w:textAlignment w:val="center"/>
                    <w:rPr>
                      <w:rFonts w:hint="default" w:ascii="Times New Roman" w:hAnsi="Times New Roman" w:eastAsia="宋体" w:cs="宋体"/>
                      <w:b/>
                      <w:bCs/>
                      <w:color w:val="auto"/>
                      <w:szCs w:val="21"/>
                      <w:highlight w:val="none"/>
                      <w:lang w:val="en-US" w:eastAsia="zh-CN"/>
                    </w:rPr>
                  </w:pPr>
                  <w:r>
                    <w:rPr>
                      <w:rFonts w:hint="eastAsia" w:ascii="Times New Roman" w:hAnsi="Times New Roman" w:cs="宋体"/>
                      <w:b/>
                      <w:bCs/>
                      <w:color w:val="auto"/>
                      <w:szCs w:val="21"/>
                      <w:highlight w:val="none"/>
                      <w:lang w:val="en-US" w:eastAsia="zh-CN"/>
                    </w:rPr>
                    <w:t>距厂界最近距离</w:t>
                  </w:r>
                </w:p>
              </w:tc>
              <w:tc>
                <w:tcPr>
                  <w:tcW w:w="616" w:type="dxa"/>
                  <w:vMerge w:val="restart"/>
                  <w:tcBorders>
                    <w:tl2br w:val="nil"/>
                    <w:tr2bl w:val="nil"/>
                  </w:tcBorders>
                  <w:shd w:val="clear" w:color="auto" w:fill="auto"/>
                  <w:vAlign w:val="center"/>
                </w:tcPr>
                <w:p w14:paraId="714A850A">
                  <w:pPr>
                    <w:widowControl/>
                    <w:jc w:val="center"/>
                    <w:textAlignment w:val="center"/>
                    <w:rPr>
                      <w:rFonts w:hint="eastAsia" w:ascii="Times New Roman" w:hAnsi="Times New Roman" w:eastAsia="宋体" w:cs="宋体"/>
                      <w:b/>
                      <w:bCs/>
                      <w:color w:val="auto"/>
                      <w:szCs w:val="21"/>
                      <w:highlight w:val="none"/>
                      <w:lang w:val="en-US" w:eastAsia="zh-CN"/>
                    </w:rPr>
                  </w:pPr>
                  <w:r>
                    <w:rPr>
                      <w:rFonts w:hint="eastAsia" w:ascii="Times New Roman" w:hAnsi="Times New Roman" w:cs="宋体"/>
                      <w:b/>
                      <w:bCs/>
                      <w:color w:val="auto"/>
                      <w:szCs w:val="21"/>
                      <w:highlight w:val="none"/>
                      <w:lang w:val="en-US" w:eastAsia="zh-CN"/>
                    </w:rPr>
                    <w:t>方位</w:t>
                  </w:r>
                </w:p>
              </w:tc>
              <w:tc>
                <w:tcPr>
                  <w:tcW w:w="1531" w:type="dxa"/>
                  <w:vMerge w:val="restart"/>
                  <w:tcBorders>
                    <w:tl2br w:val="nil"/>
                    <w:tr2bl w:val="nil"/>
                  </w:tcBorders>
                  <w:shd w:val="clear" w:color="auto" w:fill="auto"/>
                  <w:vAlign w:val="center"/>
                </w:tcPr>
                <w:p w14:paraId="02622ABF">
                  <w:pPr>
                    <w:widowControl/>
                    <w:jc w:val="center"/>
                    <w:textAlignment w:val="center"/>
                    <w:rPr>
                      <w:rFonts w:hint="default" w:ascii="Times New Roman" w:hAnsi="Times New Roman" w:eastAsia="宋体" w:cs="宋体"/>
                      <w:b/>
                      <w:bCs/>
                      <w:color w:val="auto"/>
                      <w:szCs w:val="21"/>
                      <w:highlight w:val="none"/>
                      <w:lang w:val="en-US" w:eastAsia="zh-CN"/>
                    </w:rPr>
                  </w:pPr>
                  <w:r>
                    <w:rPr>
                      <w:rFonts w:hint="eastAsia" w:ascii="Times New Roman" w:hAnsi="Times New Roman" w:cs="宋体"/>
                      <w:b/>
                      <w:bCs/>
                      <w:color w:val="auto"/>
                      <w:szCs w:val="21"/>
                      <w:highlight w:val="none"/>
                      <w:lang w:val="en-US" w:eastAsia="zh-CN"/>
                    </w:rPr>
                    <w:t>功能区类别</w:t>
                  </w:r>
                </w:p>
              </w:tc>
              <w:tc>
                <w:tcPr>
                  <w:tcW w:w="1566" w:type="dxa"/>
                  <w:vMerge w:val="restart"/>
                  <w:tcBorders>
                    <w:tl2br w:val="nil"/>
                    <w:tr2bl w:val="nil"/>
                  </w:tcBorders>
                  <w:shd w:val="clear" w:color="auto" w:fill="auto"/>
                  <w:vAlign w:val="center"/>
                </w:tcPr>
                <w:p w14:paraId="26EE8512">
                  <w:pPr>
                    <w:widowControl/>
                    <w:jc w:val="center"/>
                    <w:textAlignment w:val="center"/>
                    <w:rPr>
                      <w:rFonts w:hint="default" w:ascii="Times New Roman" w:hAnsi="Times New Roman" w:eastAsia="宋体" w:cs="宋体"/>
                      <w:b/>
                      <w:bCs/>
                      <w:color w:val="auto"/>
                      <w:szCs w:val="21"/>
                      <w:highlight w:val="none"/>
                      <w:lang w:val="en-US" w:eastAsia="zh-CN"/>
                    </w:rPr>
                  </w:pPr>
                  <w:r>
                    <w:rPr>
                      <w:rFonts w:hint="eastAsia" w:ascii="Times New Roman" w:hAnsi="Times New Roman" w:cs="宋体"/>
                      <w:b/>
                      <w:bCs/>
                      <w:color w:val="auto"/>
                      <w:kern w:val="0"/>
                      <w:szCs w:val="21"/>
                      <w:highlight w:val="none"/>
                      <w:lang w:val="en-US" w:eastAsia="zh-CN"/>
                    </w:rPr>
                    <w:t>情况说明</w:t>
                  </w:r>
                </w:p>
              </w:tc>
            </w:tr>
            <w:tr w14:paraId="7E13B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450" w:type="dxa"/>
                  <w:vMerge w:val="continue"/>
                  <w:tcBorders>
                    <w:tl2br w:val="nil"/>
                    <w:tr2bl w:val="nil"/>
                  </w:tcBorders>
                  <w:shd w:val="clear" w:color="auto" w:fill="auto"/>
                  <w:vAlign w:val="center"/>
                </w:tcPr>
                <w:p w14:paraId="6D24339A">
                  <w:pPr>
                    <w:widowControl/>
                    <w:jc w:val="center"/>
                    <w:textAlignment w:val="center"/>
                    <w:rPr>
                      <w:rFonts w:hint="eastAsia" w:ascii="Times New Roman" w:hAnsi="Times New Roman" w:cs="宋体"/>
                      <w:b/>
                      <w:bCs/>
                      <w:color w:val="auto"/>
                      <w:kern w:val="0"/>
                      <w:szCs w:val="21"/>
                      <w:highlight w:val="none"/>
                      <w:lang w:val="en-US" w:eastAsia="zh-CN"/>
                    </w:rPr>
                  </w:pPr>
                </w:p>
              </w:tc>
              <w:tc>
                <w:tcPr>
                  <w:tcW w:w="945" w:type="dxa"/>
                  <w:vMerge w:val="continue"/>
                  <w:tcBorders>
                    <w:tl2br w:val="nil"/>
                    <w:tr2bl w:val="nil"/>
                  </w:tcBorders>
                  <w:shd w:val="clear" w:color="auto" w:fill="auto"/>
                  <w:vAlign w:val="center"/>
                </w:tcPr>
                <w:p w14:paraId="3E151C33">
                  <w:pPr>
                    <w:widowControl/>
                    <w:jc w:val="center"/>
                    <w:textAlignment w:val="center"/>
                    <w:rPr>
                      <w:rFonts w:hint="eastAsia" w:ascii="Times New Roman" w:hAnsi="Times New Roman" w:cs="宋体"/>
                      <w:b/>
                      <w:bCs/>
                      <w:color w:val="auto"/>
                      <w:kern w:val="0"/>
                      <w:szCs w:val="21"/>
                      <w:highlight w:val="none"/>
                    </w:rPr>
                  </w:pPr>
                </w:p>
              </w:tc>
              <w:tc>
                <w:tcPr>
                  <w:tcW w:w="473" w:type="dxa"/>
                  <w:vMerge w:val="continue"/>
                  <w:tcBorders>
                    <w:tl2br w:val="nil"/>
                    <w:tr2bl w:val="nil"/>
                  </w:tcBorders>
                  <w:shd w:val="clear" w:color="auto" w:fill="auto"/>
                  <w:vAlign w:val="center"/>
                </w:tcPr>
                <w:p w14:paraId="3F203FEC">
                  <w:pPr>
                    <w:widowControl/>
                    <w:jc w:val="center"/>
                    <w:textAlignment w:val="center"/>
                    <w:rPr>
                      <w:rFonts w:hint="eastAsia" w:ascii="Times New Roman" w:hAnsi="Times New Roman" w:cs="宋体"/>
                      <w:b/>
                      <w:bCs/>
                      <w:color w:val="auto"/>
                      <w:kern w:val="0"/>
                      <w:szCs w:val="21"/>
                      <w:highlight w:val="none"/>
                    </w:rPr>
                  </w:pPr>
                </w:p>
              </w:tc>
              <w:tc>
                <w:tcPr>
                  <w:tcW w:w="601" w:type="dxa"/>
                  <w:tcBorders>
                    <w:tl2br w:val="nil"/>
                    <w:tr2bl w:val="nil"/>
                  </w:tcBorders>
                  <w:shd w:val="clear" w:color="auto" w:fill="auto"/>
                  <w:vAlign w:val="center"/>
                </w:tcPr>
                <w:p w14:paraId="0C6F6345">
                  <w:pPr>
                    <w:widowControl/>
                    <w:jc w:val="center"/>
                    <w:textAlignment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b/>
                      <w:bCs/>
                      <w:color w:val="auto"/>
                      <w:kern w:val="0"/>
                      <w:szCs w:val="21"/>
                      <w:highlight w:val="none"/>
                    </w:rPr>
                    <w:t>X</w:t>
                  </w:r>
                </w:p>
              </w:tc>
              <w:tc>
                <w:tcPr>
                  <w:tcW w:w="531" w:type="dxa"/>
                  <w:tcBorders>
                    <w:tl2br w:val="nil"/>
                    <w:tr2bl w:val="nil"/>
                  </w:tcBorders>
                  <w:shd w:val="clear" w:color="auto" w:fill="auto"/>
                  <w:vAlign w:val="center"/>
                </w:tcPr>
                <w:p w14:paraId="6B0AC6E1">
                  <w:pPr>
                    <w:widowControl/>
                    <w:jc w:val="center"/>
                    <w:textAlignment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b/>
                      <w:bCs/>
                      <w:color w:val="auto"/>
                      <w:kern w:val="0"/>
                      <w:szCs w:val="21"/>
                      <w:highlight w:val="none"/>
                    </w:rPr>
                    <w:t>Y</w:t>
                  </w:r>
                </w:p>
              </w:tc>
              <w:tc>
                <w:tcPr>
                  <w:tcW w:w="345" w:type="dxa"/>
                  <w:tcBorders>
                    <w:tl2br w:val="nil"/>
                    <w:tr2bl w:val="nil"/>
                  </w:tcBorders>
                  <w:shd w:val="clear" w:color="auto" w:fill="auto"/>
                  <w:vAlign w:val="center"/>
                </w:tcPr>
                <w:p w14:paraId="6F907299">
                  <w:pPr>
                    <w:widowControl/>
                    <w:jc w:val="center"/>
                    <w:textAlignment w:val="center"/>
                    <w:rPr>
                      <w:rFonts w:hint="default" w:ascii="Times New Roman" w:hAnsi="Times New Roman" w:eastAsia="宋体" w:cs="宋体"/>
                      <w:b/>
                      <w:bCs/>
                      <w:color w:val="auto"/>
                      <w:kern w:val="0"/>
                      <w:sz w:val="21"/>
                      <w:szCs w:val="21"/>
                      <w:highlight w:val="none"/>
                      <w:lang w:val="en-US" w:eastAsia="zh-CN" w:bidi="ar-SA"/>
                    </w:rPr>
                  </w:pPr>
                  <w:r>
                    <w:rPr>
                      <w:rFonts w:hint="eastAsia" w:ascii="Times New Roman" w:hAnsi="Times New Roman" w:cs="宋体"/>
                      <w:b/>
                      <w:bCs/>
                      <w:color w:val="auto"/>
                      <w:kern w:val="0"/>
                      <w:sz w:val="21"/>
                      <w:szCs w:val="21"/>
                      <w:highlight w:val="none"/>
                      <w:lang w:val="en-US" w:eastAsia="zh-CN" w:bidi="ar-SA"/>
                    </w:rPr>
                    <w:t>Z</w:t>
                  </w:r>
                </w:p>
              </w:tc>
              <w:tc>
                <w:tcPr>
                  <w:tcW w:w="775" w:type="dxa"/>
                  <w:vMerge w:val="continue"/>
                  <w:tcBorders>
                    <w:tl2br w:val="nil"/>
                    <w:tr2bl w:val="nil"/>
                  </w:tcBorders>
                  <w:shd w:val="clear" w:color="auto" w:fill="auto"/>
                  <w:vAlign w:val="center"/>
                </w:tcPr>
                <w:p w14:paraId="54D0156C">
                  <w:pPr>
                    <w:widowControl/>
                    <w:jc w:val="center"/>
                    <w:textAlignment w:val="center"/>
                    <w:rPr>
                      <w:rFonts w:hint="eastAsia" w:ascii="Times New Roman" w:hAnsi="Times New Roman" w:cs="宋体"/>
                      <w:color w:val="auto"/>
                      <w:kern w:val="0"/>
                      <w:szCs w:val="21"/>
                      <w:highlight w:val="none"/>
                    </w:rPr>
                  </w:pPr>
                </w:p>
              </w:tc>
              <w:tc>
                <w:tcPr>
                  <w:tcW w:w="616" w:type="dxa"/>
                  <w:vMerge w:val="continue"/>
                  <w:tcBorders>
                    <w:tl2br w:val="nil"/>
                    <w:tr2bl w:val="nil"/>
                  </w:tcBorders>
                  <w:shd w:val="clear" w:color="auto" w:fill="auto"/>
                  <w:vAlign w:val="center"/>
                </w:tcPr>
                <w:p w14:paraId="32B236D6">
                  <w:pPr>
                    <w:widowControl/>
                    <w:jc w:val="center"/>
                    <w:textAlignment w:val="center"/>
                    <w:rPr>
                      <w:rFonts w:hint="eastAsia" w:ascii="Times New Roman" w:hAnsi="Times New Roman" w:cs="宋体"/>
                      <w:color w:val="auto"/>
                      <w:kern w:val="0"/>
                      <w:szCs w:val="21"/>
                      <w:highlight w:val="none"/>
                    </w:rPr>
                  </w:pPr>
                </w:p>
              </w:tc>
              <w:tc>
                <w:tcPr>
                  <w:tcW w:w="1531" w:type="dxa"/>
                  <w:vMerge w:val="continue"/>
                  <w:tcBorders>
                    <w:tl2br w:val="nil"/>
                    <w:tr2bl w:val="nil"/>
                  </w:tcBorders>
                  <w:shd w:val="clear" w:color="auto" w:fill="auto"/>
                  <w:vAlign w:val="center"/>
                </w:tcPr>
                <w:p w14:paraId="5B32B4AD">
                  <w:pPr>
                    <w:widowControl/>
                    <w:jc w:val="center"/>
                    <w:textAlignment w:val="center"/>
                    <w:rPr>
                      <w:rFonts w:hint="eastAsia" w:ascii="Times New Roman" w:hAnsi="Times New Roman" w:cs="宋体"/>
                      <w:color w:val="auto"/>
                      <w:kern w:val="0"/>
                      <w:szCs w:val="21"/>
                      <w:highlight w:val="none"/>
                    </w:rPr>
                  </w:pPr>
                </w:p>
              </w:tc>
              <w:tc>
                <w:tcPr>
                  <w:tcW w:w="1566" w:type="dxa"/>
                  <w:vMerge w:val="continue"/>
                  <w:tcBorders>
                    <w:tl2br w:val="nil"/>
                    <w:tr2bl w:val="nil"/>
                  </w:tcBorders>
                  <w:shd w:val="clear" w:color="auto" w:fill="auto"/>
                  <w:vAlign w:val="center"/>
                </w:tcPr>
                <w:p w14:paraId="15F24D27">
                  <w:pPr>
                    <w:widowControl/>
                    <w:jc w:val="center"/>
                    <w:textAlignment w:val="center"/>
                    <w:rPr>
                      <w:rFonts w:hint="eastAsia" w:ascii="Times New Roman" w:hAnsi="Times New Roman" w:cs="宋体"/>
                      <w:color w:val="auto"/>
                      <w:kern w:val="0"/>
                      <w:szCs w:val="21"/>
                      <w:highlight w:val="none"/>
                    </w:rPr>
                  </w:pPr>
                </w:p>
              </w:tc>
            </w:tr>
            <w:tr w14:paraId="11342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50" w:type="dxa"/>
                  <w:tcBorders>
                    <w:tl2br w:val="nil"/>
                    <w:tr2bl w:val="nil"/>
                  </w:tcBorders>
                  <w:shd w:val="clear" w:color="auto" w:fill="auto"/>
                  <w:vAlign w:val="center"/>
                </w:tcPr>
                <w:p w14:paraId="02071BB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945" w:type="dxa"/>
                  <w:tcBorders>
                    <w:tl2br w:val="nil"/>
                    <w:tr2bl w:val="nil"/>
                  </w:tcBorders>
                  <w:shd w:val="clear" w:color="auto" w:fill="auto"/>
                  <w:vAlign w:val="center"/>
                </w:tcPr>
                <w:p w14:paraId="2DA7A021">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39-B8井场</w:t>
                  </w:r>
                </w:p>
              </w:tc>
              <w:tc>
                <w:tcPr>
                  <w:tcW w:w="473" w:type="dxa"/>
                  <w:tcBorders>
                    <w:tl2br w:val="nil"/>
                    <w:tr2bl w:val="nil"/>
                  </w:tcBorders>
                  <w:shd w:val="clear" w:color="auto" w:fill="auto"/>
                  <w:vAlign w:val="center"/>
                </w:tcPr>
                <w:p w14:paraId="63300755">
                  <w:pPr>
                    <w:widowControl/>
                    <w:jc w:val="center"/>
                    <w:textAlignment w:val="center"/>
                    <w:rPr>
                      <w:rFonts w:hint="eastAsia" w:ascii="Times New Roman" w:hAnsi="Times New Roman" w:eastAsia="宋体" w:cs="宋体"/>
                      <w:color w:val="auto"/>
                      <w:szCs w:val="21"/>
                      <w:highlight w:val="none"/>
                      <w:lang w:val="en-US" w:eastAsia="zh-CN"/>
                    </w:rPr>
                  </w:pPr>
                  <w:r>
                    <w:rPr>
                      <w:rFonts w:hint="eastAsia" w:ascii="Times New Roman" w:hAnsi="Times New Roman" w:cs="宋体"/>
                      <w:color w:val="auto"/>
                      <w:kern w:val="0"/>
                      <w:szCs w:val="21"/>
                      <w:highlight w:val="none"/>
                      <w:lang w:val="en-US" w:eastAsia="zh-CN"/>
                    </w:rPr>
                    <w:t>小李</w:t>
                  </w:r>
                </w:p>
              </w:tc>
              <w:tc>
                <w:tcPr>
                  <w:tcW w:w="601" w:type="dxa"/>
                  <w:tcBorders>
                    <w:tl2br w:val="nil"/>
                    <w:tr2bl w:val="nil"/>
                  </w:tcBorders>
                  <w:shd w:val="clear" w:color="auto" w:fill="auto"/>
                  <w:vAlign w:val="center"/>
                </w:tcPr>
                <w:p w14:paraId="1398E1EA">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-197</w:t>
                  </w:r>
                </w:p>
              </w:tc>
              <w:tc>
                <w:tcPr>
                  <w:tcW w:w="531" w:type="dxa"/>
                  <w:tcBorders>
                    <w:tl2br w:val="nil"/>
                    <w:tr2bl w:val="nil"/>
                  </w:tcBorders>
                  <w:shd w:val="clear" w:color="auto" w:fill="auto"/>
                  <w:vAlign w:val="center"/>
                </w:tcPr>
                <w:p w14:paraId="456C34A2">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-14</w:t>
                  </w:r>
                </w:p>
              </w:tc>
              <w:tc>
                <w:tcPr>
                  <w:tcW w:w="345" w:type="dxa"/>
                  <w:tcBorders>
                    <w:tl2br w:val="nil"/>
                    <w:tr2bl w:val="nil"/>
                  </w:tcBorders>
                  <w:shd w:val="clear" w:color="auto" w:fill="auto"/>
                  <w:vAlign w:val="center"/>
                </w:tcPr>
                <w:p w14:paraId="5B6151C8">
                  <w:pPr>
                    <w:widowControl/>
                    <w:jc w:val="center"/>
                    <w:textAlignment w:val="center"/>
                    <w:rPr>
                      <w:rFonts w:hint="eastAsia" w:ascii="Times New Roman" w:hAnsi="Times New Roman" w:eastAsia="宋体" w:cs="宋体"/>
                      <w:color w:val="auto"/>
                      <w:kern w:val="0"/>
                      <w:szCs w:val="21"/>
                      <w:highlight w:val="none"/>
                      <w:lang w:val="en-US" w:eastAsia="zh-CN"/>
                    </w:rPr>
                  </w:pPr>
                  <w:r>
                    <w:rPr>
                      <w:rFonts w:hint="eastAsia" w:ascii="Times New Roman" w:hAnsi="Times New Roman" w:cs="宋体"/>
                      <w:color w:val="auto"/>
                      <w:kern w:val="0"/>
                      <w:szCs w:val="21"/>
                      <w:highlight w:val="none"/>
                      <w:lang w:val="en-US" w:eastAsia="zh-CN"/>
                    </w:rPr>
                    <w:t>1</w:t>
                  </w:r>
                </w:p>
              </w:tc>
              <w:tc>
                <w:tcPr>
                  <w:tcW w:w="775" w:type="dxa"/>
                  <w:tcBorders>
                    <w:tl2br w:val="nil"/>
                    <w:tr2bl w:val="nil"/>
                  </w:tcBorders>
                  <w:shd w:val="clear" w:color="auto" w:fill="auto"/>
                  <w:vAlign w:val="center"/>
                </w:tcPr>
                <w:p w14:paraId="13F0F665">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196</w:t>
                  </w:r>
                </w:p>
              </w:tc>
              <w:tc>
                <w:tcPr>
                  <w:tcW w:w="616" w:type="dxa"/>
                  <w:tcBorders>
                    <w:tl2br w:val="nil"/>
                    <w:tr2bl w:val="nil"/>
                  </w:tcBorders>
                  <w:shd w:val="clear" w:color="auto" w:fill="auto"/>
                  <w:vAlign w:val="center"/>
                </w:tcPr>
                <w:p w14:paraId="0CC92A7E">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SWW</w:t>
                  </w:r>
                </w:p>
              </w:tc>
              <w:tc>
                <w:tcPr>
                  <w:tcW w:w="1531" w:type="dxa"/>
                  <w:vMerge w:val="restart"/>
                  <w:tcBorders>
                    <w:tl2br w:val="nil"/>
                    <w:tr2bl w:val="nil"/>
                  </w:tcBorders>
                  <w:shd w:val="clear" w:color="auto" w:fill="auto"/>
                  <w:vAlign w:val="center"/>
                </w:tcPr>
                <w:p w14:paraId="03E8B013">
                  <w:pPr>
                    <w:widowControl/>
                    <w:jc w:val="center"/>
                    <w:textAlignment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eastAsia="zh-CN"/>
                    </w:rPr>
                    <w:t>《声环境质量标准》（GB3096-2008）1类标准</w:t>
                  </w:r>
                </w:p>
              </w:tc>
              <w:tc>
                <w:tcPr>
                  <w:tcW w:w="1566" w:type="dxa"/>
                  <w:tcBorders>
                    <w:tl2br w:val="nil"/>
                    <w:tr2bl w:val="nil"/>
                  </w:tcBorders>
                  <w:shd w:val="clear" w:color="auto" w:fill="auto"/>
                  <w:vAlign w:val="center"/>
                </w:tcPr>
                <w:p w14:paraId="0D44D308">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1-2层砖瓦结构，临近井场建筑物面朝南</w:t>
                  </w:r>
                </w:p>
              </w:tc>
            </w:tr>
            <w:tr w14:paraId="1A846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50" w:type="dxa"/>
                  <w:tcBorders>
                    <w:tl2br w:val="nil"/>
                    <w:tr2bl w:val="nil"/>
                  </w:tcBorders>
                  <w:shd w:val="clear" w:color="auto" w:fill="auto"/>
                  <w:vAlign w:val="center"/>
                </w:tcPr>
                <w:p w14:paraId="01ED266E">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945" w:type="dxa"/>
                  <w:vMerge w:val="restart"/>
                  <w:tcBorders>
                    <w:tl2br w:val="nil"/>
                    <w:tr2bl w:val="nil"/>
                  </w:tcBorders>
                  <w:shd w:val="clear" w:color="auto" w:fill="auto"/>
                  <w:vAlign w:val="center"/>
                </w:tcPr>
                <w:p w14:paraId="6773CB68">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40-B7井场）</w:t>
                  </w:r>
                </w:p>
              </w:tc>
              <w:tc>
                <w:tcPr>
                  <w:tcW w:w="473" w:type="dxa"/>
                  <w:tcBorders>
                    <w:tl2br w:val="nil"/>
                    <w:tr2bl w:val="nil"/>
                  </w:tcBorders>
                  <w:shd w:val="clear" w:color="auto" w:fill="auto"/>
                  <w:vAlign w:val="center"/>
                </w:tcPr>
                <w:p w14:paraId="4F9A0A1A">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kern w:val="0"/>
                      <w:szCs w:val="21"/>
                      <w:highlight w:val="none"/>
                      <w:lang w:val="en-US" w:eastAsia="zh-CN"/>
                    </w:rPr>
                    <w:t>小李</w:t>
                  </w:r>
                </w:p>
              </w:tc>
              <w:tc>
                <w:tcPr>
                  <w:tcW w:w="601" w:type="dxa"/>
                  <w:tcBorders>
                    <w:tl2br w:val="nil"/>
                    <w:tr2bl w:val="nil"/>
                  </w:tcBorders>
                  <w:shd w:val="clear" w:color="auto" w:fill="auto"/>
                  <w:vAlign w:val="center"/>
                </w:tcPr>
                <w:p w14:paraId="3FC39BF6">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123</w:t>
                  </w:r>
                </w:p>
              </w:tc>
              <w:tc>
                <w:tcPr>
                  <w:tcW w:w="531" w:type="dxa"/>
                  <w:tcBorders>
                    <w:tl2br w:val="nil"/>
                    <w:tr2bl w:val="nil"/>
                  </w:tcBorders>
                  <w:shd w:val="clear" w:color="auto" w:fill="auto"/>
                  <w:vAlign w:val="center"/>
                </w:tcPr>
                <w:p w14:paraId="1DF76776">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-69</w:t>
                  </w:r>
                </w:p>
              </w:tc>
              <w:tc>
                <w:tcPr>
                  <w:tcW w:w="345" w:type="dxa"/>
                  <w:tcBorders>
                    <w:tl2br w:val="nil"/>
                    <w:tr2bl w:val="nil"/>
                  </w:tcBorders>
                  <w:shd w:val="clear" w:color="auto" w:fill="auto"/>
                  <w:vAlign w:val="center"/>
                </w:tcPr>
                <w:p w14:paraId="66BCC2C6">
                  <w:pPr>
                    <w:widowControl/>
                    <w:jc w:val="center"/>
                    <w:textAlignment w:val="center"/>
                    <w:rPr>
                      <w:rFonts w:hint="eastAsia" w:ascii="Times New Roman" w:hAnsi="Times New Roman" w:eastAsia="宋体" w:cs="宋体"/>
                      <w:color w:val="auto"/>
                      <w:kern w:val="0"/>
                      <w:szCs w:val="21"/>
                      <w:highlight w:val="none"/>
                      <w:lang w:val="en-US" w:eastAsia="zh-CN"/>
                    </w:rPr>
                  </w:pPr>
                  <w:r>
                    <w:rPr>
                      <w:rFonts w:hint="eastAsia" w:ascii="Times New Roman" w:hAnsi="Times New Roman" w:cs="宋体"/>
                      <w:color w:val="auto"/>
                      <w:kern w:val="0"/>
                      <w:szCs w:val="21"/>
                      <w:highlight w:val="none"/>
                      <w:lang w:val="en-US" w:eastAsia="zh-CN"/>
                    </w:rPr>
                    <w:t>1</w:t>
                  </w:r>
                </w:p>
              </w:tc>
              <w:tc>
                <w:tcPr>
                  <w:tcW w:w="775" w:type="dxa"/>
                  <w:tcBorders>
                    <w:tl2br w:val="nil"/>
                    <w:tr2bl w:val="nil"/>
                  </w:tcBorders>
                  <w:shd w:val="clear" w:color="auto" w:fill="auto"/>
                  <w:vAlign w:val="center"/>
                </w:tcPr>
                <w:p w14:paraId="0D33A0C3">
                  <w:pPr>
                    <w:widowControl/>
                    <w:jc w:val="center"/>
                    <w:textAlignment w:val="center"/>
                    <w:rPr>
                      <w:rFonts w:hint="default" w:ascii="Times New Roman" w:hAnsi="Times New Roman" w:eastAsia="宋体" w:cs="宋体"/>
                      <w:color w:val="auto"/>
                      <w:szCs w:val="21"/>
                      <w:highlight w:val="none"/>
                      <w:lang w:val="en-US" w:eastAsia="zh-CN"/>
                    </w:rPr>
                  </w:pPr>
                  <w:r>
                    <w:rPr>
                      <w:rFonts w:hint="eastAsia" w:ascii="Times New Roman" w:hAnsi="Times New Roman" w:cs="宋体"/>
                      <w:color w:val="auto"/>
                      <w:szCs w:val="21"/>
                      <w:highlight w:val="none"/>
                      <w:lang w:val="en-US" w:eastAsia="zh-CN"/>
                    </w:rPr>
                    <w:t>105</w:t>
                  </w:r>
                </w:p>
              </w:tc>
              <w:tc>
                <w:tcPr>
                  <w:tcW w:w="616" w:type="dxa"/>
                  <w:tcBorders>
                    <w:tl2br w:val="nil"/>
                    <w:tr2bl w:val="nil"/>
                  </w:tcBorders>
                  <w:shd w:val="clear" w:color="auto" w:fill="auto"/>
                  <w:vAlign w:val="center"/>
                </w:tcPr>
                <w:p w14:paraId="3D8BE23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SES</w:t>
                  </w:r>
                </w:p>
              </w:tc>
              <w:tc>
                <w:tcPr>
                  <w:tcW w:w="1531" w:type="dxa"/>
                  <w:vMerge w:val="continue"/>
                  <w:tcBorders>
                    <w:tl2br w:val="nil"/>
                    <w:tr2bl w:val="nil"/>
                  </w:tcBorders>
                  <w:shd w:val="clear" w:color="auto" w:fill="auto"/>
                  <w:vAlign w:val="center"/>
                </w:tcPr>
                <w:p w14:paraId="4045DC4A">
                  <w:pPr>
                    <w:jc w:val="center"/>
                    <w:rPr>
                      <w:rFonts w:ascii="Times New Roman" w:hAnsi="Times New Roman" w:cs="宋体"/>
                      <w:color w:val="auto"/>
                      <w:szCs w:val="21"/>
                      <w:highlight w:val="none"/>
                    </w:rPr>
                  </w:pPr>
                </w:p>
              </w:tc>
              <w:tc>
                <w:tcPr>
                  <w:tcW w:w="1566" w:type="dxa"/>
                  <w:tcBorders>
                    <w:tl2br w:val="nil"/>
                    <w:tr2bl w:val="nil"/>
                  </w:tcBorders>
                  <w:shd w:val="clear" w:color="auto" w:fill="auto"/>
                  <w:vAlign w:val="center"/>
                </w:tcPr>
                <w:p w14:paraId="79A2D379">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1-2层砖瓦结构，临近井场建筑物面朝西</w:t>
                  </w:r>
                </w:p>
              </w:tc>
            </w:tr>
            <w:tr w14:paraId="38B4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50" w:type="dxa"/>
                  <w:tcBorders>
                    <w:tl2br w:val="nil"/>
                    <w:tr2bl w:val="nil"/>
                  </w:tcBorders>
                  <w:shd w:val="clear" w:color="auto" w:fill="auto"/>
                  <w:vAlign w:val="center"/>
                </w:tcPr>
                <w:p w14:paraId="3D5C98AE">
                  <w:pPr>
                    <w:widowControl/>
                    <w:jc w:val="center"/>
                    <w:textAlignment w:val="center"/>
                    <w:rPr>
                      <w:rFonts w:hint="default"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3</w:t>
                  </w:r>
                </w:p>
              </w:tc>
              <w:tc>
                <w:tcPr>
                  <w:tcW w:w="945" w:type="dxa"/>
                  <w:vMerge w:val="continue"/>
                  <w:tcBorders>
                    <w:tl2br w:val="nil"/>
                    <w:tr2bl w:val="nil"/>
                  </w:tcBorders>
                  <w:shd w:val="clear" w:color="auto" w:fill="auto"/>
                  <w:vAlign w:val="center"/>
                </w:tcPr>
                <w:p w14:paraId="1A282162">
                  <w:pPr>
                    <w:widowControl/>
                    <w:jc w:val="center"/>
                    <w:textAlignment w:val="center"/>
                    <w:rPr>
                      <w:rFonts w:hint="eastAsia" w:ascii="Times New Roman" w:hAnsi="Times New Roman" w:eastAsia="宋体" w:cs="宋体"/>
                      <w:color w:val="auto"/>
                      <w:kern w:val="2"/>
                      <w:sz w:val="21"/>
                      <w:szCs w:val="21"/>
                      <w:highlight w:val="none"/>
                      <w:lang w:val="en-US" w:eastAsia="zh-CN" w:bidi="ar-SA"/>
                    </w:rPr>
                  </w:pPr>
                </w:p>
              </w:tc>
              <w:tc>
                <w:tcPr>
                  <w:tcW w:w="473" w:type="dxa"/>
                  <w:tcBorders>
                    <w:tl2br w:val="nil"/>
                    <w:tr2bl w:val="nil"/>
                  </w:tcBorders>
                  <w:shd w:val="clear" w:color="auto" w:fill="auto"/>
                  <w:vAlign w:val="center"/>
                </w:tcPr>
                <w:p w14:paraId="6497CD07">
                  <w:pPr>
                    <w:widowControl/>
                    <w:jc w:val="center"/>
                    <w:textAlignment w:val="center"/>
                    <w:rPr>
                      <w:rFonts w:hint="default"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小胡庄</w:t>
                  </w:r>
                </w:p>
              </w:tc>
              <w:tc>
                <w:tcPr>
                  <w:tcW w:w="601" w:type="dxa"/>
                  <w:tcBorders>
                    <w:tl2br w:val="nil"/>
                    <w:tr2bl w:val="nil"/>
                  </w:tcBorders>
                  <w:shd w:val="clear" w:color="auto" w:fill="auto"/>
                  <w:vAlign w:val="center"/>
                </w:tcPr>
                <w:p w14:paraId="36CE8214">
                  <w:pPr>
                    <w:widowControl/>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-144</w:t>
                  </w:r>
                </w:p>
              </w:tc>
              <w:tc>
                <w:tcPr>
                  <w:tcW w:w="531" w:type="dxa"/>
                  <w:tcBorders>
                    <w:tl2br w:val="nil"/>
                    <w:tr2bl w:val="nil"/>
                  </w:tcBorders>
                  <w:shd w:val="clear" w:color="auto" w:fill="auto"/>
                  <w:vAlign w:val="center"/>
                </w:tcPr>
                <w:p w14:paraId="5A623B7E">
                  <w:pPr>
                    <w:widowControl/>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w:t>
                  </w:r>
                </w:p>
              </w:tc>
              <w:tc>
                <w:tcPr>
                  <w:tcW w:w="345" w:type="dxa"/>
                  <w:tcBorders>
                    <w:tl2br w:val="nil"/>
                    <w:tr2bl w:val="nil"/>
                  </w:tcBorders>
                  <w:shd w:val="clear" w:color="auto" w:fill="auto"/>
                  <w:vAlign w:val="center"/>
                </w:tcPr>
                <w:p w14:paraId="2E59D86E">
                  <w:pPr>
                    <w:widowControl/>
                    <w:jc w:val="center"/>
                    <w:textAlignment w:val="center"/>
                    <w:rPr>
                      <w:rFonts w:hint="eastAsia" w:ascii="Times New Roman" w:hAnsi="Times New Roman" w:eastAsia="宋体" w:cs="宋体"/>
                      <w:color w:val="auto"/>
                      <w:kern w:val="0"/>
                      <w:szCs w:val="21"/>
                      <w:highlight w:val="none"/>
                      <w:lang w:val="en-US" w:eastAsia="zh-CN"/>
                    </w:rPr>
                  </w:pPr>
                  <w:r>
                    <w:rPr>
                      <w:rFonts w:hint="eastAsia" w:ascii="Times New Roman" w:hAnsi="Times New Roman" w:cs="宋体"/>
                      <w:color w:val="auto"/>
                      <w:kern w:val="0"/>
                      <w:szCs w:val="21"/>
                      <w:highlight w:val="none"/>
                      <w:lang w:val="en-US" w:eastAsia="zh-CN"/>
                    </w:rPr>
                    <w:t>1</w:t>
                  </w:r>
                </w:p>
              </w:tc>
              <w:tc>
                <w:tcPr>
                  <w:tcW w:w="775" w:type="dxa"/>
                  <w:tcBorders>
                    <w:tl2br w:val="nil"/>
                    <w:tr2bl w:val="nil"/>
                  </w:tcBorders>
                  <w:shd w:val="clear" w:color="auto" w:fill="auto"/>
                  <w:vAlign w:val="center"/>
                </w:tcPr>
                <w:p w14:paraId="57258A9E">
                  <w:pPr>
                    <w:widowControl/>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144</w:t>
                  </w:r>
                </w:p>
              </w:tc>
              <w:tc>
                <w:tcPr>
                  <w:tcW w:w="616" w:type="dxa"/>
                  <w:tcBorders>
                    <w:tl2br w:val="nil"/>
                    <w:tr2bl w:val="nil"/>
                  </w:tcBorders>
                  <w:shd w:val="clear" w:color="auto" w:fill="auto"/>
                  <w:vAlign w:val="center"/>
                </w:tcPr>
                <w:p w14:paraId="65915434">
                  <w:pPr>
                    <w:widowControl/>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w:t>
                  </w:r>
                </w:p>
              </w:tc>
              <w:tc>
                <w:tcPr>
                  <w:tcW w:w="1531" w:type="dxa"/>
                  <w:vMerge w:val="continue"/>
                  <w:tcBorders>
                    <w:tl2br w:val="nil"/>
                    <w:tr2bl w:val="nil"/>
                  </w:tcBorders>
                  <w:shd w:val="clear" w:color="auto" w:fill="auto"/>
                  <w:vAlign w:val="center"/>
                </w:tcPr>
                <w:p w14:paraId="390A1D94">
                  <w:pPr>
                    <w:jc w:val="center"/>
                    <w:rPr>
                      <w:rFonts w:ascii="Times New Roman" w:hAnsi="Times New Roman" w:cs="宋体"/>
                      <w:color w:val="auto"/>
                      <w:szCs w:val="21"/>
                      <w:highlight w:val="none"/>
                    </w:rPr>
                  </w:pPr>
                </w:p>
              </w:tc>
              <w:tc>
                <w:tcPr>
                  <w:tcW w:w="1566" w:type="dxa"/>
                  <w:tcBorders>
                    <w:tl2br w:val="nil"/>
                    <w:tr2bl w:val="nil"/>
                  </w:tcBorders>
                  <w:shd w:val="clear" w:color="auto" w:fill="auto"/>
                  <w:vAlign w:val="center"/>
                </w:tcPr>
                <w:p w14:paraId="77FFB02D">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Cs w:val="21"/>
                      <w:highlight w:val="none"/>
                      <w:lang w:val="en-US" w:eastAsia="zh-CN"/>
                    </w:rPr>
                    <w:t>1-2层砖瓦结构，临近井场建筑物面朝西</w:t>
                  </w:r>
                </w:p>
              </w:tc>
            </w:tr>
            <w:tr w14:paraId="3BC08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50" w:type="dxa"/>
                  <w:tcBorders>
                    <w:tl2br w:val="nil"/>
                    <w:tr2bl w:val="nil"/>
                  </w:tcBorders>
                  <w:shd w:val="clear" w:color="auto" w:fill="auto"/>
                  <w:vAlign w:val="center"/>
                </w:tcPr>
                <w:p w14:paraId="2FF2F00A">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945" w:type="dxa"/>
                  <w:tcBorders>
                    <w:tl2br w:val="nil"/>
                    <w:tr2bl w:val="nil"/>
                  </w:tcBorders>
                  <w:shd w:val="clear" w:color="auto" w:fill="auto"/>
                  <w:vAlign w:val="center"/>
                </w:tcPr>
                <w:p w14:paraId="3CF3EF24">
                  <w:pPr>
                    <w:widowControl/>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奥灰-1孔井场</w:t>
                  </w:r>
                </w:p>
              </w:tc>
              <w:tc>
                <w:tcPr>
                  <w:tcW w:w="473" w:type="dxa"/>
                  <w:tcBorders>
                    <w:tl2br w:val="nil"/>
                    <w:tr2bl w:val="nil"/>
                  </w:tcBorders>
                  <w:shd w:val="clear" w:color="auto" w:fill="auto"/>
                  <w:vAlign w:val="center"/>
                </w:tcPr>
                <w:p w14:paraId="0004E3C3">
                  <w:pPr>
                    <w:widowControl/>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szCs w:val="21"/>
                      <w:highlight w:val="none"/>
                      <w:lang w:val="en-US" w:eastAsia="zh-CN"/>
                    </w:rPr>
                    <w:t>陈倪庄</w:t>
                  </w:r>
                </w:p>
              </w:tc>
              <w:tc>
                <w:tcPr>
                  <w:tcW w:w="601" w:type="dxa"/>
                  <w:tcBorders>
                    <w:tl2br w:val="nil"/>
                    <w:tr2bl w:val="nil"/>
                  </w:tcBorders>
                  <w:shd w:val="clear" w:color="auto" w:fill="auto"/>
                  <w:vAlign w:val="center"/>
                </w:tcPr>
                <w:p w14:paraId="0B2F52F9">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-36</w:t>
                  </w:r>
                </w:p>
              </w:tc>
              <w:tc>
                <w:tcPr>
                  <w:tcW w:w="531" w:type="dxa"/>
                  <w:tcBorders>
                    <w:tl2br w:val="nil"/>
                    <w:tr2bl w:val="nil"/>
                  </w:tcBorders>
                  <w:shd w:val="clear" w:color="auto" w:fill="auto"/>
                  <w:vAlign w:val="center"/>
                </w:tcPr>
                <w:p w14:paraId="64CDC3D0">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-75</w:t>
                  </w:r>
                </w:p>
              </w:tc>
              <w:tc>
                <w:tcPr>
                  <w:tcW w:w="345" w:type="dxa"/>
                  <w:tcBorders>
                    <w:tl2br w:val="nil"/>
                    <w:tr2bl w:val="nil"/>
                  </w:tcBorders>
                  <w:shd w:val="clear" w:color="auto" w:fill="auto"/>
                  <w:vAlign w:val="center"/>
                </w:tcPr>
                <w:p w14:paraId="57002CD3">
                  <w:pPr>
                    <w:widowControl/>
                    <w:jc w:val="center"/>
                    <w:textAlignment w:val="center"/>
                    <w:rPr>
                      <w:rFonts w:hint="default" w:ascii="Times New Roman" w:hAnsi="Times New Roman" w:eastAsia="宋体" w:cs="宋体"/>
                      <w:color w:val="auto"/>
                      <w:kern w:val="0"/>
                      <w:sz w:val="21"/>
                      <w:szCs w:val="21"/>
                      <w:highlight w:val="none"/>
                      <w:lang w:val="en-US" w:eastAsia="zh-CN" w:bidi="ar-SA"/>
                    </w:rPr>
                  </w:pPr>
                  <w:r>
                    <w:rPr>
                      <w:rFonts w:hint="eastAsia" w:ascii="Times New Roman" w:hAnsi="Times New Roman" w:cs="宋体"/>
                      <w:color w:val="auto"/>
                      <w:kern w:val="0"/>
                      <w:sz w:val="21"/>
                      <w:szCs w:val="21"/>
                      <w:highlight w:val="none"/>
                      <w:lang w:val="en-US" w:eastAsia="zh-CN" w:bidi="ar-SA"/>
                    </w:rPr>
                    <w:t>1</w:t>
                  </w:r>
                </w:p>
              </w:tc>
              <w:tc>
                <w:tcPr>
                  <w:tcW w:w="775" w:type="dxa"/>
                  <w:tcBorders>
                    <w:tl2br w:val="nil"/>
                    <w:tr2bl w:val="nil"/>
                  </w:tcBorders>
                  <w:shd w:val="clear" w:color="auto" w:fill="auto"/>
                  <w:vAlign w:val="center"/>
                </w:tcPr>
                <w:p w14:paraId="78920454">
                  <w:pPr>
                    <w:widowControl/>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color w:val="auto"/>
                      <w:kern w:val="2"/>
                      <w:sz w:val="21"/>
                      <w:szCs w:val="21"/>
                      <w:highlight w:val="none"/>
                      <w:lang w:val="en-US" w:eastAsia="zh-CN" w:bidi="ar-SA"/>
                    </w:rPr>
                    <w:t>91</w:t>
                  </w:r>
                </w:p>
              </w:tc>
              <w:tc>
                <w:tcPr>
                  <w:tcW w:w="616" w:type="dxa"/>
                  <w:tcBorders>
                    <w:tl2br w:val="nil"/>
                    <w:tr2bl w:val="nil"/>
                  </w:tcBorders>
                  <w:shd w:val="clear" w:color="auto" w:fill="auto"/>
                  <w:vAlign w:val="center"/>
                </w:tcPr>
                <w:p w14:paraId="6BA76D8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SW</w:t>
                  </w:r>
                </w:p>
              </w:tc>
              <w:tc>
                <w:tcPr>
                  <w:tcW w:w="1531" w:type="dxa"/>
                  <w:vMerge w:val="continue"/>
                  <w:tcBorders>
                    <w:tl2br w:val="nil"/>
                    <w:tr2bl w:val="nil"/>
                  </w:tcBorders>
                  <w:shd w:val="clear" w:color="auto" w:fill="auto"/>
                  <w:vAlign w:val="center"/>
                </w:tcPr>
                <w:p w14:paraId="3A04748D">
                  <w:pPr>
                    <w:jc w:val="center"/>
                    <w:rPr>
                      <w:rFonts w:ascii="Times New Roman" w:hAnsi="Times New Roman" w:cs="宋体"/>
                      <w:color w:val="auto"/>
                      <w:szCs w:val="21"/>
                      <w:highlight w:val="none"/>
                    </w:rPr>
                  </w:pPr>
                </w:p>
              </w:tc>
              <w:tc>
                <w:tcPr>
                  <w:tcW w:w="1566" w:type="dxa"/>
                  <w:tcBorders>
                    <w:tl2br w:val="nil"/>
                    <w:tr2bl w:val="nil"/>
                  </w:tcBorders>
                  <w:shd w:val="clear" w:color="auto" w:fill="auto"/>
                  <w:vAlign w:val="center"/>
                </w:tcPr>
                <w:p w14:paraId="07640C3A">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Cs w:val="21"/>
                      <w:highlight w:val="none"/>
                      <w:lang w:val="en-US" w:eastAsia="zh-CN"/>
                    </w:rPr>
                    <w:t>1-2层砖瓦结构，临近井场建筑物面朝南</w:t>
                  </w:r>
                </w:p>
              </w:tc>
            </w:tr>
          </w:tbl>
          <w:p w14:paraId="645E75E6">
            <w:pPr>
              <w:spacing w:line="360" w:lineRule="auto"/>
              <w:ind w:firstLine="482" w:firstLineChars="200"/>
              <w:rPr>
                <w:rFonts w:hint="default" w:ascii="Times New Roman" w:eastAsia="宋体"/>
                <w:b/>
                <w:bCs/>
                <w:snapToGrid w:val="0"/>
                <w:color w:val="auto"/>
                <w:kern w:val="0"/>
                <w:sz w:val="24"/>
                <w:szCs w:val="28"/>
                <w:highlight w:val="none"/>
                <w:lang w:val="en-US" w:eastAsia="zh-CN"/>
              </w:rPr>
            </w:pPr>
            <w:r>
              <w:rPr>
                <w:rFonts w:hint="eastAsia" w:ascii="Times New Roman"/>
                <w:b/>
                <w:bCs/>
                <w:snapToGrid w:val="0"/>
                <w:color w:val="auto"/>
                <w:kern w:val="0"/>
                <w:sz w:val="24"/>
                <w:szCs w:val="28"/>
                <w:highlight w:val="none"/>
                <w:lang w:val="en-US" w:eastAsia="zh-CN"/>
              </w:rPr>
              <w:t>3、生态环境</w:t>
            </w:r>
          </w:p>
          <w:p w14:paraId="5E701165">
            <w:pPr>
              <w:spacing w:line="360" w:lineRule="auto"/>
              <w:ind w:firstLine="480" w:firstLineChars="200"/>
              <w:rPr>
                <w:rFonts w:ascii="Times New Roman" w:hAnsi="Times New Roman"/>
                <w:color w:val="auto"/>
                <w:highlight w:val="none"/>
              </w:rPr>
            </w:pPr>
            <w:r>
              <w:rPr>
                <w:rFonts w:hint="eastAsia" w:ascii="Times New Roman"/>
                <w:snapToGrid w:val="0"/>
                <w:color w:val="auto"/>
                <w:kern w:val="0"/>
                <w:sz w:val="24"/>
                <w:szCs w:val="28"/>
                <w:highlight w:val="none"/>
                <w:lang w:val="en-US" w:eastAsia="zh-CN"/>
              </w:rPr>
              <w:t>本</w:t>
            </w:r>
            <w:r>
              <w:rPr>
                <w:rFonts w:hint="eastAsia" w:ascii="Times New Roman"/>
                <w:snapToGrid w:val="0"/>
                <w:color w:val="auto"/>
                <w:kern w:val="0"/>
                <w:sz w:val="24"/>
                <w:szCs w:val="28"/>
                <w:highlight w:val="none"/>
              </w:rPr>
              <w:t>项目</w:t>
            </w:r>
            <w:r>
              <w:rPr>
                <w:rFonts w:hint="eastAsia" w:ascii="Times New Roman"/>
                <w:snapToGrid w:val="0"/>
                <w:color w:val="auto"/>
                <w:kern w:val="0"/>
                <w:sz w:val="24"/>
                <w:szCs w:val="28"/>
                <w:highlight w:val="none"/>
                <w:lang w:val="en-US" w:eastAsia="zh-CN"/>
              </w:rPr>
              <w:t>各井场外</w:t>
            </w:r>
            <w:r>
              <w:rPr>
                <w:rFonts w:hint="eastAsia" w:ascii="Times New Roman"/>
                <w:snapToGrid w:val="0"/>
                <w:color w:val="auto"/>
                <w:kern w:val="0"/>
                <w:sz w:val="24"/>
                <w:szCs w:val="28"/>
                <w:highlight w:val="none"/>
              </w:rPr>
              <w:t>300m范围内</w:t>
            </w:r>
            <w:r>
              <w:rPr>
                <w:rFonts w:hint="eastAsia" w:ascii="Times New Roman"/>
                <w:snapToGrid w:val="0"/>
                <w:color w:val="auto"/>
                <w:kern w:val="0"/>
                <w:sz w:val="24"/>
                <w:szCs w:val="28"/>
                <w:highlight w:val="none"/>
                <w:lang w:val="en-US" w:eastAsia="zh-CN"/>
              </w:rPr>
              <w:t>生态环境保护目标主要为周边的</w:t>
            </w:r>
            <w:r>
              <w:rPr>
                <w:rFonts w:hint="eastAsia" w:ascii="Times New Roman"/>
                <w:snapToGrid w:val="0"/>
                <w:color w:val="auto"/>
                <w:kern w:val="0"/>
                <w:sz w:val="24"/>
                <w:szCs w:val="28"/>
                <w:highlight w:val="none"/>
              </w:rPr>
              <w:t>永久基本农田。</w:t>
            </w:r>
          </w:p>
        </w:tc>
      </w:tr>
      <w:tr w14:paraId="228C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4" w:type="dxa"/>
            <w:tcBorders>
              <w:tl2br w:val="nil"/>
              <w:tr2bl w:val="nil"/>
            </w:tcBorders>
            <w:noWrap/>
            <w:vAlign w:val="center"/>
          </w:tcPr>
          <w:p w14:paraId="2DEB05A8">
            <w:pPr>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评价</w:t>
            </w:r>
          </w:p>
          <w:p w14:paraId="386B7B8A">
            <w:pPr>
              <w:adjustRightInd w:val="0"/>
              <w:snapToGrid w:val="0"/>
              <w:jc w:val="center"/>
              <w:rPr>
                <w:rFonts w:ascii="Times New Roman" w:hAnsi="Times New Roman"/>
                <w:color w:val="auto"/>
                <w:kern w:val="0"/>
                <w:szCs w:val="21"/>
                <w:highlight w:val="none"/>
              </w:rPr>
            </w:pPr>
            <w:r>
              <w:rPr>
                <w:rFonts w:ascii="Times New Roman" w:hAnsi="Times New Roman"/>
                <w:color w:val="auto"/>
                <w:kern w:val="0"/>
                <w:sz w:val="24"/>
                <w:highlight w:val="none"/>
              </w:rPr>
              <w:t>标准</w:t>
            </w:r>
          </w:p>
        </w:tc>
        <w:tc>
          <w:tcPr>
            <w:tcW w:w="8068" w:type="dxa"/>
            <w:tcBorders>
              <w:tl2br w:val="nil"/>
              <w:tr2bl w:val="nil"/>
            </w:tcBorders>
            <w:noWrap/>
            <w:vAlign w:val="center"/>
          </w:tcPr>
          <w:p w14:paraId="788DF38C">
            <w:pPr>
              <w:widowControl/>
              <w:spacing w:line="360" w:lineRule="auto"/>
              <w:jc w:val="left"/>
              <w:rPr>
                <w:rFonts w:ascii="Times New Roman" w:hAnsi="Times New Roman"/>
                <w:color w:val="auto"/>
                <w:highlight w:val="none"/>
              </w:rPr>
            </w:pPr>
            <w:r>
              <w:rPr>
                <w:rFonts w:ascii="Times New Roman" w:hAnsi="Times New Roman"/>
                <w:b/>
                <w:bCs/>
                <w:color w:val="auto"/>
                <w:kern w:val="0"/>
                <w:sz w:val="24"/>
                <w:highlight w:val="none"/>
              </w:rPr>
              <w:t>一、环境质量标准</w:t>
            </w:r>
          </w:p>
          <w:p w14:paraId="4D0AD87B">
            <w:pPr>
              <w:spacing w:line="360" w:lineRule="auto"/>
              <w:ind w:firstLine="480" w:firstLineChars="200"/>
              <w:rPr>
                <w:rFonts w:ascii="Times New Roman" w:hAnsi="Times New Roman"/>
                <w:snapToGrid w:val="0"/>
                <w:color w:val="auto"/>
                <w:kern w:val="0"/>
                <w:sz w:val="24"/>
                <w:highlight w:val="none"/>
              </w:rPr>
            </w:pPr>
            <w:r>
              <w:rPr>
                <w:rFonts w:ascii="Times New Roman" w:hAnsi="Times New Roman"/>
                <w:color w:val="auto"/>
                <w:sz w:val="24"/>
                <w:highlight w:val="none"/>
              </w:rPr>
              <w:t>1、</w:t>
            </w:r>
            <w:r>
              <w:rPr>
                <w:rFonts w:ascii="Times New Roman"/>
                <w:snapToGrid w:val="0"/>
                <w:color w:val="auto"/>
                <w:kern w:val="0"/>
                <w:sz w:val="24"/>
                <w:szCs w:val="28"/>
                <w:highlight w:val="none"/>
              </w:rPr>
              <w:t>评价区域地表水淮河、茨淮新河、泥河</w:t>
            </w:r>
            <w:r>
              <w:rPr>
                <w:rFonts w:hint="eastAsia" w:ascii="Times New Roman"/>
                <w:snapToGrid w:val="0"/>
                <w:color w:val="auto"/>
                <w:kern w:val="0"/>
                <w:sz w:val="24"/>
                <w:szCs w:val="28"/>
                <w:highlight w:val="none"/>
              </w:rPr>
              <w:t>、利民新河</w:t>
            </w:r>
            <w:r>
              <w:rPr>
                <w:rFonts w:hint="eastAsia" w:ascii="Times New Roman"/>
                <w:snapToGrid w:val="0"/>
                <w:color w:val="auto"/>
                <w:kern w:val="0"/>
                <w:sz w:val="24"/>
                <w:szCs w:val="28"/>
                <w:highlight w:val="none"/>
                <w:lang w:eastAsia="zh-CN"/>
              </w:rPr>
              <w:t>、</w:t>
            </w:r>
            <w:r>
              <w:rPr>
                <w:rFonts w:hint="eastAsia" w:ascii="Times New Roman"/>
                <w:snapToGrid w:val="0"/>
                <w:color w:val="auto"/>
                <w:kern w:val="0"/>
                <w:sz w:val="24"/>
                <w:szCs w:val="28"/>
                <w:highlight w:val="none"/>
                <w:lang w:val="en-US" w:eastAsia="zh-CN"/>
              </w:rPr>
              <w:t>小黑河、西四支渠</w:t>
            </w:r>
            <w:r>
              <w:rPr>
                <w:rFonts w:ascii="Times New Roman"/>
                <w:snapToGrid w:val="0"/>
                <w:color w:val="auto"/>
                <w:kern w:val="0"/>
                <w:sz w:val="24"/>
                <w:szCs w:val="28"/>
                <w:highlight w:val="none"/>
              </w:rPr>
              <w:t>执行《地表水环境质量标准》（</w:t>
            </w:r>
            <w:r>
              <w:rPr>
                <w:rFonts w:ascii="Times New Roman" w:hAnsi="Times New Roman"/>
                <w:snapToGrid w:val="0"/>
                <w:color w:val="auto"/>
                <w:kern w:val="0"/>
                <w:sz w:val="24"/>
                <w:szCs w:val="28"/>
                <w:highlight w:val="none"/>
              </w:rPr>
              <w:t>GB3838-2002</w:t>
            </w:r>
            <w:r>
              <w:rPr>
                <w:rFonts w:ascii="Times New Roman"/>
                <w:snapToGrid w:val="0"/>
                <w:color w:val="auto"/>
                <w:kern w:val="0"/>
                <w:sz w:val="24"/>
                <w:szCs w:val="28"/>
                <w:highlight w:val="none"/>
              </w:rPr>
              <w:t>）</w:t>
            </w:r>
            <w:r>
              <w:rPr>
                <w:rFonts w:ascii="Times New Roman" w:hAnsi="Times New Roman"/>
                <w:snapToGrid w:val="0"/>
                <w:color w:val="auto"/>
                <w:kern w:val="0"/>
                <w:sz w:val="24"/>
                <w:szCs w:val="28"/>
                <w:highlight w:val="none"/>
              </w:rPr>
              <w:t>Ⅲ</w:t>
            </w:r>
            <w:r>
              <w:rPr>
                <w:rFonts w:ascii="Times New Roman"/>
                <w:snapToGrid w:val="0"/>
                <w:color w:val="auto"/>
                <w:kern w:val="0"/>
                <w:sz w:val="24"/>
                <w:szCs w:val="28"/>
                <w:highlight w:val="none"/>
              </w:rPr>
              <w:t>类标准。</w:t>
            </w:r>
          </w:p>
          <w:p w14:paraId="4A46AC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表3-6  水环境质量标准  单位：mg/L（pH除外）</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80"/>
              <w:gridCol w:w="755"/>
              <w:gridCol w:w="957"/>
              <w:gridCol w:w="997"/>
              <w:gridCol w:w="1042"/>
              <w:gridCol w:w="902"/>
            </w:tblGrid>
            <w:tr w14:paraId="6029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exact"/>
                <w:jc w:val="center"/>
              </w:trPr>
              <w:tc>
                <w:tcPr>
                  <w:tcW w:w="643" w:type="pct"/>
                  <w:noWrap/>
                  <w:vAlign w:val="center"/>
                </w:tcPr>
                <w:p w14:paraId="015FCC2F">
                  <w:pPr>
                    <w:widowControl/>
                    <w:jc w:val="center"/>
                    <w:rPr>
                      <w:rFonts w:ascii="Times New Roman" w:hAnsi="Times New Roman"/>
                      <w:b/>
                      <w:bCs/>
                      <w:color w:val="auto"/>
                      <w:szCs w:val="21"/>
                      <w:highlight w:val="none"/>
                    </w:rPr>
                  </w:pPr>
                  <w:r>
                    <w:rPr>
                      <w:rFonts w:ascii="Times New Roman"/>
                      <w:b/>
                      <w:bCs/>
                      <w:color w:val="auto"/>
                      <w:szCs w:val="21"/>
                      <w:highlight w:val="none"/>
                    </w:rPr>
                    <w:t>评价</w:t>
                  </w:r>
                </w:p>
                <w:p w14:paraId="7085110D">
                  <w:pPr>
                    <w:widowControl/>
                    <w:jc w:val="center"/>
                    <w:rPr>
                      <w:rFonts w:ascii="Times New Roman" w:hAnsi="Times New Roman"/>
                      <w:b/>
                      <w:bCs/>
                      <w:color w:val="auto"/>
                      <w:szCs w:val="21"/>
                      <w:highlight w:val="none"/>
                    </w:rPr>
                  </w:pPr>
                  <w:r>
                    <w:rPr>
                      <w:rFonts w:ascii="Times New Roman"/>
                      <w:b/>
                      <w:bCs/>
                      <w:color w:val="auto"/>
                      <w:szCs w:val="21"/>
                      <w:highlight w:val="none"/>
                    </w:rPr>
                    <w:t>水体</w:t>
                  </w:r>
                </w:p>
              </w:tc>
              <w:tc>
                <w:tcPr>
                  <w:tcW w:w="1389" w:type="pct"/>
                  <w:noWrap/>
                  <w:vAlign w:val="center"/>
                </w:tcPr>
                <w:p w14:paraId="73586F56">
                  <w:pPr>
                    <w:widowControl/>
                    <w:jc w:val="center"/>
                    <w:rPr>
                      <w:rFonts w:ascii="Times New Roman" w:hAnsi="Times New Roman"/>
                      <w:b/>
                      <w:bCs/>
                      <w:color w:val="auto"/>
                      <w:szCs w:val="21"/>
                      <w:highlight w:val="none"/>
                    </w:rPr>
                  </w:pPr>
                  <w:r>
                    <w:rPr>
                      <w:rFonts w:ascii="Times New Roman"/>
                      <w:b/>
                      <w:bCs/>
                      <w:color w:val="auto"/>
                      <w:szCs w:val="21"/>
                      <w:highlight w:val="none"/>
                    </w:rPr>
                    <w:t>标准</w:t>
                  </w:r>
                </w:p>
              </w:tc>
              <w:tc>
                <w:tcPr>
                  <w:tcW w:w="481" w:type="pct"/>
                  <w:noWrap/>
                  <w:vAlign w:val="center"/>
                </w:tcPr>
                <w:p w14:paraId="1DBD5B07">
                  <w:pPr>
                    <w:widowControl/>
                    <w:jc w:val="center"/>
                    <w:rPr>
                      <w:rFonts w:ascii="Times New Roman" w:hAnsi="Times New Roman"/>
                      <w:b/>
                      <w:bCs/>
                      <w:color w:val="auto"/>
                      <w:szCs w:val="21"/>
                      <w:highlight w:val="none"/>
                    </w:rPr>
                  </w:pPr>
                  <w:r>
                    <w:rPr>
                      <w:rFonts w:ascii="Times New Roman" w:hAnsi="Times New Roman"/>
                      <w:b/>
                      <w:bCs/>
                      <w:color w:val="auto"/>
                      <w:szCs w:val="21"/>
                      <w:highlight w:val="none"/>
                    </w:rPr>
                    <w:t>pH</w:t>
                  </w:r>
                </w:p>
              </w:tc>
              <w:tc>
                <w:tcPr>
                  <w:tcW w:w="610" w:type="pct"/>
                  <w:noWrap/>
                  <w:vAlign w:val="center"/>
                </w:tcPr>
                <w:p w14:paraId="26D124CB">
                  <w:pPr>
                    <w:widowControl/>
                    <w:jc w:val="center"/>
                    <w:rPr>
                      <w:rFonts w:ascii="Times New Roman" w:hAnsi="Times New Roman"/>
                      <w:b/>
                      <w:bCs/>
                      <w:color w:val="auto"/>
                      <w:szCs w:val="21"/>
                      <w:highlight w:val="none"/>
                    </w:rPr>
                  </w:pPr>
                  <w:r>
                    <w:rPr>
                      <w:rFonts w:ascii="Times New Roman" w:hAnsi="Times New Roman"/>
                      <w:b/>
                      <w:bCs/>
                      <w:color w:val="auto"/>
                      <w:szCs w:val="21"/>
                      <w:highlight w:val="none"/>
                    </w:rPr>
                    <w:t>COD</w:t>
                  </w:r>
                </w:p>
              </w:tc>
              <w:tc>
                <w:tcPr>
                  <w:tcW w:w="635" w:type="pct"/>
                  <w:noWrap/>
                  <w:vAlign w:val="center"/>
                </w:tcPr>
                <w:p w14:paraId="2B7D87F0">
                  <w:pPr>
                    <w:widowControl/>
                    <w:jc w:val="center"/>
                    <w:rPr>
                      <w:rFonts w:ascii="Times New Roman" w:hAnsi="Times New Roman"/>
                      <w:b/>
                      <w:bCs/>
                      <w:color w:val="auto"/>
                      <w:szCs w:val="21"/>
                      <w:highlight w:val="none"/>
                    </w:rPr>
                  </w:pPr>
                  <w:r>
                    <w:rPr>
                      <w:rFonts w:ascii="Times New Roman" w:hAnsi="Times New Roman"/>
                      <w:b/>
                      <w:bCs/>
                      <w:color w:val="auto"/>
                      <w:szCs w:val="21"/>
                      <w:highlight w:val="none"/>
                    </w:rPr>
                    <w:t>BOD</w:t>
                  </w:r>
                  <w:r>
                    <w:rPr>
                      <w:rFonts w:ascii="Times New Roman" w:hAnsi="Times New Roman"/>
                      <w:b/>
                      <w:bCs/>
                      <w:color w:val="auto"/>
                      <w:szCs w:val="21"/>
                      <w:highlight w:val="none"/>
                      <w:vertAlign w:val="subscript"/>
                    </w:rPr>
                    <w:t>5</w:t>
                  </w:r>
                </w:p>
              </w:tc>
              <w:tc>
                <w:tcPr>
                  <w:tcW w:w="664" w:type="pct"/>
                  <w:noWrap/>
                  <w:vAlign w:val="center"/>
                </w:tcPr>
                <w:p w14:paraId="45628F34">
                  <w:pPr>
                    <w:widowControl/>
                    <w:jc w:val="center"/>
                    <w:rPr>
                      <w:rFonts w:ascii="Times New Roman" w:hAnsi="Times New Roman"/>
                      <w:b/>
                      <w:bCs/>
                      <w:color w:val="auto"/>
                      <w:szCs w:val="21"/>
                      <w:highlight w:val="none"/>
                    </w:rPr>
                  </w:pPr>
                  <w:bookmarkStart w:id="8" w:name="_Toc4092"/>
                  <w:bookmarkStart w:id="9" w:name="_Toc226167590"/>
                  <w:bookmarkStart w:id="10" w:name="_Toc183433375"/>
                  <w:bookmarkStart w:id="11" w:name="_Toc225846357"/>
                  <w:bookmarkStart w:id="12" w:name="_Toc31879"/>
                  <w:r>
                    <w:rPr>
                      <w:rFonts w:ascii="Times New Roman" w:hAnsi="Times New Roman"/>
                      <w:b/>
                      <w:bCs/>
                      <w:color w:val="auto"/>
                      <w:szCs w:val="21"/>
                      <w:highlight w:val="none"/>
                    </w:rPr>
                    <w:t>NH</w:t>
                  </w:r>
                  <w:r>
                    <w:rPr>
                      <w:rFonts w:ascii="Times New Roman" w:hAnsi="Times New Roman"/>
                      <w:b/>
                      <w:bCs/>
                      <w:color w:val="auto"/>
                      <w:szCs w:val="21"/>
                      <w:highlight w:val="none"/>
                      <w:vertAlign w:val="subscript"/>
                    </w:rPr>
                    <w:t>3</w:t>
                  </w:r>
                  <w:r>
                    <w:rPr>
                      <w:rFonts w:ascii="Times New Roman" w:hAnsi="Times New Roman"/>
                      <w:b/>
                      <w:bCs/>
                      <w:color w:val="auto"/>
                      <w:szCs w:val="21"/>
                      <w:highlight w:val="none"/>
                    </w:rPr>
                    <w:t>-N</w:t>
                  </w:r>
                  <w:bookmarkEnd w:id="8"/>
                  <w:bookmarkEnd w:id="9"/>
                  <w:bookmarkEnd w:id="10"/>
                  <w:bookmarkEnd w:id="11"/>
                  <w:bookmarkEnd w:id="12"/>
                </w:p>
              </w:tc>
              <w:tc>
                <w:tcPr>
                  <w:tcW w:w="574" w:type="pct"/>
                  <w:noWrap/>
                  <w:vAlign w:val="center"/>
                </w:tcPr>
                <w:p w14:paraId="22E147C1">
                  <w:pPr>
                    <w:widowControl/>
                    <w:jc w:val="center"/>
                    <w:rPr>
                      <w:rFonts w:ascii="Times New Roman" w:hAnsi="Times New Roman"/>
                      <w:b/>
                      <w:bCs/>
                      <w:color w:val="auto"/>
                      <w:szCs w:val="21"/>
                      <w:highlight w:val="none"/>
                    </w:rPr>
                  </w:pPr>
                  <w:r>
                    <w:rPr>
                      <w:rFonts w:ascii="Times New Roman"/>
                      <w:b/>
                      <w:bCs/>
                      <w:color w:val="auto"/>
                      <w:szCs w:val="21"/>
                      <w:highlight w:val="none"/>
                    </w:rPr>
                    <w:t>石油类</w:t>
                  </w:r>
                </w:p>
              </w:tc>
            </w:tr>
            <w:tr w14:paraId="316D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exact"/>
                <w:jc w:val="center"/>
              </w:trPr>
              <w:tc>
                <w:tcPr>
                  <w:tcW w:w="643" w:type="pct"/>
                  <w:noWrap/>
                  <w:vAlign w:val="center"/>
                </w:tcPr>
                <w:p w14:paraId="783754DF">
                  <w:pPr>
                    <w:widowControl/>
                    <w:jc w:val="center"/>
                    <w:rPr>
                      <w:rFonts w:ascii="Times New Roman" w:hAnsi="Times New Roman"/>
                      <w:color w:val="auto"/>
                      <w:szCs w:val="21"/>
                      <w:highlight w:val="none"/>
                    </w:rPr>
                  </w:pPr>
                  <w:r>
                    <w:rPr>
                      <w:rFonts w:ascii="Times New Roman"/>
                      <w:color w:val="auto"/>
                      <w:szCs w:val="21"/>
                      <w:highlight w:val="none"/>
                    </w:rPr>
                    <w:t>淮河、茨淮新河、泥河</w:t>
                  </w:r>
                  <w:r>
                    <w:rPr>
                      <w:rFonts w:hint="eastAsia"/>
                      <w:color w:val="auto"/>
                      <w:highlight w:val="none"/>
                    </w:rPr>
                    <w:t>、利民新河</w:t>
                  </w:r>
                </w:p>
              </w:tc>
              <w:tc>
                <w:tcPr>
                  <w:tcW w:w="1389" w:type="pct"/>
                  <w:noWrap/>
                  <w:vAlign w:val="center"/>
                </w:tcPr>
                <w:p w14:paraId="1EBE279C">
                  <w:pPr>
                    <w:widowControl/>
                    <w:jc w:val="center"/>
                    <w:rPr>
                      <w:rFonts w:ascii="Times New Roman" w:hAnsi="Times New Roman"/>
                      <w:color w:val="auto"/>
                      <w:szCs w:val="21"/>
                      <w:highlight w:val="none"/>
                    </w:rPr>
                  </w:pPr>
                  <w:r>
                    <w:rPr>
                      <w:rFonts w:ascii="Times New Roman"/>
                      <w:snapToGrid w:val="0"/>
                      <w:color w:val="auto"/>
                      <w:kern w:val="0"/>
                      <w:szCs w:val="21"/>
                      <w:highlight w:val="none"/>
                    </w:rPr>
                    <w:t>《地表水环境质量标准》（</w:t>
                  </w:r>
                  <w:r>
                    <w:rPr>
                      <w:rFonts w:ascii="Times New Roman" w:hAnsi="Times New Roman"/>
                      <w:snapToGrid w:val="0"/>
                      <w:color w:val="auto"/>
                      <w:kern w:val="0"/>
                      <w:szCs w:val="21"/>
                      <w:highlight w:val="none"/>
                    </w:rPr>
                    <w:t>GB3838-2002</w:t>
                  </w:r>
                  <w:r>
                    <w:rPr>
                      <w:rFonts w:ascii="Times New Roman"/>
                      <w:snapToGrid w:val="0"/>
                      <w:color w:val="auto"/>
                      <w:kern w:val="0"/>
                      <w:szCs w:val="21"/>
                      <w:highlight w:val="none"/>
                    </w:rPr>
                    <w:t>）</w:t>
                  </w:r>
                  <w:r>
                    <w:rPr>
                      <w:rFonts w:ascii="Times New Roman" w:hAnsi="Times New Roman"/>
                      <w:snapToGrid w:val="0"/>
                      <w:color w:val="auto"/>
                      <w:kern w:val="0"/>
                      <w:szCs w:val="21"/>
                      <w:highlight w:val="none"/>
                    </w:rPr>
                    <w:t>Ⅲ</w:t>
                  </w:r>
                  <w:r>
                    <w:rPr>
                      <w:rFonts w:ascii="Times New Roman"/>
                      <w:snapToGrid w:val="0"/>
                      <w:color w:val="auto"/>
                      <w:kern w:val="0"/>
                      <w:szCs w:val="21"/>
                      <w:highlight w:val="none"/>
                    </w:rPr>
                    <w:t>类标准</w:t>
                  </w:r>
                </w:p>
              </w:tc>
              <w:tc>
                <w:tcPr>
                  <w:tcW w:w="481" w:type="pct"/>
                  <w:noWrap/>
                  <w:vAlign w:val="center"/>
                </w:tcPr>
                <w:p w14:paraId="01741689">
                  <w:pPr>
                    <w:widowControl/>
                    <w:jc w:val="center"/>
                    <w:rPr>
                      <w:rFonts w:ascii="Times New Roman" w:hAnsi="Times New Roman"/>
                      <w:color w:val="auto"/>
                      <w:szCs w:val="21"/>
                      <w:highlight w:val="none"/>
                    </w:rPr>
                  </w:pPr>
                  <w:r>
                    <w:rPr>
                      <w:rFonts w:ascii="Times New Roman" w:hAnsi="Times New Roman"/>
                      <w:color w:val="auto"/>
                      <w:szCs w:val="21"/>
                      <w:highlight w:val="none"/>
                    </w:rPr>
                    <w:t>6-9</w:t>
                  </w:r>
                </w:p>
              </w:tc>
              <w:tc>
                <w:tcPr>
                  <w:tcW w:w="610" w:type="pct"/>
                  <w:noWrap/>
                  <w:vAlign w:val="center"/>
                </w:tcPr>
                <w:p w14:paraId="1D176D63">
                  <w:pPr>
                    <w:widowControl/>
                    <w:jc w:val="center"/>
                    <w:rPr>
                      <w:rFonts w:ascii="Times New Roman" w:hAnsi="Times New Roman"/>
                      <w:color w:val="auto"/>
                      <w:szCs w:val="21"/>
                      <w:highlight w:val="none"/>
                    </w:rPr>
                  </w:pPr>
                  <w:r>
                    <w:rPr>
                      <w:rFonts w:ascii="Times New Roman" w:hAnsi="Times New Roman"/>
                      <w:color w:val="auto"/>
                      <w:szCs w:val="21"/>
                      <w:highlight w:val="none"/>
                    </w:rPr>
                    <w:t>20</w:t>
                  </w:r>
                </w:p>
              </w:tc>
              <w:tc>
                <w:tcPr>
                  <w:tcW w:w="635" w:type="pct"/>
                  <w:noWrap/>
                  <w:vAlign w:val="center"/>
                </w:tcPr>
                <w:p w14:paraId="6F5D89CD">
                  <w:pPr>
                    <w:widowControl/>
                    <w:jc w:val="center"/>
                    <w:rPr>
                      <w:rFonts w:ascii="Times New Roman" w:hAnsi="Times New Roman"/>
                      <w:color w:val="auto"/>
                      <w:szCs w:val="21"/>
                      <w:highlight w:val="none"/>
                    </w:rPr>
                  </w:pPr>
                  <w:r>
                    <w:rPr>
                      <w:rFonts w:ascii="Times New Roman" w:hAnsi="Times New Roman"/>
                      <w:color w:val="auto"/>
                      <w:szCs w:val="21"/>
                      <w:highlight w:val="none"/>
                    </w:rPr>
                    <w:t>4</w:t>
                  </w:r>
                </w:p>
              </w:tc>
              <w:tc>
                <w:tcPr>
                  <w:tcW w:w="664" w:type="pct"/>
                  <w:noWrap/>
                  <w:vAlign w:val="center"/>
                </w:tcPr>
                <w:p w14:paraId="0BDCB75B">
                  <w:pPr>
                    <w:widowControl/>
                    <w:jc w:val="center"/>
                    <w:rPr>
                      <w:rFonts w:ascii="Times New Roman" w:hAnsi="Times New Roman"/>
                      <w:color w:val="auto"/>
                      <w:szCs w:val="21"/>
                      <w:highlight w:val="none"/>
                    </w:rPr>
                  </w:pPr>
                  <w:r>
                    <w:rPr>
                      <w:rFonts w:ascii="Times New Roman" w:hAnsi="Times New Roman"/>
                      <w:color w:val="auto"/>
                      <w:szCs w:val="21"/>
                      <w:highlight w:val="none"/>
                    </w:rPr>
                    <w:t>1</w:t>
                  </w:r>
                </w:p>
              </w:tc>
              <w:tc>
                <w:tcPr>
                  <w:tcW w:w="574" w:type="pct"/>
                  <w:noWrap/>
                  <w:vAlign w:val="center"/>
                </w:tcPr>
                <w:p w14:paraId="56A60AC6">
                  <w:pPr>
                    <w:widowControl/>
                    <w:jc w:val="center"/>
                    <w:rPr>
                      <w:rFonts w:ascii="Times New Roman" w:hAnsi="Times New Roman"/>
                      <w:color w:val="auto"/>
                      <w:szCs w:val="21"/>
                      <w:highlight w:val="none"/>
                    </w:rPr>
                  </w:pPr>
                  <w:r>
                    <w:rPr>
                      <w:rFonts w:ascii="Times New Roman" w:hAnsi="Times New Roman"/>
                      <w:color w:val="auto"/>
                      <w:szCs w:val="21"/>
                      <w:highlight w:val="none"/>
                    </w:rPr>
                    <w:t>0.05</w:t>
                  </w:r>
                </w:p>
              </w:tc>
            </w:tr>
          </w:tbl>
          <w:p w14:paraId="131FFD1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2、建设项目环境空气评价范围内的区域属于空气质量二类功能区。SO</w:t>
            </w:r>
            <w:r>
              <w:rPr>
                <w:rFonts w:ascii="Times New Roman" w:hAnsi="Times New Roman"/>
                <w:color w:val="auto"/>
                <w:sz w:val="24"/>
                <w:highlight w:val="none"/>
                <w:vertAlign w:val="subscript"/>
              </w:rPr>
              <w:t>2</w:t>
            </w:r>
            <w:r>
              <w:rPr>
                <w:rFonts w:ascii="Times New Roman" w:hAnsi="Times New Roman"/>
                <w:color w:val="auto"/>
                <w:sz w:val="24"/>
                <w:highlight w:val="none"/>
              </w:rPr>
              <w:t>、NO</w:t>
            </w:r>
            <w:r>
              <w:rPr>
                <w:rFonts w:ascii="Times New Roman" w:hAnsi="Times New Roman"/>
                <w:color w:val="auto"/>
                <w:sz w:val="24"/>
                <w:highlight w:val="none"/>
                <w:vertAlign w:val="subscript"/>
              </w:rPr>
              <w:t>2</w:t>
            </w:r>
            <w:r>
              <w:rPr>
                <w:rFonts w:ascii="Times New Roman" w:hAnsi="Times New Roman"/>
                <w:color w:val="auto"/>
                <w:sz w:val="24"/>
                <w:highlight w:val="none"/>
              </w:rPr>
              <w:t>、PM</w:t>
            </w:r>
            <w:r>
              <w:rPr>
                <w:rFonts w:ascii="Times New Roman" w:hAnsi="Times New Roman"/>
                <w:color w:val="auto"/>
                <w:sz w:val="24"/>
                <w:highlight w:val="none"/>
                <w:vertAlign w:val="subscript"/>
              </w:rPr>
              <w:t>10</w:t>
            </w:r>
            <w:r>
              <w:rPr>
                <w:rFonts w:ascii="Times New Roman" w:hAnsi="Times New Roman"/>
                <w:color w:val="auto"/>
                <w:sz w:val="24"/>
                <w:highlight w:val="none"/>
              </w:rPr>
              <w:t>、PM</w:t>
            </w:r>
            <w:r>
              <w:rPr>
                <w:rFonts w:ascii="Times New Roman" w:hAnsi="Times New Roman"/>
                <w:color w:val="auto"/>
                <w:sz w:val="24"/>
                <w:highlight w:val="none"/>
                <w:vertAlign w:val="subscript"/>
              </w:rPr>
              <w:t xml:space="preserve"> 2.5</w:t>
            </w:r>
            <w:r>
              <w:rPr>
                <w:rFonts w:ascii="Times New Roman" w:hAnsi="Times New Roman"/>
                <w:color w:val="auto"/>
                <w:sz w:val="24"/>
                <w:highlight w:val="none"/>
              </w:rPr>
              <w:t>、CO、O</w:t>
            </w:r>
            <w:r>
              <w:rPr>
                <w:rFonts w:ascii="Times New Roman" w:hAnsi="Times New Roman"/>
                <w:color w:val="auto"/>
                <w:sz w:val="24"/>
                <w:highlight w:val="none"/>
                <w:vertAlign w:val="subscript"/>
              </w:rPr>
              <w:t>3</w:t>
            </w:r>
            <w:r>
              <w:rPr>
                <w:rFonts w:ascii="Times New Roman" w:hAnsi="Times New Roman"/>
                <w:color w:val="auto"/>
                <w:sz w:val="24"/>
                <w:highlight w:val="none"/>
              </w:rPr>
              <w:t>执行</w:t>
            </w:r>
            <w:r>
              <w:rPr>
                <w:rFonts w:ascii="Times New Roman" w:hAnsi="Times New Roman"/>
                <w:sz w:val="24"/>
              </w:rPr>
              <w:t>《环境空气质量标准》（GB3095-2012）</w:t>
            </w:r>
            <w:r>
              <w:rPr>
                <w:rStyle w:val="27"/>
                <w:rFonts w:hint="eastAsia" w:ascii="Times New Roman" w:hAnsi="Times New Roman"/>
                <w:kern w:val="0"/>
                <w:sz w:val="24"/>
                <w:szCs w:val="24"/>
                <w:lang w:val="en-US" w:eastAsia="zh-CN"/>
              </w:rPr>
              <w:t>及其2018年修改单</w:t>
            </w:r>
            <w:r>
              <w:rPr>
                <w:rFonts w:ascii="Times New Roman" w:hAnsi="Times New Roman"/>
                <w:sz w:val="24"/>
              </w:rPr>
              <w:t>中的二级标准，具体标准值详见下表</w:t>
            </w:r>
            <w:r>
              <w:rPr>
                <w:rFonts w:ascii="Times New Roman" w:hAnsi="Times New Roman"/>
                <w:color w:val="auto"/>
                <w:sz w:val="24"/>
                <w:highlight w:val="none"/>
              </w:rPr>
              <w:t>：</w:t>
            </w:r>
          </w:p>
          <w:p w14:paraId="4FAFB9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szCs w:val="21"/>
              </w:rPr>
            </w:pPr>
            <w:r>
              <w:rPr>
                <w:rFonts w:hint="eastAsia" w:ascii="Times New Roman" w:hAnsi="Times New Roman"/>
                <w:b/>
                <w:color w:val="auto"/>
                <w:szCs w:val="21"/>
              </w:rPr>
              <w:t>表3-</w:t>
            </w:r>
            <w:r>
              <w:rPr>
                <w:rFonts w:hint="eastAsia" w:ascii="Times New Roman" w:hAnsi="Times New Roman"/>
                <w:b/>
                <w:color w:val="auto"/>
                <w:szCs w:val="21"/>
                <w:lang w:val="en-US" w:eastAsia="zh-CN"/>
              </w:rPr>
              <w:t>7</w:t>
            </w:r>
            <w:r>
              <w:rPr>
                <w:rFonts w:hint="eastAsia" w:ascii="Times New Roman" w:hAnsi="Times New Roman"/>
                <w:b/>
                <w:color w:val="auto"/>
                <w:szCs w:val="21"/>
              </w:rPr>
              <w:t xml:space="preserve">  环境空气质量标准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835"/>
              <w:gridCol w:w="1490"/>
              <w:gridCol w:w="3185"/>
            </w:tblGrid>
            <w:tr w14:paraId="2DB1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47" w:type="pct"/>
                  <w:noWrap/>
                  <w:vAlign w:val="center"/>
                </w:tcPr>
                <w:p w14:paraId="7E8B905D">
                  <w:pPr>
                    <w:jc w:val="center"/>
                    <w:rPr>
                      <w:rFonts w:ascii="Times New Roman" w:hAnsi="Times New Roman"/>
                      <w:b/>
                      <w:bCs/>
                      <w:color w:val="auto"/>
                      <w:szCs w:val="21"/>
                      <w:highlight w:val="none"/>
                    </w:rPr>
                  </w:pPr>
                  <w:r>
                    <w:rPr>
                      <w:rFonts w:ascii="Times New Roman" w:hAnsi="Times New Roman"/>
                      <w:b/>
                      <w:bCs/>
                      <w:color w:val="auto"/>
                      <w:szCs w:val="21"/>
                      <w:highlight w:val="none"/>
                    </w:rPr>
                    <w:t>污染物名称</w:t>
                  </w:r>
                </w:p>
              </w:tc>
              <w:tc>
                <w:tcPr>
                  <w:tcW w:w="1170" w:type="pct"/>
                  <w:noWrap/>
                  <w:vAlign w:val="center"/>
                </w:tcPr>
                <w:p w14:paraId="4B2E4276">
                  <w:pPr>
                    <w:jc w:val="center"/>
                    <w:rPr>
                      <w:rFonts w:ascii="Times New Roman" w:hAnsi="Times New Roman"/>
                      <w:b/>
                      <w:bCs/>
                      <w:color w:val="auto"/>
                      <w:szCs w:val="21"/>
                      <w:highlight w:val="none"/>
                    </w:rPr>
                  </w:pPr>
                  <w:r>
                    <w:rPr>
                      <w:rFonts w:ascii="Times New Roman" w:hAnsi="Times New Roman"/>
                      <w:b/>
                      <w:bCs/>
                      <w:color w:val="auto"/>
                      <w:szCs w:val="21"/>
                      <w:highlight w:val="none"/>
                    </w:rPr>
                    <w:t>取值时间</w:t>
                  </w:r>
                </w:p>
              </w:tc>
              <w:tc>
                <w:tcPr>
                  <w:tcW w:w="950" w:type="pct"/>
                  <w:noWrap/>
                  <w:vAlign w:val="center"/>
                </w:tcPr>
                <w:p w14:paraId="48B87A50">
                  <w:pPr>
                    <w:jc w:val="center"/>
                    <w:rPr>
                      <w:rFonts w:ascii="Times New Roman" w:hAnsi="Times New Roman"/>
                      <w:b/>
                      <w:bCs/>
                      <w:color w:val="auto"/>
                      <w:szCs w:val="21"/>
                      <w:highlight w:val="none"/>
                    </w:rPr>
                  </w:pPr>
                  <w:r>
                    <w:rPr>
                      <w:rFonts w:ascii="Times New Roman" w:hAnsi="Times New Roman"/>
                      <w:b/>
                      <w:bCs/>
                      <w:color w:val="auto"/>
                      <w:szCs w:val="21"/>
                      <w:highlight w:val="none"/>
                    </w:rPr>
                    <w:t>浓度限值</w:t>
                  </w:r>
                </w:p>
              </w:tc>
              <w:tc>
                <w:tcPr>
                  <w:tcW w:w="2031" w:type="pct"/>
                  <w:noWrap/>
                  <w:vAlign w:val="center"/>
                </w:tcPr>
                <w:p w14:paraId="766F7A3B">
                  <w:pPr>
                    <w:jc w:val="center"/>
                    <w:rPr>
                      <w:rFonts w:ascii="Times New Roman" w:hAnsi="Times New Roman"/>
                      <w:b/>
                      <w:bCs/>
                      <w:color w:val="auto"/>
                      <w:szCs w:val="21"/>
                      <w:highlight w:val="none"/>
                    </w:rPr>
                  </w:pPr>
                  <w:r>
                    <w:rPr>
                      <w:rFonts w:ascii="Times New Roman" w:hAnsi="Times New Roman"/>
                      <w:b/>
                      <w:bCs/>
                      <w:color w:val="auto"/>
                      <w:szCs w:val="21"/>
                      <w:highlight w:val="none"/>
                    </w:rPr>
                    <w:t>标准来源</w:t>
                  </w:r>
                </w:p>
              </w:tc>
            </w:tr>
            <w:tr w14:paraId="1632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7E4F9E23">
                  <w:pPr>
                    <w:jc w:val="center"/>
                    <w:rPr>
                      <w:rFonts w:ascii="Times New Roman" w:hAnsi="Times New Roman"/>
                      <w:color w:val="auto"/>
                      <w:szCs w:val="21"/>
                      <w:highlight w:val="none"/>
                      <w:vertAlign w:val="subscript"/>
                    </w:rPr>
                  </w:pPr>
                  <w:r>
                    <w:rPr>
                      <w:rFonts w:ascii="Times New Roman" w:hAnsi="Times New Roman"/>
                      <w:color w:val="auto"/>
                      <w:szCs w:val="21"/>
                      <w:highlight w:val="none"/>
                    </w:rPr>
                    <w:t>SO</w:t>
                  </w:r>
                  <w:r>
                    <w:rPr>
                      <w:rFonts w:ascii="Times New Roman" w:hAnsi="Times New Roman"/>
                      <w:color w:val="auto"/>
                      <w:szCs w:val="21"/>
                      <w:highlight w:val="none"/>
                      <w:vertAlign w:val="subscript"/>
                    </w:rPr>
                    <w:t>2</w:t>
                  </w:r>
                </w:p>
              </w:tc>
              <w:tc>
                <w:tcPr>
                  <w:tcW w:w="1170" w:type="pct"/>
                  <w:noWrap/>
                  <w:vAlign w:val="center"/>
                </w:tcPr>
                <w:p w14:paraId="4F729D0D">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7AFFCAC5">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60</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restart"/>
                  <w:noWrap/>
                  <w:vAlign w:val="center"/>
                </w:tcPr>
                <w:p w14:paraId="6832FAD4">
                  <w:pPr>
                    <w:jc w:val="center"/>
                    <w:rPr>
                      <w:rFonts w:ascii="Times New Roman" w:hAnsi="Times New Roman"/>
                      <w:color w:val="auto"/>
                      <w:szCs w:val="21"/>
                      <w:highlight w:val="none"/>
                    </w:rPr>
                  </w:pPr>
                  <w:r>
                    <w:rPr>
                      <w:rFonts w:ascii="Times New Roman" w:hAnsi="Times New Roman"/>
                      <w:color w:val="auto"/>
                      <w:szCs w:val="21"/>
                      <w:highlight w:val="none"/>
                    </w:rPr>
                    <w:t>GB3095</w:t>
                  </w:r>
                  <w:r>
                    <w:rPr>
                      <w:rFonts w:hint="eastAsia" w:ascii="Times New Roman" w:hAnsi="Times New Roman"/>
                      <w:color w:val="auto"/>
                      <w:szCs w:val="21"/>
                      <w:highlight w:val="none"/>
                    </w:rPr>
                    <w:t>-</w:t>
                  </w:r>
                  <w:r>
                    <w:rPr>
                      <w:rFonts w:ascii="Times New Roman" w:hAnsi="Times New Roman"/>
                      <w:color w:val="auto"/>
                      <w:szCs w:val="21"/>
                      <w:highlight w:val="none"/>
                    </w:rPr>
                    <w:t>2012</w:t>
                  </w:r>
                </w:p>
                <w:p w14:paraId="06CD89F6">
                  <w:pPr>
                    <w:jc w:val="center"/>
                    <w:rPr>
                      <w:rFonts w:ascii="Times New Roman" w:hAnsi="Times New Roman"/>
                      <w:color w:val="auto"/>
                      <w:szCs w:val="21"/>
                      <w:highlight w:val="none"/>
                    </w:rPr>
                  </w:pPr>
                  <w:r>
                    <w:rPr>
                      <w:rFonts w:ascii="Times New Roman" w:hAnsi="Times New Roman"/>
                      <w:color w:val="auto"/>
                      <w:szCs w:val="21"/>
                      <w:highlight w:val="none"/>
                    </w:rPr>
                    <w:t>《环境空气质量标准》中二级标准限值</w:t>
                  </w:r>
                </w:p>
              </w:tc>
            </w:tr>
            <w:tr w14:paraId="3199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49B4448C">
                  <w:pPr>
                    <w:jc w:val="center"/>
                    <w:rPr>
                      <w:rFonts w:ascii="Times New Roman" w:hAnsi="Times New Roman"/>
                      <w:color w:val="auto"/>
                      <w:szCs w:val="21"/>
                      <w:highlight w:val="none"/>
                    </w:rPr>
                  </w:pPr>
                </w:p>
              </w:tc>
              <w:tc>
                <w:tcPr>
                  <w:tcW w:w="1170" w:type="pct"/>
                  <w:noWrap/>
                  <w:vAlign w:val="center"/>
                </w:tcPr>
                <w:p w14:paraId="145FA477">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14A7CCC4">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150µg/Nm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7719FAD">
                  <w:pPr>
                    <w:jc w:val="center"/>
                    <w:rPr>
                      <w:rFonts w:ascii="Times New Roman" w:hAnsi="Times New Roman"/>
                      <w:color w:val="auto"/>
                      <w:szCs w:val="21"/>
                      <w:highlight w:val="none"/>
                    </w:rPr>
                  </w:pPr>
                </w:p>
              </w:tc>
            </w:tr>
            <w:tr w14:paraId="08A1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4A4B16EB">
                  <w:pPr>
                    <w:jc w:val="center"/>
                    <w:rPr>
                      <w:rFonts w:ascii="Times New Roman" w:hAnsi="Times New Roman"/>
                      <w:color w:val="auto"/>
                      <w:szCs w:val="21"/>
                      <w:highlight w:val="none"/>
                    </w:rPr>
                  </w:pPr>
                </w:p>
              </w:tc>
              <w:tc>
                <w:tcPr>
                  <w:tcW w:w="1170" w:type="pct"/>
                  <w:noWrap/>
                  <w:vAlign w:val="center"/>
                </w:tcPr>
                <w:p w14:paraId="11B97BCF">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13CF631B">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500µg/Nm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7783715F">
                  <w:pPr>
                    <w:jc w:val="center"/>
                    <w:rPr>
                      <w:rFonts w:ascii="Times New Roman" w:hAnsi="Times New Roman"/>
                      <w:color w:val="auto"/>
                      <w:szCs w:val="21"/>
                      <w:highlight w:val="none"/>
                    </w:rPr>
                  </w:pPr>
                </w:p>
              </w:tc>
            </w:tr>
            <w:tr w14:paraId="7828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2F2B3C81">
                  <w:pPr>
                    <w:jc w:val="center"/>
                    <w:rPr>
                      <w:rFonts w:ascii="Times New Roman" w:hAnsi="Times New Roman"/>
                      <w:color w:val="auto"/>
                      <w:szCs w:val="21"/>
                      <w:highlight w:val="none"/>
                      <w:vertAlign w:val="subscript"/>
                    </w:rPr>
                  </w:pPr>
                  <w:r>
                    <w:rPr>
                      <w:rFonts w:ascii="Times New Roman" w:hAnsi="Times New Roman"/>
                      <w:color w:val="auto"/>
                      <w:szCs w:val="21"/>
                      <w:highlight w:val="none"/>
                    </w:rPr>
                    <w:t>NO</w:t>
                  </w:r>
                  <w:r>
                    <w:rPr>
                      <w:rFonts w:ascii="Times New Roman" w:hAnsi="Times New Roman"/>
                      <w:color w:val="auto"/>
                      <w:szCs w:val="21"/>
                      <w:highlight w:val="none"/>
                      <w:vertAlign w:val="subscript"/>
                    </w:rPr>
                    <w:t>2</w:t>
                  </w:r>
                </w:p>
              </w:tc>
              <w:tc>
                <w:tcPr>
                  <w:tcW w:w="1170" w:type="pct"/>
                  <w:noWrap/>
                  <w:vAlign w:val="center"/>
                </w:tcPr>
                <w:p w14:paraId="28BCEABF">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7286589B">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40</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99805EE">
                  <w:pPr>
                    <w:jc w:val="center"/>
                    <w:rPr>
                      <w:rFonts w:ascii="Times New Roman" w:hAnsi="Times New Roman"/>
                      <w:color w:val="auto"/>
                      <w:szCs w:val="21"/>
                      <w:highlight w:val="none"/>
                    </w:rPr>
                  </w:pPr>
                </w:p>
              </w:tc>
            </w:tr>
            <w:tr w14:paraId="4D67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262F2458">
                  <w:pPr>
                    <w:jc w:val="center"/>
                    <w:rPr>
                      <w:rFonts w:ascii="Times New Roman" w:hAnsi="Times New Roman"/>
                      <w:color w:val="auto"/>
                      <w:szCs w:val="21"/>
                      <w:highlight w:val="none"/>
                    </w:rPr>
                  </w:pPr>
                </w:p>
              </w:tc>
              <w:tc>
                <w:tcPr>
                  <w:tcW w:w="1170" w:type="pct"/>
                  <w:noWrap/>
                  <w:vAlign w:val="center"/>
                </w:tcPr>
                <w:p w14:paraId="5FF4A788">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19EBC604">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80µg/Nm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0AED009">
                  <w:pPr>
                    <w:jc w:val="center"/>
                    <w:rPr>
                      <w:rFonts w:ascii="Times New Roman" w:hAnsi="Times New Roman"/>
                      <w:color w:val="auto"/>
                      <w:szCs w:val="21"/>
                      <w:highlight w:val="none"/>
                    </w:rPr>
                  </w:pPr>
                </w:p>
              </w:tc>
            </w:tr>
            <w:tr w14:paraId="63E6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B81876D">
                  <w:pPr>
                    <w:jc w:val="center"/>
                    <w:rPr>
                      <w:rFonts w:ascii="Times New Roman" w:hAnsi="Times New Roman"/>
                      <w:color w:val="auto"/>
                      <w:szCs w:val="21"/>
                      <w:highlight w:val="none"/>
                    </w:rPr>
                  </w:pPr>
                </w:p>
              </w:tc>
              <w:tc>
                <w:tcPr>
                  <w:tcW w:w="1170" w:type="pct"/>
                  <w:noWrap/>
                  <w:vAlign w:val="center"/>
                </w:tcPr>
                <w:p w14:paraId="7939E2FF">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3CC6496C">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200µg/Nm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5566CD81">
                  <w:pPr>
                    <w:jc w:val="center"/>
                    <w:rPr>
                      <w:rFonts w:ascii="Times New Roman" w:hAnsi="Times New Roman"/>
                      <w:color w:val="auto"/>
                      <w:szCs w:val="21"/>
                      <w:highlight w:val="none"/>
                    </w:rPr>
                  </w:pPr>
                </w:p>
              </w:tc>
            </w:tr>
            <w:tr w14:paraId="3673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26EF85B2">
                  <w:pPr>
                    <w:jc w:val="center"/>
                    <w:rPr>
                      <w:rFonts w:ascii="Times New Roman" w:hAnsi="Times New Roman"/>
                      <w:color w:val="auto"/>
                      <w:szCs w:val="21"/>
                      <w:highlight w:val="none"/>
                    </w:rPr>
                  </w:pPr>
                  <w:r>
                    <w:rPr>
                      <w:rFonts w:ascii="Times New Roman" w:hAnsi="Times New Roman"/>
                      <w:color w:val="auto"/>
                      <w:szCs w:val="21"/>
                      <w:highlight w:val="none"/>
                    </w:rPr>
                    <w:t>PM</w:t>
                  </w:r>
                  <w:r>
                    <w:rPr>
                      <w:rFonts w:ascii="Times New Roman" w:hAnsi="Times New Roman"/>
                      <w:color w:val="auto"/>
                      <w:szCs w:val="21"/>
                      <w:highlight w:val="none"/>
                      <w:vertAlign w:val="subscript"/>
                    </w:rPr>
                    <w:t>10</w:t>
                  </w:r>
                </w:p>
              </w:tc>
              <w:tc>
                <w:tcPr>
                  <w:tcW w:w="1170" w:type="pct"/>
                  <w:noWrap/>
                  <w:vAlign w:val="center"/>
                </w:tcPr>
                <w:p w14:paraId="4DE8D04F">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778C4DF3">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70</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32CB25BB">
                  <w:pPr>
                    <w:jc w:val="center"/>
                    <w:rPr>
                      <w:rFonts w:ascii="Times New Roman" w:hAnsi="Times New Roman"/>
                      <w:color w:val="auto"/>
                      <w:szCs w:val="21"/>
                      <w:highlight w:val="none"/>
                    </w:rPr>
                  </w:pPr>
                </w:p>
              </w:tc>
            </w:tr>
            <w:tr w14:paraId="4202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C1102B8">
                  <w:pPr>
                    <w:jc w:val="center"/>
                    <w:rPr>
                      <w:rFonts w:ascii="Times New Roman" w:hAnsi="Times New Roman"/>
                      <w:color w:val="auto"/>
                      <w:szCs w:val="21"/>
                      <w:highlight w:val="none"/>
                    </w:rPr>
                  </w:pPr>
                </w:p>
              </w:tc>
              <w:tc>
                <w:tcPr>
                  <w:tcW w:w="1170" w:type="pct"/>
                  <w:noWrap/>
                  <w:vAlign w:val="center"/>
                </w:tcPr>
                <w:p w14:paraId="67C3E3F5">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6FBB0374">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150µg/Nm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5F781DFC">
                  <w:pPr>
                    <w:jc w:val="center"/>
                    <w:rPr>
                      <w:rFonts w:ascii="Times New Roman" w:hAnsi="Times New Roman"/>
                      <w:color w:val="auto"/>
                      <w:szCs w:val="21"/>
                      <w:highlight w:val="none"/>
                    </w:rPr>
                  </w:pPr>
                </w:p>
              </w:tc>
            </w:tr>
            <w:tr w14:paraId="1FB2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7EC9864D">
                  <w:pPr>
                    <w:jc w:val="center"/>
                    <w:rPr>
                      <w:rFonts w:ascii="Times New Roman" w:hAnsi="Times New Roman"/>
                      <w:color w:val="auto"/>
                      <w:highlight w:val="none"/>
                    </w:rPr>
                  </w:pPr>
                  <w:r>
                    <w:rPr>
                      <w:rFonts w:ascii="Times New Roman" w:hAnsi="Times New Roman"/>
                      <w:color w:val="auto"/>
                      <w:highlight w:val="none"/>
                    </w:rPr>
                    <w:t>PM</w:t>
                  </w:r>
                  <w:r>
                    <w:rPr>
                      <w:rFonts w:ascii="Times New Roman" w:hAnsi="Times New Roman"/>
                      <w:color w:val="auto"/>
                      <w:szCs w:val="21"/>
                      <w:highlight w:val="none"/>
                      <w:vertAlign w:val="subscript"/>
                    </w:rPr>
                    <w:t>2.5</w:t>
                  </w:r>
                </w:p>
              </w:tc>
              <w:tc>
                <w:tcPr>
                  <w:tcW w:w="1170" w:type="pct"/>
                  <w:noWrap/>
                  <w:vAlign w:val="center"/>
                </w:tcPr>
                <w:p w14:paraId="14322539">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bidi="ar-SA"/>
                    </w:rPr>
                    <w:t>年平均</w:t>
                  </w:r>
                </w:p>
              </w:tc>
              <w:tc>
                <w:tcPr>
                  <w:tcW w:w="950" w:type="pct"/>
                  <w:noWrap/>
                  <w:vAlign w:val="center"/>
                </w:tcPr>
                <w:p w14:paraId="62CAA8E3">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35</w:t>
                  </w:r>
                  <w:r>
                    <w:rPr>
                      <w:rFonts w:hint="default" w:ascii="Times New Roman" w:hAnsi="Times New Roman" w:eastAsia="宋体" w:cs="Times New Roman"/>
                      <w:color w:val="auto"/>
                      <w:spacing w:val="0"/>
                      <w:w w:val="100"/>
                      <w:position w:val="0"/>
                      <w:sz w:val="21"/>
                      <w:szCs w:val="21"/>
                      <w:highlight w:val="none"/>
                    </w:rPr>
                    <w:t>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7A440CF5">
                  <w:pPr>
                    <w:jc w:val="center"/>
                    <w:rPr>
                      <w:rFonts w:ascii="Times New Roman" w:hAnsi="Times New Roman"/>
                      <w:color w:val="auto"/>
                      <w:szCs w:val="21"/>
                      <w:highlight w:val="none"/>
                    </w:rPr>
                  </w:pPr>
                </w:p>
              </w:tc>
            </w:tr>
            <w:tr w14:paraId="7537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941FE2C">
                  <w:pPr>
                    <w:jc w:val="center"/>
                    <w:rPr>
                      <w:rFonts w:ascii="Times New Roman" w:hAnsi="Times New Roman"/>
                      <w:color w:val="auto"/>
                      <w:highlight w:val="none"/>
                    </w:rPr>
                  </w:pPr>
                </w:p>
              </w:tc>
              <w:tc>
                <w:tcPr>
                  <w:tcW w:w="1170" w:type="pct"/>
                  <w:noWrap/>
                  <w:vAlign w:val="center"/>
                </w:tcPr>
                <w:p w14:paraId="3DCF2B7E">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0FB42244">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75µg/Nm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2FE778D0">
                  <w:pPr>
                    <w:jc w:val="center"/>
                    <w:rPr>
                      <w:rFonts w:ascii="Times New Roman" w:hAnsi="Times New Roman"/>
                      <w:color w:val="auto"/>
                      <w:szCs w:val="21"/>
                      <w:highlight w:val="none"/>
                    </w:rPr>
                  </w:pPr>
                </w:p>
              </w:tc>
            </w:tr>
            <w:tr w14:paraId="4E86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0CE29214">
                  <w:pPr>
                    <w:jc w:val="center"/>
                    <w:rPr>
                      <w:rFonts w:ascii="Times New Roman" w:hAnsi="Times New Roman"/>
                      <w:color w:val="auto"/>
                      <w:szCs w:val="21"/>
                      <w:highlight w:val="none"/>
                    </w:rPr>
                  </w:pPr>
                  <w:r>
                    <w:rPr>
                      <w:rFonts w:ascii="Times New Roman" w:hAnsi="Times New Roman"/>
                      <w:color w:val="auto"/>
                      <w:szCs w:val="21"/>
                      <w:highlight w:val="none"/>
                    </w:rPr>
                    <w:t>CO</w:t>
                  </w:r>
                </w:p>
              </w:tc>
              <w:tc>
                <w:tcPr>
                  <w:tcW w:w="1170" w:type="pct"/>
                  <w:noWrap/>
                  <w:vAlign w:val="center"/>
                </w:tcPr>
                <w:p w14:paraId="6B0AB35F">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24小时平均</w:t>
                  </w:r>
                </w:p>
              </w:tc>
              <w:tc>
                <w:tcPr>
                  <w:tcW w:w="950" w:type="pct"/>
                  <w:noWrap/>
                  <w:vAlign w:val="center"/>
                </w:tcPr>
                <w:p w14:paraId="149046DD">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4mg/m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2D3111D6">
                  <w:pPr>
                    <w:jc w:val="center"/>
                    <w:rPr>
                      <w:rFonts w:ascii="Times New Roman" w:hAnsi="Times New Roman"/>
                      <w:color w:val="auto"/>
                      <w:szCs w:val="21"/>
                      <w:highlight w:val="none"/>
                    </w:rPr>
                  </w:pPr>
                </w:p>
              </w:tc>
            </w:tr>
            <w:tr w14:paraId="276C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19F58617">
                  <w:pPr>
                    <w:jc w:val="center"/>
                    <w:rPr>
                      <w:rFonts w:ascii="Times New Roman" w:hAnsi="Times New Roman"/>
                      <w:color w:val="auto"/>
                      <w:szCs w:val="21"/>
                      <w:highlight w:val="none"/>
                    </w:rPr>
                  </w:pPr>
                </w:p>
              </w:tc>
              <w:tc>
                <w:tcPr>
                  <w:tcW w:w="1170" w:type="pct"/>
                  <w:noWrap/>
                  <w:vAlign w:val="center"/>
                </w:tcPr>
                <w:p w14:paraId="245AC0DF">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0F806C01">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10mg/m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2C7D1302">
                  <w:pPr>
                    <w:jc w:val="center"/>
                    <w:rPr>
                      <w:rFonts w:ascii="Times New Roman" w:hAnsi="Times New Roman"/>
                      <w:color w:val="auto"/>
                      <w:szCs w:val="21"/>
                      <w:highlight w:val="none"/>
                    </w:rPr>
                  </w:pPr>
                </w:p>
              </w:tc>
            </w:tr>
            <w:tr w14:paraId="4C4D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restart"/>
                  <w:noWrap/>
                  <w:vAlign w:val="center"/>
                </w:tcPr>
                <w:p w14:paraId="0969DDCE">
                  <w:pPr>
                    <w:jc w:val="center"/>
                    <w:rPr>
                      <w:rFonts w:ascii="Times New Roman" w:hAnsi="Times New Roman"/>
                      <w:color w:val="auto"/>
                      <w:szCs w:val="21"/>
                      <w:highlight w:val="none"/>
                    </w:rPr>
                  </w:pPr>
                  <w:r>
                    <w:rPr>
                      <w:rFonts w:ascii="Times New Roman" w:hAnsi="Times New Roman"/>
                      <w:color w:val="auto"/>
                      <w:szCs w:val="21"/>
                      <w:highlight w:val="none"/>
                    </w:rPr>
                    <w:t>O</w:t>
                  </w:r>
                  <w:r>
                    <w:rPr>
                      <w:rFonts w:ascii="Times New Roman" w:hAnsi="Times New Roman"/>
                      <w:color w:val="auto"/>
                      <w:szCs w:val="21"/>
                      <w:highlight w:val="none"/>
                      <w:vertAlign w:val="subscript"/>
                    </w:rPr>
                    <w:t>3</w:t>
                  </w:r>
                </w:p>
              </w:tc>
              <w:tc>
                <w:tcPr>
                  <w:tcW w:w="1170" w:type="pct"/>
                  <w:noWrap/>
                  <w:vAlign w:val="center"/>
                </w:tcPr>
                <w:p w14:paraId="3D6EDADD">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日最大8小时平均</w:t>
                  </w:r>
                </w:p>
              </w:tc>
              <w:tc>
                <w:tcPr>
                  <w:tcW w:w="950" w:type="pct"/>
                  <w:noWrap/>
                  <w:vAlign w:val="center"/>
                </w:tcPr>
                <w:p w14:paraId="60CF1E82">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160µg/Nm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13D422F3">
                  <w:pPr>
                    <w:jc w:val="center"/>
                    <w:rPr>
                      <w:rFonts w:ascii="Times New Roman" w:hAnsi="Times New Roman"/>
                      <w:color w:val="auto"/>
                      <w:szCs w:val="21"/>
                      <w:highlight w:val="none"/>
                    </w:rPr>
                  </w:pPr>
                </w:p>
              </w:tc>
            </w:tr>
            <w:tr w14:paraId="4594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47" w:type="pct"/>
                  <w:vMerge w:val="continue"/>
                  <w:noWrap/>
                  <w:vAlign w:val="center"/>
                </w:tcPr>
                <w:p w14:paraId="54062CA1">
                  <w:pPr>
                    <w:jc w:val="center"/>
                    <w:rPr>
                      <w:rFonts w:ascii="Times New Roman" w:hAnsi="Times New Roman"/>
                      <w:color w:val="auto"/>
                      <w:szCs w:val="21"/>
                      <w:highlight w:val="none"/>
                    </w:rPr>
                  </w:pPr>
                </w:p>
              </w:tc>
              <w:tc>
                <w:tcPr>
                  <w:tcW w:w="1170" w:type="pct"/>
                  <w:noWrap/>
                  <w:vAlign w:val="center"/>
                </w:tcPr>
                <w:p w14:paraId="0BEAF223">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kern w:val="0"/>
                      <w:szCs w:val="21"/>
                      <w:highlight w:val="none"/>
                    </w:rPr>
                  </w:pPr>
                  <w:r>
                    <w:rPr>
                      <w:rFonts w:hint="default" w:ascii="Times New Roman" w:hAnsi="Times New Roman" w:eastAsia="宋体" w:cs="Times New Roman"/>
                      <w:color w:val="auto"/>
                      <w:spacing w:val="0"/>
                      <w:w w:val="100"/>
                      <w:position w:val="0"/>
                      <w:sz w:val="21"/>
                      <w:szCs w:val="21"/>
                      <w:highlight w:val="none"/>
                    </w:rPr>
                    <w:t>1小时平均</w:t>
                  </w:r>
                </w:p>
              </w:tc>
              <w:tc>
                <w:tcPr>
                  <w:tcW w:w="950" w:type="pct"/>
                  <w:noWrap/>
                  <w:vAlign w:val="center"/>
                </w:tcPr>
                <w:p w14:paraId="4F57CD6E">
                  <w:pPr>
                    <w:pStyle w:val="63"/>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color w:val="auto"/>
                      <w:szCs w:val="21"/>
                      <w:highlight w:val="none"/>
                    </w:rPr>
                  </w:pPr>
                  <w:r>
                    <w:rPr>
                      <w:rFonts w:hint="default" w:ascii="Times New Roman" w:hAnsi="Times New Roman" w:eastAsia="宋体" w:cs="Times New Roman"/>
                      <w:color w:val="auto"/>
                      <w:spacing w:val="0"/>
                      <w:w w:val="100"/>
                      <w:position w:val="0"/>
                      <w:sz w:val="21"/>
                      <w:szCs w:val="21"/>
                      <w:highlight w:val="none"/>
                    </w:rPr>
                    <w:t>200µg/Nm</w:t>
                  </w:r>
                  <w:r>
                    <w:rPr>
                      <w:rFonts w:hint="default" w:ascii="Times New Roman" w:hAnsi="Times New Roman" w:eastAsia="宋体" w:cs="Times New Roman"/>
                      <w:color w:val="auto"/>
                      <w:spacing w:val="0"/>
                      <w:w w:val="100"/>
                      <w:position w:val="0"/>
                      <w:sz w:val="21"/>
                      <w:szCs w:val="21"/>
                      <w:highlight w:val="none"/>
                      <w:vertAlign w:val="superscript"/>
                    </w:rPr>
                    <w:t>3</w:t>
                  </w:r>
                </w:p>
              </w:tc>
              <w:tc>
                <w:tcPr>
                  <w:tcW w:w="2031" w:type="pct"/>
                  <w:vMerge w:val="continue"/>
                  <w:noWrap/>
                  <w:vAlign w:val="center"/>
                </w:tcPr>
                <w:p w14:paraId="60C01FE2">
                  <w:pPr>
                    <w:jc w:val="center"/>
                    <w:rPr>
                      <w:rFonts w:ascii="Times New Roman" w:hAnsi="Times New Roman"/>
                      <w:color w:val="auto"/>
                      <w:szCs w:val="21"/>
                      <w:highlight w:val="none"/>
                    </w:rPr>
                  </w:pPr>
                </w:p>
              </w:tc>
            </w:tr>
          </w:tbl>
          <w:p w14:paraId="5D810E02">
            <w:pPr>
              <w:spacing w:line="360" w:lineRule="auto"/>
              <w:ind w:firstLine="480" w:firstLineChars="200"/>
              <w:rPr>
                <w:rFonts w:hint="eastAsia"/>
              </w:rPr>
            </w:pPr>
            <w:r>
              <w:rPr>
                <w:rFonts w:hint="eastAsia" w:ascii="Times New Roman" w:hAnsi="Times New Roman"/>
                <w:sz w:val="24"/>
              </w:rPr>
              <w:t>3、本项目</w:t>
            </w:r>
            <w:r>
              <w:rPr>
                <w:rFonts w:hint="eastAsia" w:ascii="Times New Roman" w:hAnsi="Times New Roman"/>
                <w:color w:val="auto"/>
                <w:sz w:val="24"/>
                <w:szCs w:val="24"/>
                <w:lang w:val="en-US" w:eastAsia="zh-CN"/>
              </w:rPr>
              <w:t>敏感目标处</w:t>
            </w:r>
            <w:r>
              <w:rPr>
                <w:rFonts w:hint="eastAsia" w:ascii="Times New Roman" w:hAnsi="Times New Roman"/>
                <w:color w:val="auto"/>
                <w:sz w:val="24"/>
                <w:szCs w:val="24"/>
              </w:rPr>
              <w:t>声环境</w:t>
            </w:r>
            <w:r>
              <w:rPr>
                <w:rStyle w:val="27"/>
                <w:rFonts w:hint="eastAsia" w:ascii="Times New Roman" w:hAnsi="Times New Roman"/>
                <w:color w:val="auto"/>
                <w:kern w:val="0"/>
                <w:sz w:val="24"/>
                <w:szCs w:val="24"/>
                <w:lang w:val="en-US" w:eastAsia="zh-CN"/>
              </w:rPr>
              <w:t>质量</w:t>
            </w:r>
            <w:r>
              <w:rPr>
                <w:rFonts w:ascii="Times New Roman" w:hAnsi="Times New Roman"/>
                <w:color w:val="auto"/>
                <w:sz w:val="24"/>
              </w:rPr>
              <w:t>执行《声环境质量标准》（GB3096-2008）1类标准</w:t>
            </w:r>
            <w:r>
              <w:rPr>
                <w:rFonts w:hint="eastAsia"/>
                <w:color w:val="auto"/>
              </w:rPr>
              <w:t>。</w:t>
            </w:r>
          </w:p>
          <w:p w14:paraId="03525CF8">
            <w:pPr>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表3-</w:t>
            </w:r>
            <w:r>
              <w:rPr>
                <w:rFonts w:hint="eastAsia" w:ascii="Times New Roman" w:hAnsi="Times New Roman"/>
                <w:b/>
                <w:color w:val="auto"/>
                <w:szCs w:val="21"/>
                <w:highlight w:val="none"/>
                <w:lang w:val="en-US" w:eastAsia="zh-CN"/>
              </w:rPr>
              <w:t>8</w:t>
            </w:r>
            <w:r>
              <w:rPr>
                <w:rFonts w:ascii="Times New Roman" w:hAnsi="Times New Roman"/>
                <w:b/>
                <w:color w:val="auto"/>
                <w:szCs w:val="21"/>
                <w:highlight w:val="none"/>
              </w:rPr>
              <w:t xml:space="preserve">  声环境质量标准  单位： dB(A)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2700"/>
              <w:gridCol w:w="2755"/>
            </w:tblGrid>
            <w:tr w14:paraId="5833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381" w:type="dxa"/>
                  <w:tcBorders>
                    <w:tl2br w:val="nil"/>
                    <w:tr2bl w:val="nil"/>
                  </w:tcBorders>
                  <w:noWrap/>
                  <w:vAlign w:val="center"/>
                </w:tcPr>
                <w:p w14:paraId="3CD573D3">
                  <w:pPr>
                    <w:jc w:val="center"/>
                    <w:rPr>
                      <w:rFonts w:ascii="Times New Roman" w:hAnsi="Times New Roman"/>
                      <w:b/>
                      <w:bCs/>
                      <w:color w:val="auto"/>
                      <w:highlight w:val="none"/>
                    </w:rPr>
                  </w:pPr>
                  <w:r>
                    <w:rPr>
                      <w:rFonts w:ascii="Times New Roman" w:hAnsi="Times New Roman"/>
                      <w:b/>
                      <w:bCs/>
                      <w:color w:val="auto"/>
                      <w:highlight w:val="none"/>
                    </w:rPr>
                    <w:t>类别</w:t>
                  </w:r>
                </w:p>
              </w:tc>
              <w:tc>
                <w:tcPr>
                  <w:tcW w:w="2700" w:type="dxa"/>
                  <w:tcBorders>
                    <w:tl2br w:val="nil"/>
                    <w:tr2bl w:val="nil"/>
                  </w:tcBorders>
                  <w:noWrap/>
                  <w:vAlign w:val="center"/>
                </w:tcPr>
                <w:p w14:paraId="655ECD08">
                  <w:pPr>
                    <w:jc w:val="center"/>
                    <w:rPr>
                      <w:rFonts w:ascii="Times New Roman" w:hAnsi="Times New Roman"/>
                      <w:b/>
                      <w:bCs/>
                      <w:color w:val="auto"/>
                      <w:highlight w:val="none"/>
                    </w:rPr>
                  </w:pPr>
                  <w:r>
                    <w:rPr>
                      <w:rFonts w:ascii="Times New Roman" w:hAnsi="Times New Roman"/>
                      <w:b/>
                      <w:bCs/>
                      <w:color w:val="auto"/>
                      <w:highlight w:val="none"/>
                    </w:rPr>
                    <w:t>昼间</w:t>
                  </w:r>
                </w:p>
              </w:tc>
              <w:tc>
                <w:tcPr>
                  <w:tcW w:w="2755" w:type="dxa"/>
                  <w:tcBorders>
                    <w:tl2br w:val="nil"/>
                    <w:tr2bl w:val="nil"/>
                  </w:tcBorders>
                  <w:noWrap/>
                  <w:vAlign w:val="center"/>
                </w:tcPr>
                <w:p w14:paraId="0C166ED3">
                  <w:pPr>
                    <w:jc w:val="center"/>
                    <w:rPr>
                      <w:rFonts w:ascii="Times New Roman" w:hAnsi="Times New Roman"/>
                      <w:b/>
                      <w:bCs/>
                      <w:color w:val="auto"/>
                      <w:highlight w:val="none"/>
                    </w:rPr>
                  </w:pPr>
                  <w:r>
                    <w:rPr>
                      <w:rFonts w:ascii="Times New Roman" w:hAnsi="Times New Roman"/>
                      <w:b/>
                      <w:bCs/>
                      <w:color w:val="auto"/>
                      <w:highlight w:val="none"/>
                    </w:rPr>
                    <w:t>夜间</w:t>
                  </w:r>
                </w:p>
              </w:tc>
            </w:tr>
            <w:tr w14:paraId="3AED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381" w:type="dxa"/>
                  <w:tcBorders>
                    <w:tl2br w:val="nil"/>
                    <w:tr2bl w:val="nil"/>
                  </w:tcBorders>
                  <w:noWrap/>
                  <w:vAlign w:val="center"/>
                </w:tcPr>
                <w:p w14:paraId="765D0D7B">
                  <w:pPr>
                    <w:jc w:val="center"/>
                    <w:rPr>
                      <w:rFonts w:ascii="Times New Roman" w:hAnsi="Times New Roman"/>
                      <w:color w:val="auto"/>
                      <w:highlight w:val="none"/>
                    </w:rPr>
                  </w:pPr>
                  <w:r>
                    <w:rPr>
                      <w:rFonts w:ascii="Times New Roman" w:hAnsi="Times New Roman"/>
                      <w:color w:val="auto"/>
                      <w:highlight w:val="none"/>
                    </w:rPr>
                    <w:t>1类</w:t>
                  </w:r>
                </w:p>
              </w:tc>
              <w:tc>
                <w:tcPr>
                  <w:tcW w:w="2700" w:type="dxa"/>
                  <w:tcBorders>
                    <w:tl2br w:val="nil"/>
                    <w:tr2bl w:val="nil"/>
                  </w:tcBorders>
                  <w:noWrap/>
                  <w:vAlign w:val="center"/>
                </w:tcPr>
                <w:p w14:paraId="50D31E85">
                  <w:pPr>
                    <w:jc w:val="center"/>
                    <w:rPr>
                      <w:rFonts w:ascii="Times New Roman" w:hAnsi="Times New Roman"/>
                      <w:color w:val="auto"/>
                      <w:highlight w:val="none"/>
                    </w:rPr>
                  </w:pPr>
                  <w:r>
                    <w:rPr>
                      <w:rFonts w:ascii="Times New Roman" w:hAnsi="Times New Roman"/>
                      <w:color w:val="auto"/>
                      <w:highlight w:val="none"/>
                    </w:rPr>
                    <w:t>55</w:t>
                  </w:r>
                </w:p>
              </w:tc>
              <w:tc>
                <w:tcPr>
                  <w:tcW w:w="2755" w:type="dxa"/>
                  <w:tcBorders>
                    <w:tl2br w:val="nil"/>
                    <w:tr2bl w:val="nil"/>
                  </w:tcBorders>
                  <w:noWrap/>
                  <w:vAlign w:val="center"/>
                </w:tcPr>
                <w:p w14:paraId="24ACB405">
                  <w:pPr>
                    <w:jc w:val="center"/>
                    <w:rPr>
                      <w:rFonts w:ascii="Times New Roman" w:hAnsi="Times New Roman"/>
                      <w:color w:val="auto"/>
                      <w:highlight w:val="none"/>
                    </w:rPr>
                  </w:pPr>
                  <w:r>
                    <w:rPr>
                      <w:rFonts w:ascii="Times New Roman" w:hAnsi="Times New Roman"/>
                      <w:color w:val="auto"/>
                      <w:highlight w:val="none"/>
                    </w:rPr>
                    <w:t>45</w:t>
                  </w:r>
                </w:p>
              </w:tc>
            </w:tr>
          </w:tbl>
          <w:p w14:paraId="3E6D8D34">
            <w:pPr>
              <w:widowControl/>
              <w:spacing w:line="360" w:lineRule="auto"/>
              <w:jc w:val="left"/>
              <w:rPr>
                <w:rFonts w:ascii="Times New Roman" w:hAnsi="Times New Roman"/>
                <w:color w:val="auto"/>
                <w:highlight w:val="none"/>
              </w:rPr>
            </w:pPr>
            <w:r>
              <w:rPr>
                <w:rFonts w:ascii="Times New Roman" w:hAnsi="Times New Roman"/>
                <w:b/>
                <w:bCs/>
                <w:color w:val="auto"/>
                <w:kern w:val="0"/>
                <w:sz w:val="24"/>
                <w:highlight w:val="none"/>
              </w:rPr>
              <w:t>二、污染物排放标准</w:t>
            </w:r>
          </w:p>
          <w:p w14:paraId="7EEF924E">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1、废水</w:t>
            </w:r>
          </w:p>
          <w:p w14:paraId="0F5840D0">
            <w:pPr>
              <w:spacing w:line="360" w:lineRule="auto"/>
              <w:ind w:firstLine="480" w:firstLineChars="200"/>
              <w:rPr>
                <w:rFonts w:hint="eastAsia" w:ascii="Times New Roman" w:hAnsi="Times New Roman" w:cs="Times New Roman"/>
                <w:color w:val="auto"/>
                <w:sz w:val="24"/>
                <w:highlight w:val="none"/>
                <w:lang w:val="en-US" w:eastAsia="zh-CN"/>
              </w:rPr>
            </w:pPr>
            <w:r>
              <w:rPr>
                <w:rFonts w:ascii="Times New Roman" w:hAnsi="Times New Roman"/>
                <w:color w:val="auto"/>
                <w:sz w:val="24"/>
                <w:highlight w:val="none"/>
              </w:rPr>
              <w:t>项目无生产性废水排放，主要为施工期人员的生活污水，</w:t>
            </w:r>
            <w:r>
              <w:rPr>
                <w:rFonts w:hint="eastAsia" w:ascii="Times New Roman" w:hAnsi="Times New Roman"/>
                <w:color w:val="auto"/>
                <w:sz w:val="24"/>
                <w:highlight w:val="none"/>
              </w:rPr>
              <w:t>生活污水</w:t>
            </w:r>
            <w:r>
              <w:rPr>
                <w:rFonts w:ascii="Times New Roman" w:hAnsi="Times New Roman"/>
                <w:color w:val="auto"/>
                <w:sz w:val="24"/>
                <w:highlight w:val="none"/>
              </w:rPr>
              <w:t>经化粪池处理后，定期清掏用于当地农作物施肥。</w:t>
            </w:r>
            <w:r>
              <w:rPr>
                <w:rFonts w:hint="eastAsia"/>
                <w:color w:val="auto"/>
                <w:sz w:val="24"/>
                <w:highlight w:val="none"/>
                <w:lang w:val="en-US" w:eastAsia="zh-CN"/>
              </w:rPr>
              <w:t>本项目要求施工单位根据</w:t>
            </w:r>
            <w:r>
              <w:rPr>
                <w:rFonts w:hint="eastAsia" w:eastAsia="宋体" w:cs="Times New Roman"/>
                <w:color w:val="auto"/>
                <w:sz w:val="24"/>
                <w:highlight w:val="none"/>
                <w:lang w:val="en-US" w:eastAsia="zh-CN"/>
              </w:rPr>
              <w:t>抽水</w:t>
            </w:r>
            <w:r>
              <w:rPr>
                <w:rFonts w:hint="default" w:ascii="Times New Roman" w:hAnsi="Times New Roman" w:eastAsia="宋体" w:cs="Times New Roman"/>
                <w:color w:val="auto"/>
                <w:sz w:val="24"/>
                <w:highlight w:val="none"/>
                <w:lang w:val="en-US" w:eastAsia="zh-CN"/>
              </w:rPr>
              <w:t>试验</w:t>
            </w:r>
            <w:r>
              <w:rPr>
                <w:rFonts w:hint="eastAsia" w:ascii="Times New Roman" w:hAnsi="Times New Roman" w:cs="Times New Roman"/>
                <w:color w:val="auto"/>
                <w:sz w:val="24"/>
                <w:highlight w:val="none"/>
                <w:lang w:val="en-US" w:eastAsia="zh-CN"/>
              </w:rPr>
              <w:t>水质全成分检测结果进行针对性处置，若水质质量满足农田灌溉要求，则</w:t>
            </w:r>
            <w:r>
              <w:rPr>
                <w:rFonts w:hint="eastAsia" w:eastAsia="宋体"/>
                <w:color w:val="auto"/>
                <w:sz w:val="24"/>
                <w:highlight w:val="none"/>
              </w:rPr>
              <w:t>与周边农户协商好之后</w:t>
            </w:r>
            <w:r>
              <w:rPr>
                <w:rFonts w:hint="eastAsia"/>
                <w:color w:val="auto"/>
                <w:sz w:val="24"/>
                <w:highlight w:val="none"/>
                <w:lang w:eastAsia="zh-CN"/>
              </w:rPr>
              <w:t>，</w:t>
            </w:r>
            <w:r>
              <w:rPr>
                <w:rFonts w:hint="eastAsia" w:eastAsia="宋体"/>
                <w:color w:val="auto"/>
                <w:sz w:val="24"/>
                <w:highlight w:val="none"/>
              </w:rPr>
              <w:t>用于周边农田灌溉使用</w:t>
            </w:r>
            <w:r>
              <w:rPr>
                <w:rFonts w:hint="eastAsia"/>
                <w:color w:val="auto"/>
                <w:sz w:val="24"/>
                <w:highlight w:val="none"/>
                <w:lang w:eastAsia="zh-CN"/>
              </w:rPr>
              <w:t>，</w:t>
            </w:r>
            <w:r>
              <w:rPr>
                <w:rFonts w:hint="eastAsia"/>
                <w:color w:val="auto"/>
                <w:sz w:val="24"/>
                <w:highlight w:val="none"/>
                <w:lang w:val="en-US" w:eastAsia="zh-CN"/>
              </w:rPr>
              <w:t>若</w:t>
            </w:r>
            <w:r>
              <w:rPr>
                <w:rFonts w:hint="eastAsia" w:ascii="Times New Roman" w:hAnsi="Times New Roman" w:cs="Times New Roman"/>
                <w:color w:val="auto"/>
                <w:sz w:val="24"/>
                <w:highlight w:val="none"/>
                <w:lang w:val="en-US" w:eastAsia="zh-CN"/>
              </w:rPr>
              <w:t>水质质量</w:t>
            </w:r>
            <w:r>
              <w:rPr>
                <w:rFonts w:hint="eastAsia"/>
                <w:color w:val="auto"/>
                <w:sz w:val="24"/>
                <w:highlight w:val="none"/>
                <w:lang w:val="en-US" w:eastAsia="zh-CN"/>
              </w:rPr>
              <w:t>不满足</w:t>
            </w:r>
            <w:r>
              <w:rPr>
                <w:rFonts w:hint="eastAsia" w:ascii="Times New Roman" w:hAnsi="Times New Roman" w:cs="Times New Roman"/>
                <w:color w:val="auto"/>
                <w:sz w:val="24"/>
                <w:highlight w:val="none"/>
                <w:lang w:val="en-US" w:eastAsia="zh-CN"/>
              </w:rPr>
              <w:t>农田灌溉要求，则委托有处置能力单位进行处置。</w:t>
            </w:r>
          </w:p>
          <w:p w14:paraId="3B417A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表3-9   《农田灌溉水质标准》（GB5084-2021）</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2917"/>
              <w:gridCol w:w="2382"/>
              <w:gridCol w:w="1964"/>
            </w:tblGrid>
            <w:tr w14:paraId="6B5A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restart"/>
                  <w:vAlign w:val="center"/>
                </w:tcPr>
                <w:p w14:paraId="65989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序号</w:t>
                  </w:r>
                </w:p>
              </w:tc>
              <w:tc>
                <w:tcPr>
                  <w:tcW w:w="1860" w:type="pct"/>
                  <w:vMerge w:val="restart"/>
                  <w:vAlign w:val="center"/>
                </w:tcPr>
                <w:p w14:paraId="1ED878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项目类别</w:t>
                  </w:r>
                </w:p>
              </w:tc>
              <w:tc>
                <w:tcPr>
                  <w:tcW w:w="2771" w:type="pct"/>
                  <w:gridSpan w:val="2"/>
                  <w:vAlign w:val="center"/>
                </w:tcPr>
                <w:p w14:paraId="07AB7E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控制限值</w:t>
                  </w:r>
                </w:p>
              </w:tc>
            </w:tr>
            <w:tr w14:paraId="087E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vAlign w:val="center"/>
                </w:tcPr>
                <w:p w14:paraId="18382D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1860" w:type="pct"/>
                  <w:vMerge w:val="continue"/>
                  <w:vAlign w:val="center"/>
                </w:tcPr>
                <w:p w14:paraId="1D950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p>
              </w:tc>
              <w:tc>
                <w:tcPr>
                  <w:tcW w:w="1519" w:type="pct"/>
                  <w:vAlign w:val="center"/>
                </w:tcPr>
                <w:p w14:paraId="32AAA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水田作物</w:t>
                  </w:r>
                </w:p>
              </w:tc>
              <w:tc>
                <w:tcPr>
                  <w:tcW w:w="1252" w:type="pct"/>
                  <w:vAlign w:val="center"/>
                </w:tcPr>
                <w:p w14:paraId="06F18C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旱地作物</w:t>
                  </w:r>
                </w:p>
              </w:tc>
            </w:tr>
            <w:tr w14:paraId="1D1D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11AEA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860" w:type="pct"/>
                  <w:vAlign w:val="center"/>
                </w:tcPr>
                <w:p w14:paraId="2B192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pH值</w:t>
                  </w:r>
                </w:p>
              </w:tc>
              <w:tc>
                <w:tcPr>
                  <w:tcW w:w="2771" w:type="pct"/>
                  <w:gridSpan w:val="2"/>
                  <w:vAlign w:val="center"/>
                </w:tcPr>
                <w:p w14:paraId="72D754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5.5~8.5</w:t>
                  </w:r>
                </w:p>
              </w:tc>
            </w:tr>
            <w:tr w14:paraId="7D6F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3347B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860" w:type="pct"/>
                  <w:vAlign w:val="center"/>
                </w:tcPr>
                <w:p w14:paraId="63565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水温/℃</w:t>
                  </w:r>
                </w:p>
              </w:tc>
              <w:tc>
                <w:tcPr>
                  <w:tcW w:w="2771" w:type="pct"/>
                  <w:gridSpan w:val="2"/>
                  <w:vAlign w:val="center"/>
                </w:tcPr>
                <w:p w14:paraId="23C0F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w:t>
                  </w:r>
                </w:p>
              </w:tc>
            </w:tr>
            <w:tr w14:paraId="79F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04D9F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860" w:type="pct"/>
                  <w:vAlign w:val="center"/>
                </w:tcPr>
                <w:p w14:paraId="0F989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悬浮物/（mg/L）</w:t>
                  </w:r>
                </w:p>
              </w:tc>
              <w:tc>
                <w:tcPr>
                  <w:tcW w:w="1519" w:type="pct"/>
                  <w:vAlign w:val="center"/>
                </w:tcPr>
                <w:p w14:paraId="6B886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1252" w:type="pct"/>
                  <w:vAlign w:val="center"/>
                </w:tcPr>
                <w:p w14:paraId="03929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r>
            <w:tr w14:paraId="69FF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5382A3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1860" w:type="pct"/>
                  <w:vAlign w:val="center"/>
                </w:tcPr>
                <w:p w14:paraId="0EEDF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五日生化需氧量/（mg/L）</w:t>
                  </w:r>
                </w:p>
              </w:tc>
              <w:tc>
                <w:tcPr>
                  <w:tcW w:w="1519" w:type="pct"/>
                  <w:vAlign w:val="center"/>
                </w:tcPr>
                <w:p w14:paraId="6CF86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252" w:type="pct"/>
                  <w:vAlign w:val="center"/>
                </w:tcPr>
                <w:p w14:paraId="7C24E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r>
            <w:tr w14:paraId="4887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7060AB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1860" w:type="pct"/>
                  <w:vAlign w:val="center"/>
                </w:tcPr>
                <w:p w14:paraId="48E09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化学需氧量/（mg/L）</w:t>
                  </w:r>
                </w:p>
              </w:tc>
              <w:tc>
                <w:tcPr>
                  <w:tcW w:w="1519" w:type="pct"/>
                  <w:vAlign w:val="center"/>
                </w:tcPr>
                <w:p w14:paraId="4DC6D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252" w:type="pct"/>
                  <w:vAlign w:val="center"/>
                </w:tcPr>
                <w:p w14:paraId="1728E1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r>
            <w:tr w14:paraId="77C8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3D38C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1860" w:type="pct"/>
                  <w:vAlign w:val="center"/>
                </w:tcPr>
                <w:p w14:paraId="30C2B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阴离子表面活性剂/（mg/L）</w:t>
                  </w:r>
                </w:p>
              </w:tc>
              <w:tc>
                <w:tcPr>
                  <w:tcW w:w="1519" w:type="pct"/>
                  <w:vAlign w:val="center"/>
                </w:tcPr>
                <w:p w14:paraId="78DBE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1252" w:type="pct"/>
                  <w:vAlign w:val="center"/>
                </w:tcPr>
                <w:p w14:paraId="53F86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r>
            <w:tr w14:paraId="1637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363DF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860" w:type="pct"/>
                  <w:vAlign w:val="center"/>
                </w:tcPr>
                <w:p w14:paraId="0B45F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氯化物/（mg/L）</w:t>
                  </w:r>
                </w:p>
              </w:tc>
              <w:tc>
                <w:tcPr>
                  <w:tcW w:w="1519" w:type="pct"/>
                  <w:vAlign w:val="center"/>
                </w:tcPr>
                <w:p w14:paraId="6C37F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350</w:t>
                  </w:r>
                </w:p>
              </w:tc>
              <w:tc>
                <w:tcPr>
                  <w:tcW w:w="1252" w:type="pct"/>
                  <w:vAlign w:val="center"/>
                </w:tcPr>
                <w:p w14:paraId="3DD6FB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35FB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47162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1860" w:type="pct"/>
                  <w:vAlign w:val="center"/>
                </w:tcPr>
                <w:p w14:paraId="28424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硫化物/（mg/L）</w:t>
                  </w:r>
                </w:p>
              </w:tc>
              <w:tc>
                <w:tcPr>
                  <w:tcW w:w="1519" w:type="pct"/>
                  <w:vAlign w:val="center"/>
                </w:tcPr>
                <w:p w14:paraId="3C5E1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252" w:type="pct"/>
                  <w:vAlign w:val="center"/>
                </w:tcPr>
                <w:p w14:paraId="440F0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5AAA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43B63F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1860" w:type="pct"/>
                  <w:vAlign w:val="center"/>
                </w:tcPr>
                <w:p w14:paraId="25F06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全盐量/（mg/L）</w:t>
                  </w:r>
                </w:p>
              </w:tc>
              <w:tc>
                <w:tcPr>
                  <w:tcW w:w="2771" w:type="pct"/>
                  <w:gridSpan w:val="2"/>
                  <w:vAlign w:val="center"/>
                </w:tcPr>
                <w:p w14:paraId="7B9CD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1000（非盐碱土地区），2000（盐碱土地区）</w:t>
                  </w:r>
                </w:p>
              </w:tc>
            </w:tr>
            <w:tr w14:paraId="03AE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21FA5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860" w:type="pct"/>
                  <w:vAlign w:val="center"/>
                </w:tcPr>
                <w:p w14:paraId="59747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总铅/（mg/L）</w:t>
                  </w:r>
                </w:p>
              </w:tc>
              <w:tc>
                <w:tcPr>
                  <w:tcW w:w="2771" w:type="pct"/>
                  <w:gridSpan w:val="2"/>
                  <w:vAlign w:val="center"/>
                </w:tcPr>
                <w:p w14:paraId="03E2BB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w:t>
                  </w:r>
                </w:p>
              </w:tc>
            </w:tr>
            <w:tr w14:paraId="3F4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4DE9A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1860" w:type="pct"/>
                  <w:vAlign w:val="center"/>
                </w:tcPr>
                <w:p w14:paraId="307DE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总镉/（mg/L）</w:t>
                  </w:r>
                </w:p>
              </w:tc>
              <w:tc>
                <w:tcPr>
                  <w:tcW w:w="2771" w:type="pct"/>
                  <w:gridSpan w:val="2"/>
                  <w:vAlign w:val="center"/>
                </w:tcPr>
                <w:p w14:paraId="265436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w:t>
                  </w:r>
                </w:p>
              </w:tc>
            </w:tr>
            <w:tr w14:paraId="7A1D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14F0B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1860" w:type="pct"/>
                  <w:vAlign w:val="center"/>
                </w:tcPr>
                <w:p w14:paraId="0E3E1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铬（六价）/（mg/L）</w:t>
                  </w:r>
                </w:p>
              </w:tc>
              <w:tc>
                <w:tcPr>
                  <w:tcW w:w="2771" w:type="pct"/>
                  <w:gridSpan w:val="2"/>
                  <w:vAlign w:val="center"/>
                </w:tcPr>
                <w:p w14:paraId="57B4D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r>
            <w:tr w14:paraId="5F96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1BEA6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1860" w:type="pct"/>
                  <w:vAlign w:val="center"/>
                </w:tcPr>
                <w:p w14:paraId="21F719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总汞/（mg/L）</w:t>
                  </w:r>
                </w:p>
              </w:tc>
              <w:tc>
                <w:tcPr>
                  <w:tcW w:w="2771" w:type="pct"/>
                  <w:gridSpan w:val="2"/>
                  <w:vAlign w:val="center"/>
                </w:tcPr>
                <w:p w14:paraId="28C8F6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0.001</w:t>
                  </w:r>
                </w:p>
              </w:tc>
            </w:tr>
            <w:tr w14:paraId="7CE4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7DC45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c>
                <w:tcPr>
                  <w:tcW w:w="1860" w:type="pct"/>
                  <w:vAlign w:val="center"/>
                </w:tcPr>
                <w:p w14:paraId="2FBCA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总砷/（mg/L）</w:t>
                  </w:r>
                </w:p>
              </w:tc>
              <w:tc>
                <w:tcPr>
                  <w:tcW w:w="1519" w:type="pct"/>
                  <w:vAlign w:val="center"/>
                </w:tcPr>
                <w:p w14:paraId="5642B7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0.05</w:t>
                  </w:r>
                </w:p>
              </w:tc>
              <w:tc>
                <w:tcPr>
                  <w:tcW w:w="1252" w:type="pct"/>
                  <w:vAlign w:val="center"/>
                </w:tcPr>
                <w:p w14:paraId="2177BB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r>
            <w:tr w14:paraId="5975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382E3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1860" w:type="pct"/>
                  <w:vAlign w:val="center"/>
                </w:tcPr>
                <w:p w14:paraId="1168D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粪大肠杆菌/（MPN/L）</w:t>
                  </w:r>
                </w:p>
              </w:tc>
              <w:tc>
                <w:tcPr>
                  <w:tcW w:w="2771" w:type="pct"/>
                  <w:gridSpan w:val="2"/>
                  <w:vAlign w:val="center"/>
                </w:tcPr>
                <w:p w14:paraId="65E4F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40000</w:t>
                  </w:r>
                </w:p>
              </w:tc>
            </w:tr>
            <w:tr w14:paraId="3619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20A509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c>
                <w:tcPr>
                  <w:tcW w:w="1860" w:type="pct"/>
                  <w:vAlign w:val="center"/>
                </w:tcPr>
                <w:p w14:paraId="33267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蛔虫卵数/（个/10L）</w:t>
                  </w:r>
                </w:p>
              </w:tc>
              <w:tc>
                <w:tcPr>
                  <w:tcW w:w="2771" w:type="pct"/>
                  <w:gridSpan w:val="2"/>
                  <w:vAlign w:val="center"/>
                </w:tcPr>
                <w:p w14:paraId="3C6E6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r>
          </w:tbl>
          <w:p w14:paraId="6BA3EF8E">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2、废气</w:t>
            </w:r>
          </w:p>
          <w:p w14:paraId="17C40C1A">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本项目施工期颗粒物执行</w:t>
            </w:r>
            <w:r>
              <w:rPr>
                <w:rFonts w:hint="eastAsia" w:ascii="Times New Roman" w:hAnsi="Times New Roman"/>
                <w:color w:val="auto"/>
                <w:sz w:val="24"/>
                <w:highlight w:val="none"/>
              </w:rPr>
              <w:t>安徽省《施工场地颗粒物排放标准》（</w:t>
            </w:r>
            <w:r>
              <w:rPr>
                <w:rFonts w:ascii="Times New Roman" w:hAnsi="Times New Roman"/>
                <w:color w:val="auto"/>
                <w:sz w:val="24"/>
                <w:highlight w:val="none"/>
              </w:rPr>
              <w:t>DB34/4811-2024</w:t>
            </w:r>
            <w:r>
              <w:rPr>
                <w:rFonts w:hint="eastAsia" w:ascii="Times New Roman" w:hAnsi="Times New Roman"/>
                <w:color w:val="auto"/>
                <w:sz w:val="24"/>
                <w:highlight w:val="none"/>
              </w:rPr>
              <w:t>）</w:t>
            </w:r>
            <w:r>
              <w:rPr>
                <w:rFonts w:ascii="Times New Roman" w:hAnsi="Times New Roman"/>
                <w:color w:val="auto"/>
                <w:sz w:val="24"/>
                <w:highlight w:val="none"/>
              </w:rPr>
              <w:t>中厂界大气污染物无组织监控浓度限值。</w:t>
            </w:r>
            <w:r>
              <w:rPr>
                <w:rFonts w:hint="eastAsia" w:ascii="Times New Roman" w:hAnsi="Times New Roman"/>
                <w:color w:val="auto"/>
                <w:sz w:val="24"/>
                <w:highlight w:val="none"/>
              </w:rPr>
              <w:t>其他</w:t>
            </w:r>
            <w:r>
              <w:rPr>
                <w:rFonts w:ascii="Times New Roman" w:hAnsi="Times New Roman"/>
                <w:color w:val="auto"/>
                <w:sz w:val="24"/>
                <w:highlight w:val="none"/>
              </w:rPr>
              <w:t>废气执行《大气污染物综合排放标准》（GB16297-1996）中无组织排放监控浓度限值。具体标准值见下表。</w:t>
            </w:r>
          </w:p>
          <w:p w14:paraId="5A5E0D9D">
            <w:pPr>
              <w:spacing w:line="360" w:lineRule="auto"/>
              <w:jc w:val="center"/>
              <w:rPr>
                <w:rFonts w:ascii="Times New Roman" w:hAnsi="Times New Roman"/>
                <w:b/>
                <w:color w:val="auto"/>
                <w:szCs w:val="21"/>
                <w:highlight w:val="none"/>
              </w:rPr>
            </w:pPr>
            <w:r>
              <w:rPr>
                <w:rFonts w:hint="eastAsia" w:ascii="Times New Roman" w:hAnsi="Times New Roman"/>
                <w:b/>
                <w:color w:val="auto"/>
                <w:szCs w:val="21"/>
                <w:highlight w:val="none"/>
              </w:rPr>
              <w:t>表3-</w:t>
            </w:r>
            <w:r>
              <w:rPr>
                <w:rFonts w:hint="eastAsia" w:ascii="Times New Roman" w:hAnsi="Times New Roman"/>
                <w:b/>
                <w:color w:val="auto"/>
                <w:szCs w:val="21"/>
                <w:highlight w:val="none"/>
                <w:lang w:val="en-US" w:eastAsia="zh-CN"/>
              </w:rPr>
              <w:t>10</w:t>
            </w:r>
            <w:r>
              <w:rPr>
                <w:rFonts w:hint="eastAsia" w:ascii="Times New Roman" w:hAnsi="Times New Roman"/>
                <w:b/>
                <w:color w:val="auto"/>
                <w:szCs w:val="21"/>
                <w:highlight w:val="none"/>
              </w:rPr>
              <w:t xml:space="preserve">  安徽省《施工场地颗粒物排放标准》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558"/>
              <w:gridCol w:w="2217"/>
              <w:gridCol w:w="2048"/>
            </w:tblGrid>
            <w:tr w14:paraId="70E2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86" w:type="pct"/>
                  <w:vAlign w:val="center"/>
                </w:tcPr>
                <w:p w14:paraId="09BC7DE9">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污染物</w:t>
                  </w:r>
                </w:p>
              </w:tc>
              <w:tc>
                <w:tcPr>
                  <w:tcW w:w="2408" w:type="pct"/>
                  <w:gridSpan w:val="2"/>
                  <w:vAlign w:val="center"/>
                </w:tcPr>
                <w:p w14:paraId="05052376">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监控点浓度限值（μg/m</w:t>
                  </w:r>
                  <w:r>
                    <w:rPr>
                      <w:rFonts w:ascii="Times New Roman" w:hAnsi="Times New Roman"/>
                      <w:b/>
                      <w:bCs w:val="0"/>
                      <w:color w:val="auto"/>
                      <w:szCs w:val="21"/>
                      <w:highlight w:val="none"/>
                      <w:vertAlign w:val="superscript"/>
                    </w:rPr>
                    <w:t>3</w:t>
                  </w:r>
                  <w:r>
                    <w:rPr>
                      <w:rFonts w:ascii="Times New Roman" w:hAnsi="Times New Roman"/>
                      <w:b/>
                      <w:bCs w:val="0"/>
                      <w:color w:val="auto"/>
                      <w:szCs w:val="21"/>
                      <w:highlight w:val="none"/>
                    </w:rPr>
                    <w:t>）</w:t>
                  </w:r>
                </w:p>
              </w:tc>
              <w:tc>
                <w:tcPr>
                  <w:tcW w:w="1306" w:type="pct"/>
                  <w:vAlign w:val="center"/>
                </w:tcPr>
                <w:p w14:paraId="12F47EAF">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备注</w:t>
                  </w:r>
                </w:p>
              </w:tc>
            </w:tr>
            <w:tr w14:paraId="3D82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86" w:type="pct"/>
                  <w:vMerge w:val="restart"/>
                  <w:vAlign w:val="center"/>
                </w:tcPr>
                <w:p w14:paraId="0B10C840">
                  <w:pPr>
                    <w:jc w:val="center"/>
                    <w:rPr>
                      <w:rFonts w:ascii="Times New Roman" w:hAnsi="Times New Roman"/>
                      <w:bCs/>
                      <w:color w:val="auto"/>
                      <w:szCs w:val="21"/>
                      <w:highlight w:val="none"/>
                    </w:rPr>
                  </w:pPr>
                  <w:r>
                    <w:rPr>
                      <w:rFonts w:ascii="Times New Roman" w:hAnsi="Times New Roman"/>
                      <w:bCs/>
                      <w:color w:val="auto"/>
                      <w:szCs w:val="21"/>
                      <w:highlight w:val="none"/>
                    </w:rPr>
                    <w:t>颗粒物</w:t>
                  </w:r>
                </w:p>
              </w:tc>
              <w:tc>
                <w:tcPr>
                  <w:tcW w:w="994" w:type="pct"/>
                  <w:vAlign w:val="center"/>
                </w:tcPr>
                <w:p w14:paraId="1CDA8D47">
                  <w:pPr>
                    <w:jc w:val="center"/>
                    <w:rPr>
                      <w:rFonts w:ascii="Times New Roman" w:hAnsi="Times New Roman"/>
                      <w:bCs/>
                      <w:color w:val="auto"/>
                      <w:szCs w:val="21"/>
                      <w:highlight w:val="none"/>
                    </w:rPr>
                  </w:pPr>
                  <w:r>
                    <w:rPr>
                      <w:rFonts w:hint="eastAsia" w:ascii="Times New Roman" w:hAnsi="Times New Roman"/>
                      <w:bCs/>
                      <w:color w:val="auto"/>
                      <w:szCs w:val="21"/>
                      <w:highlight w:val="none"/>
                    </w:rPr>
                    <w:t>1000</w:t>
                  </w:r>
                </w:p>
              </w:tc>
              <w:tc>
                <w:tcPr>
                  <w:tcW w:w="1414" w:type="pct"/>
                  <w:vAlign w:val="center"/>
                </w:tcPr>
                <w:p w14:paraId="648E2EBF">
                  <w:pPr>
                    <w:jc w:val="center"/>
                    <w:rPr>
                      <w:rFonts w:ascii="Times New Roman" w:hAnsi="Times New Roman"/>
                      <w:bCs/>
                      <w:color w:val="auto"/>
                      <w:szCs w:val="21"/>
                      <w:highlight w:val="none"/>
                    </w:rPr>
                  </w:pPr>
                  <w:r>
                    <w:rPr>
                      <w:rFonts w:hint="eastAsia" w:ascii="Times New Roman" w:hAnsi="Times New Roman"/>
                      <w:bCs/>
                      <w:color w:val="auto"/>
                      <w:szCs w:val="21"/>
                      <w:highlight w:val="none"/>
                    </w:rPr>
                    <w:t>超标次数≤1次/日</w:t>
                  </w:r>
                </w:p>
              </w:tc>
              <w:tc>
                <w:tcPr>
                  <w:tcW w:w="1306" w:type="pct"/>
                  <w:vMerge w:val="restart"/>
                  <w:vAlign w:val="center"/>
                </w:tcPr>
                <w:p w14:paraId="47CFD83D">
                  <w:pPr>
                    <w:jc w:val="center"/>
                    <w:rPr>
                      <w:rFonts w:ascii="Times New Roman" w:hAnsi="Times New Roman"/>
                      <w:bCs/>
                      <w:color w:val="auto"/>
                      <w:szCs w:val="21"/>
                      <w:highlight w:val="none"/>
                    </w:rPr>
                  </w:pPr>
                  <w:r>
                    <w:rPr>
                      <w:rFonts w:hint="eastAsia" w:ascii="Times New Roman" w:hAnsi="Times New Roman"/>
                      <w:bCs/>
                      <w:color w:val="auto"/>
                      <w:szCs w:val="21"/>
                      <w:highlight w:val="none"/>
                    </w:rPr>
                    <w:t>《施工场地颗粒物排放标准》（</w:t>
                  </w:r>
                  <w:r>
                    <w:rPr>
                      <w:rFonts w:ascii="Times New Roman" w:hAnsi="Times New Roman"/>
                      <w:bCs/>
                      <w:color w:val="auto"/>
                      <w:szCs w:val="21"/>
                      <w:highlight w:val="none"/>
                    </w:rPr>
                    <w:t>DB34/4811-2024</w:t>
                  </w:r>
                  <w:r>
                    <w:rPr>
                      <w:rFonts w:hint="eastAsia" w:ascii="Times New Roman" w:hAnsi="Times New Roman"/>
                      <w:bCs/>
                      <w:color w:val="auto"/>
                      <w:szCs w:val="21"/>
                      <w:highlight w:val="none"/>
                    </w:rPr>
                    <w:t>）</w:t>
                  </w:r>
                </w:p>
              </w:tc>
            </w:tr>
            <w:tr w14:paraId="7315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6" w:type="pct"/>
                  <w:vMerge w:val="continue"/>
                  <w:vAlign w:val="center"/>
                </w:tcPr>
                <w:p w14:paraId="63A8CE68">
                  <w:pPr>
                    <w:jc w:val="center"/>
                    <w:rPr>
                      <w:rFonts w:ascii="Times New Roman" w:hAnsi="Times New Roman"/>
                      <w:bCs/>
                      <w:color w:val="auto"/>
                      <w:szCs w:val="21"/>
                      <w:highlight w:val="none"/>
                    </w:rPr>
                  </w:pPr>
                </w:p>
              </w:tc>
              <w:tc>
                <w:tcPr>
                  <w:tcW w:w="994" w:type="pct"/>
                  <w:vAlign w:val="center"/>
                </w:tcPr>
                <w:p w14:paraId="51048339">
                  <w:pPr>
                    <w:jc w:val="center"/>
                    <w:rPr>
                      <w:rFonts w:ascii="Times New Roman" w:hAnsi="Times New Roman"/>
                      <w:bCs/>
                      <w:color w:val="auto"/>
                      <w:szCs w:val="21"/>
                      <w:highlight w:val="none"/>
                    </w:rPr>
                  </w:pPr>
                  <w:r>
                    <w:rPr>
                      <w:rFonts w:hint="eastAsia" w:ascii="Times New Roman" w:hAnsi="Times New Roman"/>
                      <w:bCs/>
                      <w:color w:val="auto"/>
                      <w:szCs w:val="21"/>
                      <w:highlight w:val="none"/>
                    </w:rPr>
                    <w:t>500</w:t>
                  </w:r>
                </w:p>
              </w:tc>
              <w:tc>
                <w:tcPr>
                  <w:tcW w:w="1414" w:type="pct"/>
                  <w:vAlign w:val="center"/>
                </w:tcPr>
                <w:p w14:paraId="1DA26EB1">
                  <w:pPr>
                    <w:jc w:val="center"/>
                    <w:rPr>
                      <w:rFonts w:ascii="Times New Roman" w:hAnsi="Times New Roman"/>
                      <w:bCs/>
                      <w:color w:val="auto"/>
                      <w:szCs w:val="21"/>
                      <w:highlight w:val="none"/>
                    </w:rPr>
                  </w:pPr>
                  <w:r>
                    <w:rPr>
                      <w:rFonts w:hint="eastAsia" w:ascii="Times New Roman" w:hAnsi="Times New Roman"/>
                      <w:bCs/>
                      <w:color w:val="auto"/>
                      <w:szCs w:val="21"/>
                      <w:highlight w:val="none"/>
                    </w:rPr>
                    <w:t>超标次数≤6次/日</w:t>
                  </w:r>
                </w:p>
              </w:tc>
              <w:tc>
                <w:tcPr>
                  <w:tcW w:w="1306" w:type="pct"/>
                  <w:vMerge w:val="continue"/>
                  <w:vAlign w:val="center"/>
                </w:tcPr>
                <w:p w14:paraId="52DE744D">
                  <w:pPr>
                    <w:jc w:val="center"/>
                    <w:rPr>
                      <w:rFonts w:ascii="Times New Roman" w:hAnsi="Times New Roman"/>
                      <w:bCs/>
                      <w:color w:val="auto"/>
                      <w:szCs w:val="21"/>
                      <w:highlight w:val="none"/>
                    </w:rPr>
                  </w:pPr>
                </w:p>
              </w:tc>
            </w:tr>
          </w:tbl>
          <w:p w14:paraId="514D6AC1">
            <w:pPr>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表3-</w:t>
            </w:r>
            <w:r>
              <w:rPr>
                <w:rFonts w:hint="eastAsia" w:ascii="Times New Roman" w:hAnsi="Times New Roman"/>
                <w:b/>
                <w:color w:val="auto"/>
                <w:szCs w:val="21"/>
                <w:highlight w:val="none"/>
                <w:lang w:val="en-US" w:eastAsia="zh-CN"/>
              </w:rPr>
              <w:t>11</w:t>
            </w:r>
            <w:r>
              <w:rPr>
                <w:rFonts w:ascii="Times New Roman" w:hAnsi="Times New Roman"/>
                <w:b/>
                <w:color w:val="auto"/>
                <w:szCs w:val="21"/>
                <w:highlight w:val="none"/>
              </w:rPr>
              <w:t xml:space="preserve">  大气污染物综合排放标准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79"/>
              <w:gridCol w:w="2566"/>
              <w:gridCol w:w="1151"/>
              <w:gridCol w:w="2146"/>
            </w:tblGrid>
            <w:tr w14:paraId="5DAF57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979" w:type="dxa"/>
                  <w:vMerge w:val="restart"/>
                  <w:noWrap/>
                  <w:vAlign w:val="center"/>
                </w:tcPr>
                <w:p w14:paraId="5DA10EB4">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污染物</w:t>
                  </w:r>
                </w:p>
              </w:tc>
              <w:tc>
                <w:tcPr>
                  <w:tcW w:w="3717" w:type="dxa"/>
                  <w:gridSpan w:val="2"/>
                  <w:noWrap/>
                  <w:vAlign w:val="center"/>
                </w:tcPr>
                <w:p w14:paraId="2313D6DA">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无组织排放监控浓度限值（mg/m</w:t>
                  </w:r>
                  <w:r>
                    <w:rPr>
                      <w:rFonts w:ascii="Times New Roman" w:hAnsi="Times New Roman"/>
                      <w:b/>
                      <w:bCs w:val="0"/>
                      <w:color w:val="auto"/>
                      <w:szCs w:val="21"/>
                      <w:highlight w:val="none"/>
                      <w:vertAlign w:val="superscript"/>
                    </w:rPr>
                    <w:t>3</w:t>
                  </w:r>
                  <w:r>
                    <w:rPr>
                      <w:rFonts w:ascii="Times New Roman" w:hAnsi="Times New Roman"/>
                      <w:b/>
                      <w:bCs w:val="0"/>
                      <w:color w:val="auto"/>
                      <w:szCs w:val="21"/>
                      <w:highlight w:val="none"/>
                    </w:rPr>
                    <w:t>）</w:t>
                  </w:r>
                </w:p>
              </w:tc>
              <w:tc>
                <w:tcPr>
                  <w:tcW w:w="2146" w:type="dxa"/>
                  <w:vMerge w:val="restart"/>
                  <w:noWrap/>
                  <w:vAlign w:val="center"/>
                </w:tcPr>
                <w:p w14:paraId="50CB0B17">
                  <w:pPr>
                    <w:jc w:val="center"/>
                    <w:rPr>
                      <w:rFonts w:ascii="Times New Roman" w:hAnsi="Times New Roman"/>
                      <w:color w:val="auto"/>
                      <w:szCs w:val="21"/>
                      <w:highlight w:val="none"/>
                    </w:rPr>
                  </w:pPr>
                  <w:r>
                    <w:rPr>
                      <w:rFonts w:ascii="Times New Roman" w:hAnsi="Times New Roman"/>
                      <w:b/>
                      <w:bCs/>
                      <w:color w:val="auto"/>
                      <w:szCs w:val="21"/>
                      <w:highlight w:val="none"/>
                    </w:rPr>
                    <w:t>备注</w:t>
                  </w:r>
                </w:p>
              </w:tc>
            </w:tr>
            <w:tr w14:paraId="346B2F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979" w:type="dxa"/>
                  <w:vMerge w:val="continue"/>
                  <w:noWrap/>
                  <w:vAlign w:val="center"/>
                </w:tcPr>
                <w:p w14:paraId="4EFADC96">
                  <w:pPr>
                    <w:jc w:val="center"/>
                    <w:rPr>
                      <w:rFonts w:ascii="Times New Roman" w:hAnsi="Times New Roman"/>
                      <w:b/>
                      <w:bCs w:val="0"/>
                      <w:color w:val="auto"/>
                      <w:szCs w:val="21"/>
                      <w:highlight w:val="none"/>
                    </w:rPr>
                  </w:pPr>
                </w:p>
              </w:tc>
              <w:tc>
                <w:tcPr>
                  <w:tcW w:w="2566" w:type="dxa"/>
                  <w:noWrap/>
                  <w:vAlign w:val="center"/>
                </w:tcPr>
                <w:p w14:paraId="1C645FF5">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监控点</w:t>
                  </w:r>
                </w:p>
              </w:tc>
              <w:tc>
                <w:tcPr>
                  <w:tcW w:w="1151" w:type="dxa"/>
                  <w:noWrap/>
                  <w:vAlign w:val="center"/>
                </w:tcPr>
                <w:p w14:paraId="6120ADC1">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浓度</w:t>
                  </w:r>
                </w:p>
              </w:tc>
              <w:tc>
                <w:tcPr>
                  <w:tcW w:w="2146" w:type="dxa"/>
                  <w:vMerge w:val="continue"/>
                  <w:noWrap/>
                  <w:vAlign w:val="center"/>
                </w:tcPr>
                <w:p w14:paraId="2999EE58">
                  <w:pPr>
                    <w:jc w:val="center"/>
                    <w:rPr>
                      <w:rFonts w:ascii="Times New Roman" w:hAnsi="Times New Roman"/>
                      <w:color w:val="auto"/>
                      <w:szCs w:val="21"/>
                      <w:highlight w:val="none"/>
                    </w:rPr>
                  </w:pPr>
                </w:p>
              </w:tc>
            </w:tr>
            <w:tr w14:paraId="673D7B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979" w:type="dxa"/>
                  <w:noWrap/>
                  <w:vAlign w:val="center"/>
                </w:tcPr>
                <w:p w14:paraId="709D291F">
                  <w:pPr>
                    <w:jc w:val="center"/>
                    <w:rPr>
                      <w:rFonts w:ascii="Times New Roman" w:hAnsi="Times New Roman"/>
                      <w:color w:val="auto"/>
                      <w:szCs w:val="21"/>
                      <w:highlight w:val="none"/>
                    </w:rPr>
                  </w:pPr>
                  <w:r>
                    <w:rPr>
                      <w:rFonts w:ascii="Times New Roman" w:hAnsi="Times New Roman"/>
                      <w:color w:val="auto"/>
                      <w:szCs w:val="21"/>
                      <w:highlight w:val="none"/>
                    </w:rPr>
                    <w:t>SO</w:t>
                  </w:r>
                  <w:r>
                    <w:rPr>
                      <w:rFonts w:ascii="Times New Roman" w:hAnsi="Times New Roman"/>
                      <w:color w:val="auto"/>
                      <w:szCs w:val="21"/>
                      <w:highlight w:val="none"/>
                      <w:vertAlign w:val="subscript"/>
                    </w:rPr>
                    <w:t>2</w:t>
                  </w:r>
                </w:p>
              </w:tc>
              <w:tc>
                <w:tcPr>
                  <w:tcW w:w="2566" w:type="dxa"/>
                  <w:vMerge w:val="restart"/>
                  <w:noWrap/>
                  <w:vAlign w:val="center"/>
                </w:tcPr>
                <w:p w14:paraId="5FF97DC4">
                  <w:pPr>
                    <w:jc w:val="center"/>
                    <w:rPr>
                      <w:rFonts w:ascii="Times New Roman" w:hAnsi="Times New Roman"/>
                      <w:color w:val="auto"/>
                      <w:szCs w:val="21"/>
                      <w:highlight w:val="none"/>
                    </w:rPr>
                  </w:pPr>
                  <w:r>
                    <w:rPr>
                      <w:rFonts w:ascii="Times New Roman" w:hAnsi="Times New Roman"/>
                      <w:color w:val="auto"/>
                      <w:szCs w:val="21"/>
                      <w:highlight w:val="none"/>
                    </w:rPr>
                    <w:t>周界外浓度最高点</w:t>
                  </w:r>
                </w:p>
              </w:tc>
              <w:tc>
                <w:tcPr>
                  <w:tcW w:w="1151" w:type="dxa"/>
                  <w:noWrap/>
                  <w:vAlign w:val="center"/>
                </w:tcPr>
                <w:p w14:paraId="787F61F4">
                  <w:pPr>
                    <w:jc w:val="center"/>
                    <w:rPr>
                      <w:rFonts w:ascii="Times New Roman" w:hAnsi="Times New Roman"/>
                      <w:color w:val="auto"/>
                      <w:szCs w:val="21"/>
                      <w:highlight w:val="none"/>
                    </w:rPr>
                  </w:pPr>
                  <w:r>
                    <w:rPr>
                      <w:rFonts w:ascii="Times New Roman" w:hAnsi="Times New Roman"/>
                      <w:color w:val="auto"/>
                      <w:szCs w:val="21"/>
                      <w:highlight w:val="none"/>
                    </w:rPr>
                    <w:t>0.40</w:t>
                  </w:r>
                </w:p>
              </w:tc>
              <w:tc>
                <w:tcPr>
                  <w:tcW w:w="2146" w:type="dxa"/>
                  <w:vMerge w:val="restart"/>
                  <w:noWrap/>
                  <w:vAlign w:val="center"/>
                </w:tcPr>
                <w:p w14:paraId="6CDD87AA">
                  <w:pPr>
                    <w:jc w:val="center"/>
                    <w:rPr>
                      <w:rFonts w:ascii="Times New Roman" w:hAnsi="Times New Roman"/>
                      <w:color w:val="auto"/>
                      <w:szCs w:val="21"/>
                      <w:highlight w:val="none"/>
                    </w:rPr>
                  </w:pPr>
                  <w:r>
                    <w:rPr>
                      <w:rFonts w:ascii="Times New Roman" w:hAnsi="Times New Roman"/>
                      <w:color w:val="auto"/>
                      <w:szCs w:val="21"/>
                      <w:highlight w:val="none"/>
                    </w:rPr>
                    <w:t>《大气污染物综合排放标准》（GB16297-1996）</w:t>
                  </w:r>
                </w:p>
              </w:tc>
            </w:tr>
            <w:tr w14:paraId="7BF70B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979" w:type="dxa"/>
                  <w:noWrap/>
                  <w:vAlign w:val="center"/>
                </w:tcPr>
                <w:p w14:paraId="5301E206">
                  <w:pPr>
                    <w:jc w:val="center"/>
                    <w:rPr>
                      <w:rFonts w:ascii="Times New Roman" w:hAnsi="Times New Roman"/>
                      <w:color w:val="auto"/>
                      <w:szCs w:val="21"/>
                      <w:highlight w:val="none"/>
                      <w:vertAlign w:val="subscript"/>
                    </w:rPr>
                  </w:pPr>
                  <w:r>
                    <w:rPr>
                      <w:rFonts w:ascii="Times New Roman" w:hAnsi="Times New Roman"/>
                      <w:color w:val="auto"/>
                      <w:szCs w:val="21"/>
                      <w:highlight w:val="none"/>
                    </w:rPr>
                    <w:t>NO</w:t>
                  </w:r>
                  <w:r>
                    <w:rPr>
                      <w:rFonts w:ascii="Times New Roman" w:hAnsi="Times New Roman"/>
                      <w:color w:val="auto"/>
                      <w:szCs w:val="21"/>
                      <w:highlight w:val="none"/>
                      <w:vertAlign w:val="subscript"/>
                    </w:rPr>
                    <w:t>x</w:t>
                  </w:r>
                </w:p>
              </w:tc>
              <w:tc>
                <w:tcPr>
                  <w:tcW w:w="2566" w:type="dxa"/>
                  <w:vMerge w:val="continue"/>
                  <w:noWrap/>
                  <w:vAlign w:val="center"/>
                </w:tcPr>
                <w:p w14:paraId="4B16AFC9">
                  <w:pPr>
                    <w:jc w:val="center"/>
                    <w:rPr>
                      <w:rFonts w:ascii="Times New Roman" w:hAnsi="Times New Roman"/>
                      <w:color w:val="auto"/>
                      <w:szCs w:val="21"/>
                      <w:highlight w:val="none"/>
                    </w:rPr>
                  </w:pPr>
                </w:p>
              </w:tc>
              <w:tc>
                <w:tcPr>
                  <w:tcW w:w="1151" w:type="dxa"/>
                  <w:noWrap/>
                  <w:vAlign w:val="center"/>
                </w:tcPr>
                <w:p w14:paraId="3A55837A">
                  <w:pPr>
                    <w:jc w:val="center"/>
                    <w:rPr>
                      <w:rFonts w:ascii="Times New Roman" w:hAnsi="Times New Roman"/>
                      <w:color w:val="auto"/>
                      <w:szCs w:val="21"/>
                      <w:highlight w:val="none"/>
                    </w:rPr>
                  </w:pPr>
                  <w:r>
                    <w:rPr>
                      <w:rFonts w:ascii="Times New Roman" w:hAnsi="Times New Roman"/>
                      <w:color w:val="auto"/>
                      <w:szCs w:val="21"/>
                      <w:highlight w:val="none"/>
                    </w:rPr>
                    <w:t>0.12</w:t>
                  </w:r>
                </w:p>
              </w:tc>
              <w:tc>
                <w:tcPr>
                  <w:tcW w:w="2146" w:type="dxa"/>
                  <w:vMerge w:val="continue"/>
                  <w:noWrap/>
                  <w:vAlign w:val="center"/>
                </w:tcPr>
                <w:p w14:paraId="640EBF50">
                  <w:pPr>
                    <w:jc w:val="center"/>
                    <w:rPr>
                      <w:rFonts w:ascii="Times New Roman" w:hAnsi="Times New Roman"/>
                      <w:color w:val="auto"/>
                      <w:szCs w:val="21"/>
                      <w:highlight w:val="none"/>
                    </w:rPr>
                  </w:pPr>
                </w:p>
              </w:tc>
            </w:tr>
          </w:tbl>
          <w:p w14:paraId="00A0D1CD">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3、噪声</w:t>
            </w:r>
          </w:p>
          <w:p w14:paraId="4BAF9A1F">
            <w:pPr>
              <w:spacing w:line="360" w:lineRule="auto"/>
              <w:ind w:firstLine="480" w:firstLineChars="200"/>
              <w:rPr>
                <w:rFonts w:ascii="Times New Roman" w:hAnsi="Times New Roman"/>
                <w:sz w:val="24"/>
              </w:rPr>
            </w:pPr>
            <w:r>
              <w:rPr>
                <w:rFonts w:ascii="Times New Roman" w:hAnsi="Times New Roman"/>
                <w:sz w:val="24"/>
              </w:rPr>
              <w:t>本项目实施是为了采掘面瓦斯抽采预先进行的钻前工程、钻井工程、复垦工程</w:t>
            </w:r>
            <w:r>
              <w:rPr>
                <w:rFonts w:ascii="Times New Roman" w:hAnsi="Times New Roman"/>
                <w:color w:val="auto"/>
                <w:sz w:val="24"/>
              </w:rPr>
              <w:t>。本项目的实施是</w:t>
            </w:r>
            <w:r>
              <w:rPr>
                <w:rFonts w:hint="eastAsia" w:ascii="Times New Roman" w:hAnsi="Times New Roman"/>
                <w:color w:val="auto"/>
                <w:sz w:val="24"/>
              </w:rPr>
              <w:t>为了优化煤矿采掘接续，满足矿井建设、生产的需求，本项目无运营期。</w:t>
            </w:r>
            <w:r>
              <w:rPr>
                <w:rFonts w:ascii="Times New Roman" w:hAnsi="Times New Roman"/>
                <w:color w:val="auto"/>
                <w:sz w:val="24"/>
              </w:rPr>
              <w:t>施工</w:t>
            </w:r>
            <w:r>
              <w:rPr>
                <w:rFonts w:ascii="Times New Roman" w:hAnsi="Times New Roman"/>
                <w:sz w:val="24"/>
              </w:rPr>
              <w:t>期噪声执行《建筑施工场界环境噪声排放标准》（GB12523‐2011）中标准限值，具体标准见下表：</w:t>
            </w:r>
          </w:p>
          <w:p w14:paraId="23817607">
            <w:pPr>
              <w:spacing w:line="360" w:lineRule="auto"/>
              <w:jc w:val="center"/>
              <w:rPr>
                <w:rFonts w:hint="eastAsia" w:ascii="Times New Roman" w:hAnsi="Times New Roman" w:eastAsia="宋体"/>
                <w:b/>
                <w:color w:val="auto"/>
                <w:szCs w:val="21"/>
                <w:highlight w:val="none"/>
                <w:lang w:eastAsia="zh-CN"/>
              </w:rPr>
            </w:pPr>
            <w:r>
              <w:rPr>
                <w:rFonts w:ascii="Times New Roman" w:hAnsi="Times New Roman"/>
                <w:b/>
                <w:color w:val="auto"/>
                <w:szCs w:val="21"/>
                <w:highlight w:val="none"/>
              </w:rPr>
              <w:t>表3-1</w:t>
            </w:r>
            <w:r>
              <w:rPr>
                <w:rFonts w:hint="eastAsia" w:ascii="Times New Roman" w:hAnsi="Times New Roman"/>
                <w:b/>
                <w:color w:val="auto"/>
                <w:szCs w:val="21"/>
                <w:highlight w:val="none"/>
                <w:lang w:val="en-US" w:eastAsia="zh-CN"/>
              </w:rPr>
              <w:t>2</w:t>
            </w:r>
            <w:r>
              <w:rPr>
                <w:rFonts w:ascii="Times New Roman" w:hAnsi="Times New Roman"/>
                <w:b/>
                <w:color w:val="auto"/>
                <w:szCs w:val="21"/>
                <w:highlight w:val="none"/>
              </w:rPr>
              <w:t xml:space="preserve">  建筑施工场界环境噪声排放标准  单位： dB</w:t>
            </w:r>
            <w:r>
              <w:rPr>
                <w:rFonts w:hint="eastAsia" w:ascii="Times New Roman" w:hAnsi="Times New Roman"/>
                <w:b/>
                <w:color w:val="auto"/>
                <w:szCs w:val="21"/>
                <w:highlight w:val="none"/>
                <w:lang w:eastAsia="zh-CN"/>
              </w:rPr>
              <w:t>（</w:t>
            </w:r>
            <w:r>
              <w:rPr>
                <w:rFonts w:ascii="Times New Roman" w:hAnsi="Times New Roman"/>
                <w:b/>
                <w:color w:val="auto"/>
                <w:szCs w:val="21"/>
                <w:highlight w:val="none"/>
              </w:rPr>
              <w:t>A</w:t>
            </w:r>
            <w:r>
              <w:rPr>
                <w:rFonts w:hint="eastAsia" w:ascii="Times New Roman" w:hAnsi="Times New Roman"/>
                <w:b/>
                <w:color w:val="auto"/>
                <w:szCs w:val="21"/>
                <w:highlight w:val="none"/>
                <w:lang w:eastAsia="zh-CN"/>
              </w:rPr>
              <w:t>）</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74"/>
              <w:gridCol w:w="2016"/>
              <w:gridCol w:w="2016"/>
            </w:tblGrid>
            <w:tr w14:paraId="77C02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3774" w:type="dxa"/>
                  <w:noWrap/>
                  <w:vAlign w:val="center"/>
                </w:tcPr>
                <w:p w14:paraId="429B2ED8">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标准类别</w:t>
                  </w:r>
                </w:p>
              </w:tc>
              <w:tc>
                <w:tcPr>
                  <w:tcW w:w="2016" w:type="dxa"/>
                  <w:noWrap/>
                  <w:vAlign w:val="center"/>
                </w:tcPr>
                <w:p w14:paraId="6E3F5477">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昼间</w:t>
                  </w:r>
                </w:p>
              </w:tc>
              <w:tc>
                <w:tcPr>
                  <w:tcW w:w="2016" w:type="dxa"/>
                  <w:noWrap/>
                  <w:vAlign w:val="center"/>
                </w:tcPr>
                <w:p w14:paraId="25C3DD7B">
                  <w:pPr>
                    <w:jc w:val="center"/>
                    <w:rPr>
                      <w:rFonts w:ascii="Times New Roman" w:hAnsi="Times New Roman"/>
                      <w:b/>
                      <w:bCs w:val="0"/>
                      <w:color w:val="auto"/>
                      <w:szCs w:val="21"/>
                      <w:highlight w:val="none"/>
                    </w:rPr>
                  </w:pPr>
                  <w:r>
                    <w:rPr>
                      <w:rFonts w:ascii="Times New Roman" w:hAnsi="Times New Roman"/>
                      <w:b/>
                      <w:bCs w:val="0"/>
                      <w:color w:val="auto"/>
                      <w:szCs w:val="21"/>
                      <w:highlight w:val="none"/>
                    </w:rPr>
                    <w:t>夜间</w:t>
                  </w:r>
                </w:p>
              </w:tc>
            </w:tr>
            <w:tr w14:paraId="67C88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3774" w:type="dxa"/>
                  <w:noWrap/>
                  <w:vAlign w:val="center"/>
                </w:tcPr>
                <w:p w14:paraId="509FED04">
                  <w:pPr>
                    <w:jc w:val="center"/>
                    <w:rPr>
                      <w:rFonts w:ascii="Times New Roman" w:hAnsi="Times New Roman"/>
                      <w:bCs/>
                      <w:color w:val="auto"/>
                      <w:szCs w:val="21"/>
                      <w:highlight w:val="none"/>
                    </w:rPr>
                  </w:pPr>
                  <w:r>
                    <w:rPr>
                      <w:rFonts w:ascii="Times New Roman" w:hAnsi="Times New Roman"/>
                      <w:bCs/>
                      <w:color w:val="auto"/>
                      <w:szCs w:val="21"/>
                      <w:highlight w:val="none"/>
                    </w:rPr>
                    <w:t>《建筑施工场界环境噪声排放标准》（GB12523‐2011）</w:t>
                  </w:r>
                </w:p>
              </w:tc>
              <w:tc>
                <w:tcPr>
                  <w:tcW w:w="2016" w:type="dxa"/>
                  <w:noWrap/>
                  <w:vAlign w:val="center"/>
                </w:tcPr>
                <w:p w14:paraId="54D58CFA">
                  <w:pPr>
                    <w:jc w:val="center"/>
                    <w:rPr>
                      <w:rFonts w:ascii="Times New Roman" w:hAnsi="Times New Roman"/>
                      <w:bCs/>
                      <w:color w:val="auto"/>
                      <w:szCs w:val="21"/>
                      <w:highlight w:val="none"/>
                    </w:rPr>
                  </w:pPr>
                  <w:r>
                    <w:rPr>
                      <w:rFonts w:ascii="Times New Roman" w:hAnsi="Times New Roman"/>
                      <w:bCs/>
                      <w:color w:val="auto"/>
                      <w:szCs w:val="21"/>
                      <w:highlight w:val="none"/>
                    </w:rPr>
                    <w:t>70</w:t>
                  </w:r>
                </w:p>
              </w:tc>
              <w:tc>
                <w:tcPr>
                  <w:tcW w:w="2016" w:type="dxa"/>
                  <w:noWrap/>
                  <w:vAlign w:val="center"/>
                </w:tcPr>
                <w:p w14:paraId="01990454">
                  <w:pPr>
                    <w:jc w:val="center"/>
                    <w:rPr>
                      <w:rFonts w:ascii="Times New Roman" w:hAnsi="Times New Roman"/>
                      <w:bCs/>
                      <w:color w:val="auto"/>
                      <w:szCs w:val="21"/>
                      <w:highlight w:val="none"/>
                    </w:rPr>
                  </w:pPr>
                  <w:r>
                    <w:rPr>
                      <w:rFonts w:ascii="Times New Roman" w:hAnsi="Times New Roman"/>
                      <w:bCs/>
                      <w:color w:val="auto"/>
                      <w:szCs w:val="21"/>
                      <w:highlight w:val="none"/>
                    </w:rPr>
                    <w:t>55</w:t>
                  </w:r>
                </w:p>
              </w:tc>
            </w:tr>
          </w:tbl>
          <w:p w14:paraId="60460868">
            <w:pPr>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4、固体废物</w:t>
            </w:r>
          </w:p>
          <w:p w14:paraId="5C360416">
            <w:pPr>
              <w:pStyle w:val="31"/>
              <w:adjustRightInd/>
              <w:spacing w:line="360" w:lineRule="auto"/>
              <w:ind w:firstLine="480" w:firstLineChars="200"/>
              <w:jc w:val="both"/>
              <w:rPr>
                <w:rFonts w:ascii="Times New Roman" w:hAnsi="Times New Roman"/>
                <w:color w:val="auto"/>
                <w:szCs w:val="21"/>
                <w:highlight w:val="none"/>
              </w:rPr>
            </w:pPr>
            <w:r>
              <w:rPr>
                <w:rFonts w:ascii="Times New Roman" w:hAnsi="Times New Roman"/>
                <w:color w:val="auto"/>
                <w:highlight w:val="none"/>
              </w:rPr>
              <w:t>一般工业固废执行《一般工业固体废物贮存和填埋污染控制标准》（GB 18599-2020）</w:t>
            </w:r>
            <w:r>
              <w:rPr>
                <w:rFonts w:hint="eastAsia" w:ascii="Times New Roman" w:hAnsi="Times New Roman"/>
                <w:color w:val="auto"/>
                <w:highlight w:val="none"/>
              </w:rPr>
              <w:t>、《中华人民共和国固体废弃物污染环境防治法》</w:t>
            </w:r>
            <w:r>
              <w:rPr>
                <w:rFonts w:ascii="Times New Roman" w:hAnsi="Times New Roman"/>
                <w:color w:val="auto"/>
                <w:highlight w:val="none"/>
              </w:rPr>
              <w:t>；危险废物暂存执行《危险废物贮存污染控制标准》（GB18597-2023）和《中华人民共和国固体废弃物污染环境防治法》中的有关规定。</w:t>
            </w:r>
          </w:p>
        </w:tc>
      </w:tr>
      <w:tr w14:paraId="55B0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4" w:hRule="atLeast"/>
          <w:jc w:val="center"/>
        </w:trPr>
        <w:tc>
          <w:tcPr>
            <w:tcW w:w="454" w:type="dxa"/>
            <w:tcBorders>
              <w:tl2br w:val="nil"/>
              <w:tr2bl w:val="nil"/>
            </w:tcBorders>
            <w:noWrap/>
            <w:vAlign w:val="center"/>
          </w:tcPr>
          <w:p w14:paraId="469861C2">
            <w:pPr>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其他</w:t>
            </w:r>
          </w:p>
        </w:tc>
        <w:tc>
          <w:tcPr>
            <w:tcW w:w="8068" w:type="dxa"/>
            <w:tcBorders>
              <w:tl2br w:val="nil"/>
              <w:tr2bl w:val="nil"/>
            </w:tcBorders>
            <w:noWrap/>
            <w:vAlign w:val="center"/>
          </w:tcPr>
          <w:p w14:paraId="684DFC0A">
            <w:pPr>
              <w:spacing w:line="360" w:lineRule="auto"/>
              <w:ind w:firstLine="480" w:firstLineChars="200"/>
              <w:rPr>
                <w:rFonts w:ascii="Times New Roman" w:hAnsi="Times New Roman"/>
                <w:color w:val="auto"/>
                <w:highlight w:val="none"/>
              </w:rPr>
            </w:pPr>
            <w:r>
              <w:rPr>
                <w:rFonts w:ascii="Times New Roman" w:hAnsi="Times New Roman"/>
                <w:color w:val="auto"/>
                <w:sz w:val="24"/>
                <w:highlight w:val="none"/>
              </w:rPr>
              <w:t>本项目为M7472固体矿产地质勘查，施工期废气主要为汽车尾气、扬尘，运营期无废水排放，因此无需申请总量控制指标。</w:t>
            </w:r>
          </w:p>
        </w:tc>
      </w:tr>
    </w:tbl>
    <w:p w14:paraId="7E5DDE32">
      <w:pPr>
        <w:rPr>
          <w:color w:val="auto"/>
          <w:highlight w:val="none"/>
        </w:rPr>
      </w:pPr>
    </w:p>
    <w:p w14:paraId="0EC3E189">
      <w:pPr>
        <w:pStyle w:val="21"/>
        <w:spacing w:before="0" w:beforeAutospacing="0" w:after="0" w:afterAutospacing="0"/>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kern w:val="2"/>
          <w:sz w:val="36"/>
          <w:szCs w:val="36"/>
          <w:highlight w:val="none"/>
        </w:rPr>
        <w:br w:type="page"/>
      </w:r>
      <w:bookmarkStart w:id="13" w:name="_Toc13328"/>
      <w:r>
        <w:rPr>
          <w:rFonts w:ascii="Times New Roman" w:hAnsi="Times New Roman" w:eastAsia="黑体"/>
          <w:snapToGrid w:val="0"/>
          <w:color w:val="auto"/>
          <w:sz w:val="30"/>
          <w:szCs w:val="30"/>
          <w:highlight w:val="none"/>
        </w:rPr>
        <w:t>四、生态环境影响分析</w:t>
      </w:r>
      <w:bookmarkEnd w:id="1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146"/>
      </w:tblGrid>
      <w:tr w14:paraId="54D24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3" w:hRule="atLeast"/>
          <w:jc w:val="center"/>
        </w:trPr>
        <w:tc>
          <w:tcPr>
            <w:tcW w:w="456" w:type="dxa"/>
            <w:noWrap/>
            <w:tcMar>
              <w:left w:w="28" w:type="dxa"/>
              <w:right w:w="28" w:type="dxa"/>
            </w:tcMar>
            <w:vAlign w:val="center"/>
          </w:tcPr>
          <w:p w14:paraId="01545ED0">
            <w:pPr>
              <w:pStyle w:val="21"/>
              <w:adjustRightInd w:val="0"/>
              <w:snapToGrid w:val="0"/>
              <w:spacing w:before="0" w:beforeAutospacing="0" w:after="0" w:afterAutospacing="0"/>
              <w:jc w:val="center"/>
              <w:rPr>
                <w:rFonts w:ascii="Times New Roman" w:hAnsi="Times New Roman"/>
                <w:bCs/>
                <w:color w:val="auto"/>
                <w:kern w:val="2"/>
                <w:szCs w:val="24"/>
                <w:highlight w:val="none"/>
              </w:rPr>
            </w:pPr>
            <w:bookmarkStart w:id="14" w:name="_Hlk49796138"/>
            <w:r>
              <w:rPr>
                <w:rFonts w:ascii="Times New Roman" w:hAnsi="Times New Roman"/>
                <w:bCs/>
                <w:color w:val="auto"/>
                <w:spacing w:val="10"/>
                <w:kern w:val="2"/>
                <w:szCs w:val="24"/>
                <w:highlight w:val="none"/>
              </w:rPr>
              <w:t>施工期生态环境影响分析</w:t>
            </w:r>
            <w:bookmarkEnd w:id="14"/>
          </w:p>
        </w:tc>
        <w:tc>
          <w:tcPr>
            <w:tcW w:w="8146" w:type="dxa"/>
            <w:noWrap/>
          </w:tcPr>
          <w:p w14:paraId="52BED5AA">
            <w:pPr>
              <w:widowControl/>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本项目拟建</w:t>
            </w:r>
            <w:r>
              <w:rPr>
                <w:rFonts w:hint="eastAsia" w:ascii="Times New Roman" w:hAnsi="Times New Roman"/>
                <w:bCs/>
                <w:color w:val="auto"/>
                <w:sz w:val="24"/>
                <w:highlight w:val="none"/>
                <w:lang w:val="en-US" w:eastAsia="zh-CN"/>
              </w:rPr>
              <w:t>3</w:t>
            </w:r>
            <w:r>
              <w:rPr>
                <w:rFonts w:hint="eastAsia" w:ascii="Times New Roman" w:hAnsi="Times New Roman"/>
                <w:bCs/>
                <w:color w:val="auto"/>
                <w:sz w:val="24"/>
                <w:highlight w:val="none"/>
                <w:lang w:eastAsia="zh-CN"/>
              </w:rPr>
              <w:t>口钻井</w:t>
            </w:r>
            <w:r>
              <w:rPr>
                <w:rFonts w:ascii="Times New Roman" w:hAnsi="Times New Roman"/>
                <w:bCs/>
                <w:color w:val="auto"/>
                <w:sz w:val="24"/>
                <w:highlight w:val="none"/>
              </w:rPr>
              <w:t>，项目施工期约</w:t>
            </w:r>
            <w:r>
              <w:rPr>
                <w:rFonts w:hint="eastAsia" w:ascii="Times New Roman" w:hAnsi="Times New Roman"/>
                <w:bCs/>
                <w:color w:val="auto"/>
                <w:sz w:val="24"/>
                <w:highlight w:val="none"/>
                <w:lang w:val="en-US" w:eastAsia="zh-CN"/>
              </w:rPr>
              <w:t>6个月</w:t>
            </w:r>
            <w:r>
              <w:rPr>
                <w:rFonts w:ascii="Times New Roman" w:hAnsi="Times New Roman"/>
                <w:bCs/>
                <w:color w:val="auto"/>
                <w:sz w:val="24"/>
                <w:highlight w:val="none"/>
              </w:rPr>
              <w:t>，</w:t>
            </w:r>
            <w:r>
              <w:rPr>
                <w:rFonts w:hint="eastAsia" w:ascii="Times New Roman" w:hAnsi="Times New Roman"/>
                <w:bCs/>
                <w:color w:val="auto"/>
                <w:sz w:val="24"/>
                <w:highlight w:val="none"/>
              </w:rPr>
              <w:t>施工人员</w:t>
            </w:r>
            <w:r>
              <w:rPr>
                <w:rFonts w:hint="eastAsia" w:ascii="Times New Roman" w:hAnsi="Times New Roman"/>
                <w:bCs/>
                <w:color w:val="auto"/>
                <w:sz w:val="24"/>
                <w:highlight w:val="none"/>
                <w:lang w:val="en-US" w:eastAsia="zh-CN"/>
              </w:rPr>
              <w:t>36</w:t>
            </w:r>
            <w:r>
              <w:rPr>
                <w:rFonts w:hint="eastAsia" w:ascii="Times New Roman" w:hAnsi="Times New Roman"/>
                <w:bCs/>
                <w:color w:val="auto"/>
                <w:sz w:val="24"/>
                <w:highlight w:val="none"/>
              </w:rPr>
              <w:t>人，</w:t>
            </w:r>
            <w:r>
              <w:rPr>
                <w:rFonts w:ascii="Times New Roman" w:hAnsi="Times New Roman"/>
                <w:bCs/>
                <w:color w:val="auto"/>
                <w:sz w:val="24"/>
                <w:highlight w:val="none"/>
              </w:rPr>
              <w:t>项目井场区不设置施工营地，施工区不提供食宿。施工活动的主要环境影响为废气、废水、噪声以及固体废物。</w:t>
            </w:r>
          </w:p>
          <w:p w14:paraId="330C012A">
            <w:pPr>
              <w:widowControl/>
              <w:spacing w:line="360" w:lineRule="auto"/>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1、水污染环境影响</w:t>
            </w:r>
          </w:p>
          <w:p w14:paraId="74529721">
            <w:pPr>
              <w:widowControl/>
              <w:spacing w:line="360" w:lineRule="auto"/>
              <w:ind w:firstLine="480" w:firstLineChars="200"/>
              <w:rPr>
                <w:rFonts w:ascii="Times New Roman" w:hAnsi="Times New Roman"/>
                <w:b/>
                <w:color w:val="auto"/>
                <w:szCs w:val="21"/>
                <w:highlight w:val="none"/>
              </w:rPr>
            </w:pPr>
            <w:r>
              <w:rPr>
                <w:rFonts w:ascii="Times New Roman" w:hAnsi="Times New Roman"/>
                <w:color w:val="auto"/>
                <w:sz w:val="24"/>
                <w:highlight w:val="none"/>
              </w:rPr>
              <w:t>施工期生产废水主要来源于钻井过程中钻井泥浆废水，主要污染物为悬浮物、石油类、COD等。</w:t>
            </w:r>
            <w:r>
              <w:rPr>
                <w:rFonts w:hint="eastAsia" w:ascii="Times New Roman" w:hAnsi="Times New Roman"/>
                <w:color w:val="auto"/>
                <w:sz w:val="24"/>
                <w:highlight w:val="none"/>
                <w:lang w:val="en-US" w:eastAsia="zh-CN"/>
              </w:rPr>
              <w:t>各井场均设有一座泥浆池以及一座干化池，泥浆池</w:t>
            </w:r>
            <w:r>
              <w:rPr>
                <w:rFonts w:ascii="Times New Roman" w:hAnsi="Times New Roman"/>
                <w:color w:val="auto"/>
                <w:sz w:val="24"/>
                <w:highlight w:val="none"/>
              </w:rPr>
              <w:t>容积为</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eastAsia="zh-CN"/>
              </w:rPr>
              <w:t>泥浆池</w:t>
            </w:r>
            <w:r>
              <w:rPr>
                <w:rFonts w:ascii="Times New Roman" w:hAnsi="Times New Roman"/>
                <w:color w:val="auto"/>
                <w:sz w:val="24"/>
                <w:highlight w:val="none"/>
              </w:rPr>
              <w:t>防渗参数为：等效粘土防渗层Mb≥6.0m，防渗系数≤10</w:t>
            </w:r>
            <w:r>
              <w:rPr>
                <w:rFonts w:ascii="Times New Roman" w:hAnsi="Times New Roman"/>
                <w:color w:val="auto"/>
                <w:sz w:val="24"/>
                <w:highlight w:val="none"/>
                <w:vertAlign w:val="superscript"/>
              </w:rPr>
              <w:t>-10</w:t>
            </w:r>
            <w:r>
              <w:rPr>
                <w:rFonts w:ascii="Times New Roman" w:hAnsi="Times New Roman"/>
                <w:color w:val="auto"/>
                <w:sz w:val="24"/>
                <w:highlight w:val="none"/>
              </w:rPr>
              <w:t>cm/s）</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干化池</w:t>
            </w:r>
            <w:r>
              <w:rPr>
                <w:rFonts w:ascii="Times New Roman" w:hAnsi="Times New Roman"/>
                <w:color w:val="auto"/>
                <w:sz w:val="24"/>
                <w:highlight w:val="none"/>
              </w:rPr>
              <w:t>容积为</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m×</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hint="eastAsia" w:ascii="Times New Roman" w:hAnsi="Times New Roman"/>
                <w:color w:val="auto"/>
                <w:sz w:val="24"/>
                <w:highlight w:val="none"/>
                <w:lang w:eastAsia="zh-CN"/>
              </w:rPr>
              <w:t>泥浆池</w:t>
            </w:r>
            <w:r>
              <w:rPr>
                <w:rFonts w:ascii="Times New Roman" w:hAnsi="Times New Roman"/>
                <w:color w:val="auto"/>
                <w:sz w:val="24"/>
                <w:highlight w:val="none"/>
              </w:rPr>
              <w:t>防渗参数为：等效粘土防渗层Mb≥6.0m，防渗系数≤10</w:t>
            </w:r>
            <w:r>
              <w:rPr>
                <w:rFonts w:ascii="Times New Roman" w:hAnsi="Times New Roman"/>
                <w:color w:val="auto"/>
                <w:sz w:val="24"/>
                <w:highlight w:val="none"/>
                <w:vertAlign w:val="superscript"/>
              </w:rPr>
              <w:t>-10</w:t>
            </w:r>
            <w:r>
              <w:rPr>
                <w:rFonts w:ascii="Times New Roman" w:hAnsi="Times New Roman"/>
                <w:color w:val="auto"/>
                <w:sz w:val="24"/>
                <w:highlight w:val="none"/>
              </w:rPr>
              <w:t>cm/s）</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本项目</w:t>
            </w:r>
            <w:r>
              <w:rPr>
                <w:rFonts w:ascii="Times New Roman" w:hAnsi="Times New Roman"/>
                <w:color w:val="auto"/>
                <w:sz w:val="24"/>
              </w:rPr>
              <w:t>钻井废水</w:t>
            </w:r>
            <w:r>
              <w:rPr>
                <w:rFonts w:hint="eastAsia" w:ascii="Times New Roman" w:hAnsi="Times New Roman"/>
                <w:color w:val="auto"/>
                <w:sz w:val="24"/>
                <w:lang w:val="en-US" w:eastAsia="zh-CN"/>
              </w:rPr>
              <w:t>排入</w:t>
            </w:r>
            <w:r>
              <w:rPr>
                <w:rFonts w:hint="eastAsia" w:ascii="Times New Roman" w:hAnsi="Times New Roman"/>
                <w:color w:val="auto"/>
                <w:sz w:val="24"/>
                <w:lang w:eastAsia="zh-CN"/>
              </w:rPr>
              <w:t>泥浆池</w:t>
            </w:r>
            <w:r>
              <w:rPr>
                <w:rFonts w:hint="eastAsia" w:ascii="Times New Roman" w:hAnsi="Times New Roman"/>
                <w:color w:val="auto"/>
                <w:sz w:val="24"/>
                <w:lang w:val="en-US" w:eastAsia="zh-CN"/>
              </w:rPr>
              <w:t>后</w:t>
            </w:r>
            <w:r>
              <w:rPr>
                <w:rFonts w:ascii="Times New Roman" w:hAnsi="Times New Roman"/>
                <w:color w:val="auto"/>
                <w:sz w:val="24"/>
                <w:highlight w:val="none"/>
              </w:rPr>
              <w:t>，上清液循环利用于钻井</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沉淀的泥浆排入干化池，通过喷洒泥浆固化剂后干化</w:t>
            </w:r>
            <w:r>
              <w:rPr>
                <w:rFonts w:hint="eastAsia" w:ascii="Times New Roman" w:hAnsi="Times New Roman"/>
                <w:color w:val="auto"/>
                <w:sz w:val="24"/>
              </w:rPr>
              <w:t>。</w:t>
            </w:r>
            <w:r>
              <w:rPr>
                <w:rFonts w:ascii="Times New Roman" w:hAnsi="Times New Roman"/>
                <w:color w:val="auto"/>
                <w:sz w:val="24"/>
              </w:rPr>
              <w:t>本项目</w:t>
            </w:r>
            <w:r>
              <w:rPr>
                <w:rFonts w:hint="eastAsia" w:ascii="Times New Roman" w:hAnsi="Times New Roman"/>
                <w:color w:val="auto"/>
                <w:sz w:val="24"/>
                <w:lang w:val="en-US" w:eastAsia="zh-CN"/>
              </w:rPr>
              <w:t>泥浆配置采用</w:t>
            </w:r>
            <w:r>
              <w:rPr>
                <w:rFonts w:ascii="Times New Roman" w:hAnsi="Times New Roman"/>
                <w:color w:val="auto"/>
                <w:sz w:val="24"/>
              </w:rPr>
              <w:t>纤维素</w:t>
            </w:r>
            <w:r>
              <w:rPr>
                <w:rFonts w:hint="eastAsia" w:ascii="Times New Roman" w:hAnsi="Times New Roman"/>
                <w:color w:val="auto"/>
                <w:sz w:val="24"/>
                <w:lang w:eastAsia="zh-CN"/>
              </w:rPr>
              <w:t>、</w:t>
            </w:r>
            <w:r>
              <w:rPr>
                <w:rFonts w:hint="eastAsia" w:ascii="Times New Roman" w:hAnsi="Times New Roman"/>
                <w:color w:val="auto"/>
                <w:sz w:val="24"/>
                <w:lang w:val="en-US" w:eastAsia="zh-CN"/>
              </w:rPr>
              <w:t>腐殖酸等进行调配，泥浆固化剂主要成分为聚硅化合物，不含有毒有害物质，故本项目</w:t>
            </w:r>
            <w:r>
              <w:rPr>
                <w:rFonts w:ascii="Times New Roman" w:hAnsi="Times New Roman"/>
                <w:color w:val="auto"/>
                <w:sz w:val="24"/>
              </w:rPr>
              <w:t>泥浆干化后属于一般固废，</w:t>
            </w:r>
            <w:r>
              <w:rPr>
                <w:rFonts w:ascii="Times New Roman" w:hAnsi="Times New Roman"/>
                <w:color w:val="auto"/>
                <w:sz w:val="24"/>
                <w:highlight w:val="none"/>
              </w:rPr>
              <w:t>作为周边路基维护的建材使用。</w:t>
            </w:r>
            <w:r>
              <w:rPr>
                <w:rFonts w:hint="eastAsia" w:ascii="Times New Roman" w:hAnsi="Times New Roman"/>
                <w:color w:val="auto"/>
                <w:sz w:val="24"/>
                <w:highlight w:val="none"/>
                <w:lang w:val="en-US" w:eastAsia="zh-CN"/>
              </w:rPr>
              <w:t>3#井场内</w:t>
            </w:r>
            <w:r>
              <w:rPr>
                <w:rFonts w:hint="eastAsia"/>
                <w:color w:val="auto"/>
                <w:sz w:val="24"/>
                <w:highlight w:val="none"/>
                <w:lang w:val="en-US" w:eastAsia="zh-CN"/>
              </w:rPr>
              <w:t>洗井废水利用泥浆池上清水，清洗后返回泥浆池内，不外排；抽水试验废水排入清水池，施工单位根据抽水试验水质全成分检测结果进行针对性处置，若水质质量满足农田灌溉要求，则与周边农户协商好之后，用于周边农田灌溉使用，若水质质量不满足农田灌溉要求，则委托有处置能力单位进行处置</w:t>
            </w:r>
            <w:r>
              <w:rPr>
                <w:rFonts w:hint="eastAsia" w:ascii="Times New Roman" w:hAnsi="Times New Roman"/>
                <w:color w:val="auto"/>
                <w:sz w:val="24"/>
                <w:highlight w:val="none"/>
                <w:lang w:val="en-US" w:eastAsia="zh-CN"/>
              </w:rPr>
              <w:t>。</w:t>
            </w:r>
            <w:r>
              <w:rPr>
                <w:rFonts w:ascii="Times New Roman" w:hAnsi="Times New Roman"/>
                <w:color w:val="auto"/>
                <w:sz w:val="24"/>
                <w:highlight w:val="none"/>
              </w:rPr>
              <w:t>设备冲洗废水排入沉淀池循环使用。钻井期生产废水不外排，不会对周边地表水体产生影响；施工人员租住附近民房，项目井场人员用水量较少，</w:t>
            </w:r>
            <w:r>
              <w:rPr>
                <w:rFonts w:ascii="Times New Roman" w:hAnsi="Times New Roman"/>
                <w:bCs/>
                <w:color w:val="auto"/>
                <w:sz w:val="24"/>
                <w:highlight w:val="none"/>
              </w:rPr>
              <w:t>项目废水为生活污水，废水产生量相对较少，废水水质简单，结合建设项目所在区域暂无集中式污水处理厂集中处理，</w:t>
            </w:r>
            <w:r>
              <w:rPr>
                <w:rFonts w:hint="eastAsia" w:ascii="Times New Roman" w:hAnsi="Times New Roman"/>
                <w:bCs/>
                <w:color w:val="auto"/>
                <w:sz w:val="24"/>
                <w:highlight w:val="none"/>
              </w:rPr>
              <w:t>经场地化粪池预处理后，</w:t>
            </w:r>
            <w:r>
              <w:rPr>
                <w:rFonts w:ascii="Times New Roman" w:hAnsi="Times New Roman"/>
                <w:bCs/>
                <w:color w:val="auto"/>
                <w:sz w:val="24"/>
                <w:highlight w:val="none"/>
              </w:rPr>
              <w:t>最终用于周边农田施肥，不外排，对当地地表水环境影响较小，在当地环境可接受范围内。</w:t>
            </w:r>
          </w:p>
          <w:p w14:paraId="02068B5B">
            <w:pPr>
              <w:widowControl/>
              <w:spacing w:line="360" w:lineRule="auto"/>
              <w:ind w:firstLine="482" w:firstLineChars="200"/>
              <w:rPr>
                <w:rFonts w:ascii="Times New Roman" w:hAnsi="Times New Roman"/>
                <w:b/>
                <w:bCs/>
                <w:color w:val="auto"/>
                <w:kern w:val="0"/>
                <w:sz w:val="24"/>
                <w:highlight w:val="none"/>
              </w:rPr>
            </w:pPr>
            <w:r>
              <w:rPr>
                <w:rFonts w:ascii="Times New Roman" w:hAnsi="Times New Roman"/>
                <w:b/>
                <w:bCs/>
                <w:color w:val="auto"/>
                <w:sz w:val="24"/>
                <w:highlight w:val="none"/>
              </w:rPr>
              <w:t>2、</w:t>
            </w:r>
            <w:r>
              <w:rPr>
                <w:rFonts w:ascii="Times New Roman" w:hAnsi="Times New Roman"/>
                <w:b/>
                <w:bCs/>
                <w:color w:val="auto"/>
                <w:kern w:val="0"/>
                <w:sz w:val="24"/>
                <w:highlight w:val="none"/>
              </w:rPr>
              <w:t>大气污染环境影响</w:t>
            </w:r>
          </w:p>
          <w:p w14:paraId="51D0F26A">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施工期大气环境影响主要来源于施工扬尘与车辆尾气。淮南市为PM</w:t>
            </w:r>
            <w:r>
              <w:rPr>
                <w:rFonts w:ascii="Times New Roman" w:hAnsi="Times New Roman"/>
                <w:color w:val="auto"/>
                <w:highlight w:val="none"/>
                <w:vertAlign w:val="subscript"/>
              </w:rPr>
              <w:t>2.5</w:t>
            </w:r>
            <w:r>
              <w:rPr>
                <w:rFonts w:ascii="Times New Roman" w:hAnsi="Times New Roman"/>
                <w:color w:val="auto"/>
                <w:highlight w:val="none"/>
              </w:rPr>
              <w:t>超标地区，施工时若不采取有效的防治措施，会对区域大气环境造成威胁。</w:t>
            </w:r>
          </w:p>
          <w:p w14:paraId="54EF72B0">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（1）扬尘</w:t>
            </w:r>
          </w:p>
          <w:p w14:paraId="357A32C5">
            <w:pPr>
              <w:pStyle w:val="31"/>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扬尘主要来自施工现场堆场、运输车辆、施工机械作业过程中扬起的灰尘。根据经验数据，在风速为1.2m/s～2.4m/s情况下，土方和灰土的堆放、装卸、运输、施工时距离50～150m处下风方向粉尘浓度为0.5～1.5mg/m</w:t>
            </w:r>
            <w:r>
              <w:rPr>
                <w:rFonts w:ascii="Times New Roman" w:hAnsi="Times New Roman"/>
                <w:color w:val="auto"/>
                <w:highlight w:val="none"/>
                <w:vertAlign w:val="superscript"/>
              </w:rPr>
              <w:t>3</w:t>
            </w:r>
            <w:r>
              <w:rPr>
                <w:rFonts w:ascii="Times New Roman" w:hAnsi="Times New Roman"/>
                <w:color w:val="auto"/>
                <w:highlight w:val="none"/>
              </w:rPr>
              <w:t>，通常情况下，影响范围在100m以内。项目所在区域的年平均风速为2.3m/s，风速小，产生的扬尘量小，同时在易产尘施工点采取湿式作业、堆场采取篷布遮盖或表面洒水抑尘等抑尘措施、厂区道路采取定点洒水等措施，每天洒水4～5次进行抑尘，可有效降低扬尘产生量，并可将颗粒物污染距离缩小到20～50m范围。钻前工程施工时间很短，完成后影响即可消失，无长期影响，对区域环境影响小。</w:t>
            </w:r>
          </w:p>
          <w:p w14:paraId="3D295159">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2</w:t>
            </w:r>
            <w:r>
              <w:rPr>
                <w:rFonts w:ascii="Times New Roman" w:hAnsi="Times New Roman"/>
                <w:color w:val="auto"/>
                <w:highlight w:val="none"/>
              </w:rPr>
              <w:t>）车辆尾气</w:t>
            </w:r>
          </w:p>
          <w:p w14:paraId="3CB75536">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施工车辆废气污染物主要是氮氧化物、一氧化碳，由于施工期车辆具有不确定性，且排放量较小、影响持续时间较短。故车辆排放的尾气对环境影响较小。</w:t>
            </w:r>
          </w:p>
          <w:p w14:paraId="61DF1CB4">
            <w:pPr>
              <w:pStyle w:val="6"/>
              <w:spacing w:line="360" w:lineRule="auto"/>
              <w:ind w:firstLine="482"/>
              <w:rPr>
                <w:rFonts w:ascii="Times New Roman" w:hAnsi="Times New Roman"/>
                <w:b/>
                <w:bCs/>
                <w:color w:val="auto"/>
                <w:sz w:val="24"/>
                <w:highlight w:val="none"/>
              </w:rPr>
            </w:pPr>
            <w:r>
              <w:rPr>
                <w:rFonts w:ascii="Times New Roman" w:hAnsi="Times New Roman"/>
                <w:b/>
                <w:bCs/>
                <w:color w:val="auto"/>
                <w:sz w:val="24"/>
                <w:highlight w:val="none"/>
              </w:rPr>
              <w:t>3、</w:t>
            </w:r>
            <w:r>
              <w:rPr>
                <w:rFonts w:ascii="Times New Roman" w:hAnsi="Times New Roman"/>
                <w:b/>
                <w:bCs/>
                <w:color w:val="auto"/>
                <w:kern w:val="0"/>
                <w:sz w:val="24"/>
                <w:highlight w:val="none"/>
              </w:rPr>
              <w:t>噪声污染环境影响分析</w:t>
            </w:r>
          </w:p>
          <w:p w14:paraId="4C98E94F">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本项目</w:t>
            </w:r>
            <w:r>
              <w:rPr>
                <w:rFonts w:hint="eastAsia" w:ascii="Times New Roman" w:hAnsi="Times New Roman"/>
                <w:bCs/>
                <w:color w:val="auto"/>
                <w:sz w:val="24"/>
                <w:highlight w:val="none"/>
              </w:rPr>
              <w:t>夜间不施工，仅对昼间进行预测</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本项目主要噪声源来自于钻机等机械设备运行时产生，本项目噪声预测结果如下：</w:t>
            </w:r>
          </w:p>
          <w:p w14:paraId="52818C65">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根据项目设备声源特征和声学环境的特点，同时根据业主提供资料，视设备声源为点源，声场为半自由声场，依据《环境影响评价技术导则声环境》</w:t>
            </w:r>
            <w:r>
              <w:rPr>
                <w:rFonts w:ascii="Times New Roman" w:hAnsi="Times New Roman"/>
                <w:color w:val="auto"/>
                <w:kern w:val="24"/>
                <w:sz w:val="24"/>
                <w:highlight w:val="none"/>
              </w:rPr>
              <w:t>（HJ2.4</w:t>
            </w:r>
            <w:r>
              <w:rPr>
                <w:rFonts w:hint="eastAsia" w:ascii="Times New Roman" w:hAnsi="Times New Roman"/>
                <w:color w:val="auto"/>
                <w:kern w:val="24"/>
                <w:sz w:val="24"/>
                <w:highlight w:val="none"/>
              </w:rPr>
              <w:t>-</w:t>
            </w:r>
            <w:r>
              <w:rPr>
                <w:rFonts w:ascii="Times New Roman" w:hAnsi="Times New Roman"/>
                <w:color w:val="auto"/>
                <w:kern w:val="24"/>
                <w:sz w:val="24"/>
                <w:highlight w:val="none"/>
              </w:rPr>
              <w:t>2021）</w:t>
            </w:r>
            <w:r>
              <w:rPr>
                <w:rFonts w:ascii="Times New Roman" w:hAnsi="Times New Roman"/>
                <w:bCs/>
                <w:color w:val="auto"/>
                <w:sz w:val="24"/>
                <w:highlight w:val="none"/>
              </w:rPr>
              <w:t>，选用无指向性声源几何发散衰减预测模式预测厂界噪声。</w:t>
            </w:r>
          </w:p>
          <w:p w14:paraId="47D16F3D">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（1）点声源预测模式</w:t>
            </w:r>
          </w:p>
          <w:p w14:paraId="5F53C6D0">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L A(r) = L WA – 20lg (r/r 0 )</w:t>
            </w:r>
          </w:p>
          <w:p w14:paraId="3BEDCCB4">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式中：L A(r) ——距噪声源 r 处的声级（dB(A)）；</w:t>
            </w:r>
          </w:p>
          <w:p w14:paraId="10F47AB9">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L WA ——点声源的 A 声级（dB(A)）；</w:t>
            </w:r>
          </w:p>
          <w:p w14:paraId="204C4B35">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r——预测点与声源之间的距离（m）；</w:t>
            </w:r>
          </w:p>
          <w:p w14:paraId="07F12475">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r 0 ——参考处与声源之间的距离（m）；</w:t>
            </w:r>
          </w:p>
          <w:p w14:paraId="2D5A7C7A">
            <w:pPr>
              <w:adjustRightInd w:val="0"/>
              <w:snapToGrid w:val="0"/>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（2）多声源叠加模式式中：</w:t>
            </w:r>
          </w:p>
          <w:p w14:paraId="2F066AEE">
            <w:pPr>
              <w:adjustRightInd w:val="0"/>
              <w:snapToGrid w:val="0"/>
              <w:spacing w:line="360" w:lineRule="auto"/>
              <w:jc w:val="center"/>
              <w:rPr>
                <w:rFonts w:ascii="Times New Roman" w:hAnsi="Times New Roman"/>
                <w:color w:val="auto"/>
                <w:kern w:val="0"/>
                <w:sz w:val="24"/>
                <w:highlight w:val="none"/>
              </w:rPr>
            </w:pPr>
            <w:r>
              <w:rPr>
                <w:rFonts w:ascii="Times New Roman" w:hAnsi="Times New Roman"/>
                <w:color w:val="auto"/>
                <w:kern w:val="0"/>
                <w:sz w:val="24"/>
                <w:highlight w:val="none"/>
              </w:rPr>
              <w:drawing>
                <wp:inline distT="0" distB="0" distL="114300" distR="114300">
                  <wp:extent cx="1457325" cy="619125"/>
                  <wp:effectExtent l="0" t="0" r="9525"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6"/>
                          <a:stretch>
                            <a:fillRect/>
                          </a:stretch>
                        </pic:blipFill>
                        <pic:spPr>
                          <a:xfrm>
                            <a:off x="0" y="0"/>
                            <a:ext cx="1457325" cy="619125"/>
                          </a:xfrm>
                          <a:prstGeom prst="rect">
                            <a:avLst/>
                          </a:prstGeom>
                          <a:noFill/>
                          <a:ln>
                            <a:noFill/>
                          </a:ln>
                        </pic:spPr>
                      </pic:pic>
                    </a:graphicData>
                  </a:graphic>
                </wp:inline>
              </w:drawing>
            </w:r>
          </w:p>
          <w:p w14:paraId="2B0BE1BF">
            <w:pPr>
              <w:pStyle w:val="31"/>
              <w:spacing w:line="360" w:lineRule="auto"/>
              <w:ind w:firstLine="480" w:firstLineChars="200"/>
              <w:rPr>
                <w:rFonts w:ascii="Times New Roman" w:hAnsi="Times New Roman"/>
                <w:color w:val="auto"/>
                <w:highlight w:val="none"/>
              </w:rPr>
            </w:pPr>
            <w:r>
              <w:rPr>
                <w:rFonts w:ascii="Times New Roman" w:hAnsi="Times New Roman"/>
                <w:color w:val="auto"/>
                <w:highlight w:val="none"/>
              </w:rPr>
              <w:t>L 0 ——叠加后总声压级，dB(A)；</w:t>
            </w:r>
          </w:p>
          <w:p w14:paraId="337C1CB1">
            <w:pPr>
              <w:pStyle w:val="31"/>
              <w:spacing w:line="360" w:lineRule="auto"/>
              <w:ind w:firstLine="480" w:firstLineChars="200"/>
              <w:rPr>
                <w:rFonts w:ascii="Times New Roman" w:hAnsi="Times New Roman"/>
                <w:color w:val="auto"/>
                <w:highlight w:val="none"/>
              </w:rPr>
            </w:pPr>
            <w:r>
              <w:rPr>
                <w:rFonts w:ascii="Times New Roman" w:hAnsi="Times New Roman"/>
                <w:color w:val="auto"/>
                <w:highlight w:val="none"/>
              </w:rPr>
              <w:t>n——声源级数；</w:t>
            </w:r>
          </w:p>
          <w:p w14:paraId="1ACD3E61">
            <w:pPr>
              <w:pStyle w:val="31"/>
              <w:spacing w:line="360" w:lineRule="auto"/>
              <w:ind w:firstLine="480" w:firstLineChars="200"/>
              <w:rPr>
                <w:rFonts w:ascii="Times New Roman" w:hAnsi="Times New Roman"/>
                <w:color w:val="auto"/>
                <w:highlight w:val="none"/>
              </w:rPr>
            </w:pPr>
            <w:r>
              <w:rPr>
                <w:rFonts w:ascii="Times New Roman" w:hAnsi="Times New Roman"/>
                <w:color w:val="auto"/>
                <w:highlight w:val="none"/>
              </w:rPr>
              <w:t>Li——各声源对某点的声压值，dB(A)。</w:t>
            </w:r>
          </w:p>
          <w:p w14:paraId="3C6B1E69">
            <w:pPr>
              <w:pStyle w:val="31"/>
              <w:spacing w:line="360" w:lineRule="auto"/>
              <w:ind w:firstLine="480" w:firstLineChars="200"/>
              <w:rPr>
                <w:rFonts w:ascii="Times New Roman" w:hAnsi="Times New Roman"/>
                <w:color w:val="auto"/>
                <w:highlight w:val="none"/>
              </w:rPr>
            </w:pPr>
            <w:r>
              <w:rPr>
                <w:rFonts w:ascii="Times New Roman" w:hAnsi="Times New Roman"/>
                <w:color w:val="auto"/>
                <w:highlight w:val="none"/>
              </w:rPr>
              <w:t>（3）预测结果分析</w:t>
            </w:r>
          </w:p>
          <w:p w14:paraId="157619A2">
            <w:pPr>
              <w:pStyle w:val="31"/>
              <w:spacing w:line="360" w:lineRule="auto"/>
              <w:ind w:firstLine="480" w:firstLineChars="200"/>
              <w:rPr>
                <w:rFonts w:ascii="Times New Roman" w:hAnsi="Times New Roman"/>
                <w:color w:val="auto"/>
                <w:highlight w:val="none"/>
              </w:rPr>
            </w:pPr>
            <w:r>
              <w:rPr>
                <w:rFonts w:ascii="宋体" w:hAnsi="Times New Roman"/>
                <w:color w:val="auto"/>
                <w:highlight w:val="none"/>
              </w:rPr>
              <w:t>①</w:t>
            </w:r>
            <w:r>
              <w:rPr>
                <w:rFonts w:ascii="Times New Roman" w:hAnsi="Times New Roman"/>
                <w:color w:val="auto"/>
                <w:highlight w:val="none"/>
              </w:rPr>
              <w:t>单台施工机械在满负荷工作时不同距离处的噪声级预测结果见下表。</w:t>
            </w:r>
          </w:p>
          <w:p w14:paraId="6CBF6029">
            <w:pPr>
              <w:adjustRightInd w:val="0"/>
              <w:snapToGrid w:val="0"/>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表4-1 工程各类噪声源不同距离处噪声值 (单位：dB(A))</w:t>
            </w:r>
          </w:p>
          <w:tbl>
            <w:tblPr>
              <w:tblStyle w:val="23"/>
              <w:tblW w:w="5000" w:type="pct"/>
              <w:jc w:val="center"/>
              <w:tblLayout w:type="fixed"/>
              <w:tblCellMar>
                <w:top w:w="0" w:type="dxa"/>
                <w:left w:w="108" w:type="dxa"/>
                <w:bottom w:w="0" w:type="dxa"/>
                <w:right w:w="108" w:type="dxa"/>
              </w:tblCellMar>
            </w:tblPr>
            <w:tblGrid>
              <w:gridCol w:w="1564"/>
              <w:gridCol w:w="775"/>
              <w:gridCol w:w="775"/>
              <w:gridCol w:w="776"/>
              <w:gridCol w:w="776"/>
              <w:gridCol w:w="934"/>
              <w:gridCol w:w="776"/>
              <w:gridCol w:w="777"/>
              <w:gridCol w:w="777"/>
            </w:tblGrid>
            <w:tr w14:paraId="53084FAA">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E754">
                  <w:pPr>
                    <w:widowControl/>
                    <w:ind w:firstLine="361" w:firstLineChars="200"/>
                    <w:textAlignment w:val="center"/>
                    <w:rPr>
                      <w:rFonts w:ascii="Times New Roman" w:hAnsi="Times New Roman"/>
                      <w:b/>
                      <w:bCs/>
                      <w:color w:val="auto"/>
                      <w:sz w:val="18"/>
                      <w:szCs w:val="18"/>
                      <w:highlight w:val="none"/>
                    </w:rPr>
                  </w:pPr>
                  <w:r>
                    <w:rPr>
                      <w:rFonts w:hint="eastAsia" w:ascii="宋体" w:hAnsi="宋体" w:cs="宋体"/>
                      <w:b/>
                      <w:bCs/>
                      <w:color w:val="auto"/>
                      <w:kern w:val="0"/>
                      <w:sz w:val="18"/>
                      <w:szCs w:val="18"/>
                      <w:highlight w:val="none"/>
                    </w:rPr>
                    <w:t>声级</w:t>
                  </w:r>
                </w:p>
              </w:tc>
              <w:tc>
                <w:tcPr>
                  <w:tcW w:w="50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F074C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测点距声源距离（</w:t>
                  </w:r>
                  <w:r>
                    <w:rPr>
                      <w:rFonts w:ascii="Times New Roman" w:hAnsi="Times New Roman"/>
                      <w:b/>
                      <w:bCs/>
                      <w:color w:val="auto"/>
                      <w:kern w:val="0"/>
                      <w:sz w:val="18"/>
                      <w:szCs w:val="18"/>
                      <w:highlight w:val="none"/>
                    </w:rPr>
                    <w:t>m</w:t>
                  </w:r>
                  <w:r>
                    <w:rPr>
                      <w:rFonts w:hint="eastAsia" w:ascii="宋体" w:hAnsi="宋体" w:cs="宋体"/>
                      <w:b/>
                      <w:bCs/>
                      <w:color w:val="auto"/>
                      <w:kern w:val="0"/>
                      <w:sz w:val="18"/>
                      <w:szCs w:val="18"/>
                      <w:highlight w:val="none"/>
                    </w:rPr>
                    <w:t>）</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1795">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达标距离（</w:t>
                  </w:r>
                  <w:r>
                    <w:rPr>
                      <w:rFonts w:ascii="Times New Roman" w:hAnsi="Times New Roman"/>
                      <w:b/>
                      <w:bCs/>
                      <w:color w:val="auto"/>
                      <w:kern w:val="0"/>
                      <w:sz w:val="18"/>
                      <w:szCs w:val="18"/>
                      <w:highlight w:val="none"/>
                    </w:rPr>
                    <w:t>m</w:t>
                  </w:r>
                  <w:r>
                    <w:rPr>
                      <w:rFonts w:hint="eastAsia" w:ascii="宋体" w:hAnsi="宋体" w:cs="宋体"/>
                      <w:b/>
                      <w:bCs/>
                      <w:color w:val="auto"/>
                      <w:kern w:val="0"/>
                      <w:sz w:val="18"/>
                      <w:szCs w:val="18"/>
                      <w:highlight w:val="none"/>
                    </w:rPr>
                    <w:t>）</w:t>
                  </w:r>
                </w:p>
              </w:tc>
            </w:tr>
            <w:tr w14:paraId="3AEEEFCF">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EFA0">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噪声源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C2CB">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E86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F1B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B3A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7EE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F31A">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463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78A8">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昼间</w:t>
                  </w:r>
                </w:p>
              </w:tc>
            </w:tr>
            <w:tr w14:paraId="70997887">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CD76">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钻机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38D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967B">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74.9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07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2C5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118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105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7E6D">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D876">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28</w:t>
                  </w:r>
                </w:p>
              </w:tc>
            </w:tr>
            <w:tr w14:paraId="1E7E21B8">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463A">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泥浆泵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146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728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5D1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DA08">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E39F">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0B24">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17A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2CE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16</w:t>
                  </w:r>
                </w:p>
              </w:tc>
            </w:tr>
            <w:tr w14:paraId="4B95FFA1">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12B6">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绞车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B7D2">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20E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F9B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71D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D3D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CB0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B760">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3705">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16</w:t>
                  </w:r>
                </w:p>
              </w:tc>
            </w:tr>
            <w:tr w14:paraId="7672CBED">
              <w:tblPrEx>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97E7">
                  <w:pPr>
                    <w:widowControl/>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电动机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46D6">
                  <w:pPr>
                    <w:keepNext w:val="0"/>
                    <w:keepLines w:val="0"/>
                    <w:widowControl/>
                    <w:suppressLineNumbers w:val="0"/>
                    <w:jc w:val="center"/>
                    <w:textAlignment w:val="center"/>
                    <w:rPr>
                      <w:rFonts w:hint="default" w:ascii="Times New Roman" w:hAnsi="Times New Roman" w:eastAsia="宋体"/>
                      <w:color w:val="auto"/>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2502">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DD55">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91E3">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E0CB">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C44A">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D790">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0A01">
                  <w:pPr>
                    <w:widowControl/>
                    <w:jc w:val="center"/>
                    <w:textAlignment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color w:val="auto"/>
                      <w:kern w:val="0"/>
                      <w:sz w:val="18"/>
                      <w:szCs w:val="18"/>
                      <w:highlight w:val="none"/>
                    </w:rPr>
                    <w:t>16</w:t>
                  </w:r>
                </w:p>
              </w:tc>
            </w:tr>
          </w:tbl>
          <w:p w14:paraId="2E9F3B37">
            <w:pPr>
              <w:pStyle w:val="31"/>
              <w:adjustRightInd/>
              <w:spacing w:line="360" w:lineRule="auto"/>
              <w:ind w:firstLine="480" w:firstLineChars="200"/>
              <w:rPr>
                <w:rFonts w:ascii="Times New Roman" w:hAnsi="Times New Roman"/>
                <w:color w:val="auto"/>
                <w:highlight w:val="none"/>
              </w:rPr>
            </w:pPr>
            <w:r>
              <w:rPr>
                <w:rFonts w:ascii="宋体" w:hAnsi="Times New Roman"/>
                <w:color w:val="auto"/>
                <w:highlight w:val="none"/>
              </w:rPr>
              <w:t>②</w:t>
            </w:r>
            <w:r>
              <w:rPr>
                <w:rFonts w:ascii="Times New Roman" w:hAnsi="Times New Roman"/>
                <w:color w:val="auto"/>
                <w:highlight w:val="none"/>
              </w:rPr>
              <w:t>多台施工机械同时作业时的噪声级预测结果见下表。</w:t>
            </w:r>
          </w:p>
          <w:p w14:paraId="103E2258">
            <w:pPr>
              <w:pStyle w:val="31"/>
              <w:adjustRightInd/>
              <w:spacing w:line="360" w:lineRule="auto"/>
              <w:jc w:val="center"/>
              <w:rPr>
                <w:rFonts w:ascii="Times New Roman" w:hAnsi="Times New Roman"/>
                <w:b/>
                <w:color w:val="auto"/>
                <w:sz w:val="21"/>
                <w:szCs w:val="21"/>
                <w:highlight w:val="none"/>
              </w:rPr>
            </w:pPr>
            <w:r>
              <w:rPr>
                <w:rFonts w:ascii="Times New Roman" w:hAnsi="Times New Roman"/>
                <w:b/>
                <w:color w:val="auto"/>
                <w:sz w:val="21"/>
                <w:szCs w:val="21"/>
                <w:highlight w:val="none"/>
              </w:rPr>
              <w:t>表 4-2 施工期噪声源组合在不同距离的噪声预测值  单位：dB （A）</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598"/>
              <w:gridCol w:w="598"/>
              <w:gridCol w:w="598"/>
              <w:gridCol w:w="598"/>
              <w:gridCol w:w="598"/>
              <w:gridCol w:w="598"/>
              <w:gridCol w:w="598"/>
              <w:gridCol w:w="598"/>
              <w:gridCol w:w="598"/>
              <w:gridCol w:w="598"/>
              <w:gridCol w:w="598"/>
              <w:gridCol w:w="678"/>
            </w:tblGrid>
            <w:tr w14:paraId="27348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jc w:val="center"/>
              </w:trPr>
              <w:tc>
                <w:tcPr>
                  <w:tcW w:w="664" w:type="dxa"/>
                  <w:vMerge w:val="restart"/>
                  <w:tcBorders>
                    <w:tl2br w:val="nil"/>
                    <w:tr2bl w:val="nil"/>
                  </w:tcBorders>
                  <w:shd w:val="clear" w:color="auto" w:fill="auto"/>
                  <w:vAlign w:val="center"/>
                </w:tcPr>
                <w:p w14:paraId="3797CD3A">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噪声源组合</w:t>
                  </w:r>
                </w:p>
              </w:tc>
              <w:tc>
                <w:tcPr>
                  <w:tcW w:w="6578" w:type="dxa"/>
                  <w:gridSpan w:val="11"/>
                  <w:tcBorders>
                    <w:tl2br w:val="nil"/>
                    <w:tr2bl w:val="nil"/>
                  </w:tcBorders>
                  <w:shd w:val="clear" w:color="auto" w:fill="auto"/>
                  <w:vAlign w:val="center"/>
                </w:tcPr>
                <w:p w14:paraId="20B00D6F">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测点距声源距离（</w:t>
                  </w:r>
                  <w:r>
                    <w:rPr>
                      <w:rFonts w:ascii="Times New Roman" w:hAnsi="Times New Roman"/>
                      <w:b/>
                      <w:bCs/>
                      <w:color w:val="auto"/>
                      <w:kern w:val="0"/>
                      <w:sz w:val="18"/>
                      <w:szCs w:val="18"/>
                      <w:highlight w:val="none"/>
                    </w:rPr>
                    <w:t>m</w:t>
                  </w:r>
                  <w:r>
                    <w:rPr>
                      <w:rFonts w:hint="eastAsia" w:ascii="宋体" w:hAnsi="宋体" w:cs="宋体"/>
                      <w:b/>
                      <w:bCs/>
                      <w:color w:val="auto"/>
                      <w:kern w:val="0"/>
                      <w:sz w:val="18"/>
                      <w:szCs w:val="18"/>
                      <w:highlight w:val="none"/>
                    </w:rPr>
                    <w:t>）</w:t>
                  </w:r>
                </w:p>
              </w:tc>
              <w:tc>
                <w:tcPr>
                  <w:tcW w:w="678" w:type="dxa"/>
                  <w:tcBorders>
                    <w:tl2br w:val="nil"/>
                    <w:tr2bl w:val="nil"/>
                  </w:tcBorders>
                  <w:shd w:val="clear" w:color="auto" w:fill="auto"/>
                  <w:vAlign w:val="center"/>
                </w:tcPr>
                <w:p w14:paraId="0D6A2484">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达标距离</w:t>
                  </w:r>
                  <w:r>
                    <w:rPr>
                      <w:rFonts w:ascii="Times New Roman" w:hAnsi="Times New Roman"/>
                      <w:b/>
                      <w:bCs/>
                      <w:color w:val="auto"/>
                      <w:kern w:val="0"/>
                      <w:sz w:val="18"/>
                      <w:szCs w:val="18"/>
                      <w:highlight w:val="none"/>
                    </w:rPr>
                    <w:t>(m)</w:t>
                  </w:r>
                </w:p>
              </w:tc>
            </w:tr>
            <w:tr w14:paraId="38FC3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64" w:type="dxa"/>
                  <w:vMerge w:val="continue"/>
                  <w:tcBorders>
                    <w:tl2br w:val="nil"/>
                    <w:tr2bl w:val="nil"/>
                  </w:tcBorders>
                  <w:shd w:val="clear" w:color="auto" w:fill="auto"/>
                  <w:vAlign w:val="center"/>
                </w:tcPr>
                <w:p w14:paraId="67DD2A8C">
                  <w:pPr>
                    <w:jc w:val="center"/>
                    <w:rPr>
                      <w:rFonts w:ascii="宋体" w:hAnsi="宋体" w:cs="宋体"/>
                      <w:color w:val="auto"/>
                      <w:sz w:val="18"/>
                      <w:szCs w:val="18"/>
                      <w:highlight w:val="none"/>
                    </w:rPr>
                  </w:pPr>
                </w:p>
              </w:tc>
              <w:tc>
                <w:tcPr>
                  <w:tcW w:w="598" w:type="dxa"/>
                  <w:tcBorders>
                    <w:tl2br w:val="nil"/>
                    <w:tr2bl w:val="nil"/>
                  </w:tcBorders>
                  <w:shd w:val="clear" w:color="auto" w:fill="auto"/>
                  <w:vAlign w:val="center"/>
                </w:tcPr>
                <w:p w14:paraId="38C57D85">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w:t>
                  </w:r>
                </w:p>
              </w:tc>
              <w:tc>
                <w:tcPr>
                  <w:tcW w:w="598" w:type="dxa"/>
                  <w:tcBorders>
                    <w:tl2br w:val="nil"/>
                    <w:tr2bl w:val="nil"/>
                  </w:tcBorders>
                  <w:shd w:val="clear" w:color="auto" w:fill="auto"/>
                  <w:vAlign w:val="center"/>
                </w:tcPr>
                <w:p w14:paraId="64B42DF3">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20</w:t>
                  </w:r>
                </w:p>
              </w:tc>
              <w:tc>
                <w:tcPr>
                  <w:tcW w:w="598" w:type="dxa"/>
                  <w:tcBorders>
                    <w:tl2br w:val="nil"/>
                    <w:tr2bl w:val="nil"/>
                  </w:tcBorders>
                  <w:shd w:val="clear" w:color="auto" w:fill="auto"/>
                  <w:vAlign w:val="center"/>
                </w:tcPr>
                <w:p w14:paraId="117DBE80">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40</w:t>
                  </w:r>
                </w:p>
              </w:tc>
              <w:tc>
                <w:tcPr>
                  <w:tcW w:w="598" w:type="dxa"/>
                  <w:tcBorders>
                    <w:tl2br w:val="nil"/>
                    <w:tr2bl w:val="nil"/>
                  </w:tcBorders>
                  <w:shd w:val="clear" w:color="auto" w:fill="auto"/>
                  <w:vAlign w:val="center"/>
                </w:tcPr>
                <w:p w14:paraId="0A7F2BB8">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100</w:t>
                  </w:r>
                </w:p>
              </w:tc>
              <w:tc>
                <w:tcPr>
                  <w:tcW w:w="598" w:type="dxa"/>
                  <w:tcBorders>
                    <w:tl2br w:val="nil"/>
                    <w:tr2bl w:val="nil"/>
                  </w:tcBorders>
                  <w:shd w:val="clear" w:color="auto" w:fill="auto"/>
                  <w:vAlign w:val="center"/>
                </w:tcPr>
                <w:p w14:paraId="315E6CBB">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120</w:t>
                  </w:r>
                </w:p>
              </w:tc>
              <w:tc>
                <w:tcPr>
                  <w:tcW w:w="598" w:type="dxa"/>
                  <w:tcBorders>
                    <w:tl2br w:val="nil"/>
                    <w:tr2bl w:val="nil"/>
                  </w:tcBorders>
                  <w:shd w:val="clear" w:color="auto" w:fill="auto"/>
                  <w:vAlign w:val="center"/>
                </w:tcPr>
                <w:p w14:paraId="3F49F37A">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150</w:t>
                  </w:r>
                </w:p>
              </w:tc>
              <w:tc>
                <w:tcPr>
                  <w:tcW w:w="598" w:type="dxa"/>
                  <w:tcBorders>
                    <w:tl2br w:val="nil"/>
                    <w:tr2bl w:val="nil"/>
                  </w:tcBorders>
                  <w:shd w:val="clear" w:color="auto" w:fill="auto"/>
                  <w:vAlign w:val="center"/>
                </w:tcPr>
                <w:p w14:paraId="713AC0DD">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200</w:t>
                  </w:r>
                </w:p>
              </w:tc>
              <w:tc>
                <w:tcPr>
                  <w:tcW w:w="598" w:type="dxa"/>
                  <w:tcBorders>
                    <w:tl2br w:val="nil"/>
                    <w:tr2bl w:val="nil"/>
                  </w:tcBorders>
                  <w:shd w:val="clear" w:color="auto" w:fill="auto"/>
                  <w:vAlign w:val="center"/>
                </w:tcPr>
                <w:p w14:paraId="677D903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220</w:t>
                  </w:r>
                </w:p>
              </w:tc>
              <w:tc>
                <w:tcPr>
                  <w:tcW w:w="598" w:type="dxa"/>
                  <w:tcBorders>
                    <w:tl2br w:val="nil"/>
                    <w:tr2bl w:val="nil"/>
                  </w:tcBorders>
                  <w:shd w:val="clear" w:color="auto" w:fill="auto"/>
                  <w:vAlign w:val="center"/>
                </w:tcPr>
                <w:p w14:paraId="3505061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320</w:t>
                  </w:r>
                </w:p>
              </w:tc>
              <w:tc>
                <w:tcPr>
                  <w:tcW w:w="598" w:type="dxa"/>
                  <w:tcBorders>
                    <w:tl2br w:val="nil"/>
                    <w:tr2bl w:val="nil"/>
                  </w:tcBorders>
                  <w:shd w:val="clear" w:color="auto" w:fill="auto"/>
                  <w:vAlign w:val="center"/>
                </w:tcPr>
                <w:p w14:paraId="64E17D7C">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350</w:t>
                  </w:r>
                </w:p>
              </w:tc>
              <w:tc>
                <w:tcPr>
                  <w:tcW w:w="598" w:type="dxa"/>
                  <w:tcBorders>
                    <w:tl2br w:val="nil"/>
                    <w:tr2bl w:val="nil"/>
                  </w:tcBorders>
                  <w:shd w:val="clear" w:color="auto" w:fill="auto"/>
                  <w:vAlign w:val="center"/>
                </w:tcPr>
                <w:p w14:paraId="61763377">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600</w:t>
                  </w:r>
                </w:p>
              </w:tc>
              <w:tc>
                <w:tcPr>
                  <w:tcW w:w="678" w:type="dxa"/>
                  <w:tcBorders>
                    <w:tl2br w:val="nil"/>
                    <w:tr2bl w:val="nil"/>
                  </w:tcBorders>
                  <w:shd w:val="clear" w:color="auto" w:fill="auto"/>
                  <w:vAlign w:val="center"/>
                </w:tcPr>
                <w:p w14:paraId="59B62E4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昼间</w:t>
                  </w:r>
                </w:p>
              </w:tc>
            </w:tr>
            <w:tr w14:paraId="16F2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664" w:type="dxa"/>
                  <w:tcBorders>
                    <w:tl2br w:val="nil"/>
                    <w:tr2bl w:val="nil"/>
                  </w:tcBorders>
                  <w:shd w:val="clear" w:color="auto" w:fill="auto"/>
                  <w:vAlign w:val="center"/>
                </w:tcPr>
                <w:p w14:paraId="52EEDEF4">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钻井阶段（钻机、</w:t>
                  </w:r>
                  <w:r>
                    <w:rPr>
                      <w:rFonts w:hint="eastAsia" w:ascii="宋体" w:hAnsi="宋体" w:cs="宋体"/>
                      <w:color w:val="auto"/>
                      <w:kern w:val="0"/>
                      <w:sz w:val="18"/>
                      <w:szCs w:val="18"/>
                      <w:highlight w:val="none"/>
                      <w:lang w:val="en-US" w:eastAsia="zh-CN"/>
                    </w:rPr>
                    <w:t>泥浆泵、电动机</w:t>
                  </w:r>
                  <w:r>
                    <w:rPr>
                      <w:rFonts w:hint="eastAsia" w:ascii="宋体" w:hAnsi="宋体" w:cs="宋体"/>
                      <w:color w:val="auto"/>
                      <w:kern w:val="0"/>
                      <w:sz w:val="18"/>
                      <w:szCs w:val="18"/>
                      <w:highlight w:val="none"/>
                    </w:rPr>
                    <w:t>等）</w:t>
                  </w:r>
                </w:p>
              </w:tc>
              <w:tc>
                <w:tcPr>
                  <w:tcW w:w="598" w:type="dxa"/>
                  <w:tcBorders>
                    <w:tl2br w:val="nil"/>
                    <w:tr2bl w:val="nil"/>
                  </w:tcBorders>
                  <w:shd w:val="clear" w:color="auto" w:fill="auto"/>
                  <w:noWrap/>
                  <w:vAlign w:val="center"/>
                </w:tcPr>
                <w:p w14:paraId="640E1120">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87.9</w:t>
                  </w:r>
                </w:p>
              </w:tc>
              <w:tc>
                <w:tcPr>
                  <w:tcW w:w="598" w:type="dxa"/>
                  <w:tcBorders>
                    <w:tl2br w:val="nil"/>
                    <w:tr2bl w:val="nil"/>
                  </w:tcBorders>
                  <w:shd w:val="clear" w:color="auto" w:fill="auto"/>
                  <w:vAlign w:val="center"/>
                </w:tcPr>
                <w:p w14:paraId="266B9900">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75.9</w:t>
                  </w:r>
                </w:p>
              </w:tc>
              <w:tc>
                <w:tcPr>
                  <w:tcW w:w="598" w:type="dxa"/>
                  <w:tcBorders>
                    <w:tl2br w:val="nil"/>
                    <w:tr2bl w:val="nil"/>
                  </w:tcBorders>
                  <w:shd w:val="clear" w:color="auto" w:fill="auto"/>
                  <w:vAlign w:val="center"/>
                </w:tcPr>
                <w:p w14:paraId="10343CA1">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69.8</w:t>
                  </w:r>
                </w:p>
              </w:tc>
              <w:tc>
                <w:tcPr>
                  <w:tcW w:w="598" w:type="dxa"/>
                  <w:tcBorders>
                    <w:tl2br w:val="nil"/>
                    <w:tr2bl w:val="nil"/>
                  </w:tcBorders>
                  <w:shd w:val="clear" w:color="auto" w:fill="auto"/>
                  <w:vAlign w:val="center"/>
                </w:tcPr>
                <w:p w14:paraId="672BAC7E">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61.9</w:t>
                  </w:r>
                </w:p>
              </w:tc>
              <w:tc>
                <w:tcPr>
                  <w:tcW w:w="598" w:type="dxa"/>
                  <w:tcBorders>
                    <w:tl2br w:val="nil"/>
                    <w:tr2bl w:val="nil"/>
                  </w:tcBorders>
                  <w:shd w:val="clear" w:color="auto" w:fill="auto"/>
                  <w:vAlign w:val="center"/>
                </w:tcPr>
                <w:p w14:paraId="2BD7CAB1">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60.3</w:t>
                  </w:r>
                </w:p>
              </w:tc>
              <w:tc>
                <w:tcPr>
                  <w:tcW w:w="598" w:type="dxa"/>
                  <w:tcBorders>
                    <w:tl2br w:val="nil"/>
                    <w:tr2bl w:val="nil"/>
                  </w:tcBorders>
                  <w:shd w:val="clear" w:color="auto" w:fill="auto"/>
                  <w:vAlign w:val="center"/>
                </w:tcPr>
                <w:p w14:paraId="0C96EA52">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58.4</w:t>
                  </w:r>
                </w:p>
              </w:tc>
              <w:tc>
                <w:tcPr>
                  <w:tcW w:w="598" w:type="dxa"/>
                  <w:tcBorders>
                    <w:tl2br w:val="nil"/>
                    <w:tr2bl w:val="nil"/>
                  </w:tcBorders>
                  <w:shd w:val="clear" w:color="auto" w:fill="auto"/>
                  <w:vAlign w:val="center"/>
                </w:tcPr>
                <w:p w14:paraId="1EB5B1E6">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55.9</w:t>
                  </w:r>
                </w:p>
              </w:tc>
              <w:tc>
                <w:tcPr>
                  <w:tcW w:w="598" w:type="dxa"/>
                  <w:tcBorders>
                    <w:tl2br w:val="nil"/>
                    <w:tr2bl w:val="nil"/>
                  </w:tcBorders>
                  <w:shd w:val="clear" w:color="auto" w:fill="auto"/>
                  <w:vAlign w:val="center"/>
                </w:tcPr>
                <w:p w14:paraId="2FDB0F44">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55.0</w:t>
                  </w:r>
                </w:p>
              </w:tc>
              <w:tc>
                <w:tcPr>
                  <w:tcW w:w="598" w:type="dxa"/>
                  <w:tcBorders>
                    <w:tl2br w:val="nil"/>
                    <w:tr2bl w:val="nil"/>
                  </w:tcBorders>
                  <w:shd w:val="clear" w:color="auto" w:fill="auto"/>
                  <w:vAlign w:val="center"/>
                </w:tcPr>
                <w:p w14:paraId="56D5D58B">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51.8</w:t>
                  </w:r>
                </w:p>
              </w:tc>
              <w:tc>
                <w:tcPr>
                  <w:tcW w:w="598" w:type="dxa"/>
                  <w:tcBorders>
                    <w:tl2br w:val="nil"/>
                    <w:tr2bl w:val="nil"/>
                  </w:tcBorders>
                  <w:shd w:val="clear" w:color="auto" w:fill="auto"/>
                  <w:vAlign w:val="center"/>
                </w:tcPr>
                <w:p w14:paraId="08962490">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51.0</w:t>
                  </w:r>
                </w:p>
              </w:tc>
              <w:tc>
                <w:tcPr>
                  <w:tcW w:w="598" w:type="dxa"/>
                  <w:tcBorders>
                    <w:tl2br w:val="nil"/>
                    <w:tr2bl w:val="nil"/>
                  </w:tcBorders>
                  <w:shd w:val="clear" w:color="auto" w:fill="auto"/>
                  <w:vAlign w:val="center"/>
                </w:tcPr>
                <w:p w14:paraId="42D420F9">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rPr>
                    <w:t>46.3</w:t>
                  </w:r>
                </w:p>
              </w:tc>
              <w:tc>
                <w:tcPr>
                  <w:tcW w:w="678" w:type="dxa"/>
                  <w:tcBorders>
                    <w:tl2br w:val="nil"/>
                    <w:tr2bl w:val="nil"/>
                  </w:tcBorders>
                  <w:shd w:val="clear" w:color="auto" w:fill="auto"/>
                  <w:vAlign w:val="center"/>
                </w:tcPr>
                <w:p w14:paraId="7A20F45C">
                  <w:pPr>
                    <w:widowControl/>
                    <w:jc w:val="center"/>
                    <w:textAlignment w:val="center"/>
                    <w:rPr>
                      <w:rFonts w:ascii="Times New Roman" w:hAnsi="Times New Roman"/>
                      <w:b/>
                      <w:bCs/>
                      <w:color w:val="auto"/>
                      <w:sz w:val="18"/>
                      <w:szCs w:val="18"/>
                      <w:highlight w:val="none"/>
                    </w:rPr>
                  </w:pPr>
                  <w:r>
                    <w:rPr>
                      <w:rFonts w:ascii="Times New Roman" w:hAnsi="Times New Roman"/>
                      <w:b/>
                      <w:bCs/>
                      <w:color w:val="auto"/>
                      <w:kern w:val="0"/>
                      <w:sz w:val="18"/>
                      <w:szCs w:val="18"/>
                      <w:highlight w:val="none"/>
                    </w:rPr>
                    <w:t>40</w:t>
                  </w:r>
                </w:p>
              </w:tc>
            </w:tr>
          </w:tbl>
          <w:p w14:paraId="066FF54E">
            <w:pPr>
              <w:pStyle w:val="31"/>
              <w:adjustRightInd/>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由上表可知，单台施工机械施工在28m处、多台施工机械同时施工时在40m处可达到《建筑施工场界环境噪声排放标准》（GB12523-2011）规定限值要求。经现场踏勘，1#井场最近敏感目标为井场东南角的小李，相距约105m；2#井场最近敏感目标为井场西南角的小李，相距约196m。虽井场与敏感目标距离满足无防护时的噪声达标距离要求，但为进一步降低施工噪声影响，本项目要求施工单位禁止夜间施工。同时，为确保施工场界噪声全面达标，要求施工期采取移动式隔声屏障，其隔声降噪量可达15~30dB（A），本次评价选取25dB（A），经采取该措施后，施工场界噪声可稳定达标。</w:t>
            </w:r>
          </w:p>
          <w:p w14:paraId="1BAD0991">
            <w:pPr>
              <w:pStyle w:val="31"/>
              <w:adjustRightInd/>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在不采取任何噪声防治措施的情况下，若违规夜间施工，噪声会对附近居民敏感点造成一定影响。因此，建设单位应严格落实以下噪声污染防治措施，最大程度降低施工噪声对周边环境及敏感点的影响：</w:t>
            </w:r>
          </w:p>
          <w:p w14:paraId="172DB1E0">
            <w:pPr>
              <w:pStyle w:val="6"/>
              <w:spacing w:line="360" w:lineRule="auto"/>
              <w:ind w:firstLine="480"/>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rPr>
              <w:t>①</w:t>
            </w:r>
            <w:r>
              <w:rPr>
                <w:rFonts w:hint="eastAsia" w:ascii="Times New Roman" w:hAnsi="Times New Roman"/>
                <w:color w:val="auto"/>
                <w:sz w:val="24"/>
                <w:highlight w:val="none"/>
                <w:lang w:val="en-US" w:eastAsia="zh-CN"/>
              </w:rPr>
              <w:t>本项目井场距离居民点较近，本项目要求施工单位禁止在夜间施工，若夜间必须施工，</w:t>
            </w:r>
            <w:r>
              <w:rPr>
                <w:rFonts w:hint="eastAsia" w:ascii="Times New Roman" w:hAnsi="Times New Roman"/>
                <w:color w:val="auto"/>
                <w:sz w:val="24"/>
                <w:highlight w:val="none"/>
              </w:rPr>
              <w:t>夜间施工考虑采取移动式隔声屏障</w:t>
            </w:r>
            <w:r>
              <w:rPr>
                <w:rFonts w:hint="eastAsia" w:ascii="Times New Roman" w:hAnsi="Times New Roman"/>
                <w:color w:val="auto"/>
                <w:sz w:val="24"/>
                <w:highlight w:val="none"/>
                <w:lang w:val="en-US" w:eastAsia="zh-CN"/>
              </w:rPr>
              <w:t>并应与居民协商采取补偿措施。</w:t>
            </w:r>
          </w:p>
          <w:p w14:paraId="5B1368EF">
            <w:pPr>
              <w:pStyle w:val="6"/>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②施工过程中使用的主要机械设备应为低噪声机械设备，同时在施工过程中施工单位应设专人对设备进行定期保养和维护，避免由于设备故障而导致噪声增强现象的发生。并负责对现场工作人员进行培训，严格按操作规范使用各类机械。</w:t>
            </w:r>
          </w:p>
          <w:p w14:paraId="17F9D584">
            <w:pPr>
              <w:pStyle w:val="6"/>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③在不影响施工情况下将噪声设备不集中安排，并将其移至距离居民住宅等敏感点较远处。</w:t>
            </w:r>
          </w:p>
          <w:p w14:paraId="14449281">
            <w:pPr>
              <w:pStyle w:val="6"/>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④施工场地的施工车辆出入地点应远离敏感点，车辆出入现场时应低速、禁鸣。</w:t>
            </w:r>
          </w:p>
          <w:p w14:paraId="5D2ABF97">
            <w:pPr>
              <w:pStyle w:val="6"/>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⑤建设管理部门应加强对施工场地的噪声管理，施工企业也应对施工噪声进行自律，文明施工，避免因施工噪声产生纠纷。</w:t>
            </w:r>
          </w:p>
          <w:p w14:paraId="0DDACC5B">
            <w:pPr>
              <w:pStyle w:val="6"/>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⑥加强施工期噪声监测，发现施工噪声超标并对附近居民点产生影响时必须首先停止施工，并应及时采取有效的噪声污染防治措施，在验证可做到噪声达标排放的前提下方可继续施工。</w:t>
            </w:r>
          </w:p>
          <w:p w14:paraId="14C2AE6E">
            <w:pPr>
              <w:pStyle w:val="6"/>
              <w:spacing w:line="360" w:lineRule="auto"/>
              <w:ind w:firstLine="482"/>
              <w:rPr>
                <w:rFonts w:hint="eastAsia" w:ascii="Times New Roman" w:hAnsi="Times New Roman" w:eastAsia="宋体"/>
                <w:b/>
                <w:bCs/>
                <w:color w:val="auto"/>
                <w:sz w:val="24"/>
                <w:highlight w:val="none"/>
                <w:lang w:val="en-US" w:eastAsia="zh-CN"/>
              </w:rPr>
            </w:pPr>
            <w:r>
              <w:rPr>
                <w:rFonts w:ascii="Times New Roman" w:hAnsi="Times New Roman"/>
                <w:b/>
                <w:bCs/>
                <w:color w:val="auto"/>
                <w:sz w:val="24"/>
                <w:highlight w:val="none"/>
              </w:rPr>
              <w:t>4、施工固体废物处理处置</w:t>
            </w:r>
          </w:p>
          <w:p w14:paraId="1ABF25D9">
            <w:pPr>
              <w:pStyle w:val="6"/>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本项目产生的固体废物主要为一般固废、生活垃圾和危险废物。</w:t>
            </w:r>
          </w:p>
          <w:p w14:paraId="02FDBBD3">
            <w:pPr>
              <w:pStyle w:val="4"/>
              <w:spacing w:line="360" w:lineRule="auto"/>
              <w:ind w:left="0" w:firstLine="480" w:firstLineChars="200"/>
              <w:rPr>
                <w:rFonts w:ascii="Times New Roman" w:hAnsi="Times New Roman" w:cs="Times New Roman"/>
                <w:b w:val="0"/>
                <w:color w:val="auto"/>
                <w:highlight w:val="none"/>
                <w:lang w:val="en-US" w:bidi="ar-SA"/>
              </w:rPr>
            </w:pPr>
            <w:r>
              <w:rPr>
                <w:rFonts w:ascii="Times New Roman" w:hAnsi="Times New Roman" w:cs="Times New Roman"/>
                <w:b w:val="0"/>
                <w:color w:val="auto"/>
                <w:highlight w:val="none"/>
                <w:lang w:val="en-US" w:bidi="ar-SA"/>
              </w:rPr>
              <w:t>（1）一般固废</w:t>
            </w:r>
          </w:p>
          <w:p w14:paraId="0A9072F2">
            <w:pPr>
              <w:pStyle w:val="6"/>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一般固废主要为钻井</w:t>
            </w:r>
            <w:r>
              <w:rPr>
                <w:rFonts w:hint="eastAsia" w:ascii="Times New Roman" w:hAnsi="Times New Roman"/>
                <w:bCs/>
                <w:color w:val="auto"/>
                <w:sz w:val="24"/>
                <w:highlight w:val="none"/>
                <w:lang w:val="en-US" w:eastAsia="zh-CN"/>
              </w:rPr>
              <w:t>泥浆</w:t>
            </w:r>
            <w:r>
              <w:rPr>
                <w:rFonts w:ascii="Times New Roman" w:hAnsi="Times New Roman"/>
                <w:bCs/>
                <w:color w:val="auto"/>
                <w:sz w:val="24"/>
                <w:highlight w:val="none"/>
              </w:rPr>
              <w:t>、</w:t>
            </w:r>
            <w:r>
              <w:rPr>
                <w:rFonts w:hint="eastAsia" w:ascii="Times New Roman" w:hAnsi="Times New Roman"/>
                <w:bCs/>
                <w:color w:val="auto"/>
                <w:sz w:val="24"/>
                <w:highlight w:val="none"/>
                <w:lang w:eastAsia="zh-CN"/>
              </w:rPr>
              <w:t>岩芯碎屑</w:t>
            </w:r>
            <w:r>
              <w:rPr>
                <w:rFonts w:ascii="Times New Roman" w:hAnsi="Times New Roman"/>
                <w:bCs/>
                <w:color w:val="auto"/>
                <w:sz w:val="24"/>
                <w:highlight w:val="none"/>
              </w:rPr>
              <w:t>和废包装材料。</w:t>
            </w:r>
          </w:p>
          <w:p w14:paraId="503EF9C0">
            <w:pPr>
              <w:pStyle w:val="6"/>
              <w:spacing w:line="360" w:lineRule="auto"/>
              <w:ind w:firstLine="480"/>
              <w:rPr>
                <w:rFonts w:hint="eastAsia" w:ascii="Times New Roman" w:hAnsi="Times New Roman" w:eastAsia="宋体"/>
                <w:bCs/>
                <w:color w:val="auto"/>
                <w:sz w:val="24"/>
                <w:highlight w:val="none"/>
                <w:lang w:eastAsia="zh-CN"/>
              </w:rPr>
            </w:pPr>
            <w:r>
              <w:rPr>
                <w:rFonts w:ascii="宋体" w:hAnsi="宋体"/>
                <w:bCs/>
                <w:color w:val="auto"/>
                <w:sz w:val="24"/>
                <w:highlight w:val="none"/>
              </w:rPr>
              <w:t>①</w:t>
            </w:r>
            <w:r>
              <w:rPr>
                <w:rFonts w:hint="eastAsia" w:ascii="Times New Roman" w:hAnsi="宋体"/>
                <w:bCs/>
                <w:color w:val="auto"/>
                <w:sz w:val="24"/>
                <w:highlight w:val="none"/>
                <w:lang w:val="en-US" w:eastAsia="zh-CN"/>
              </w:rPr>
              <w:t>钻井泥浆</w:t>
            </w:r>
          </w:p>
          <w:p w14:paraId="05B4D202">
            <w:pPr>
              <w:pStyle w:val="6"/>
              <w:spacing w:line="360" w:lineRule="auto"/>
              <w:ind w:firstLine="480"/>
              <w:rPr>
                <w:rFonts w:ascii="Times New Roman" w:hAnsi="Times New Roman"/>
                <w:bCs/>
                <w:color w:val="auto"/>
                <w:sz w:val="24"/>
                <w:highlight w:val="none"/>
              </w:rPr>
            </w:pPr>
            <w:r>
              <w:rPr>
                <w:rFonts w:hint="eastAsia" w:ascii="Times New Roman" w:hAnsi="宋体"/>
                <w:bCs/>
                <w:color w:val="auto"/>
                <w:sz w:val="24"/>
                <w:highlight w:val="none"/>
                <w:lang w:val="en-US" w:eastAsia="zh-CN"/>
              </w:rPr>
              <w:t>钻井泥浆</w:t>
            </w:r>
            <w:r>
              <w:rPr>
                <w:rFonts w:ascii="Times New Roman" w:hAnsi="宋体"/>
                <w:bCs/>
                <w:color w:val="auto"/>
                <w:sz w:val="24"/>
                <w:highlight w:val="none"/>
              </w:rPr>
              <w:t>主要来源于被更换的不适于钻井工程和地质要求的泥浆，因部分性能不合格而被排放的钻井泥浆。项目钻井泥浆为水基泥浆，根据设计资料及类比同类钻井行业，项目产生的</w:t>
            </w:r>
            <w:r>
              <w:rPr>
                <w:rFonts w:hint="eastAsia" w:ascii="Times New Roman" w:hAnsi="宋体"/>
                <w:bCs/>
                <w:color w:val="auto"/>
                <w:sz w:val="24"/>
                <w:highlight w:val="none"/>
                <w:lang w:val="en-US" w:eastAsia="zh-CN"/>
              </w:rPr>
              <w:t>钻井泥浆</w:t>
            </w:r>
            <w:r>
              <w:rPr>
                <w:rFonts w:hint="eastAsia" w:ascii="Times New Roman" w:hAnsi="宋体"/>
                <w:bCs/>
                <w:color w:val="auto"/>
                <w:sz w:val="24"/>
                <w:highlight w:val="none"/>
              </w:rPr>
              <w:t>总计</w:t>
            </w:r>
            <w:r>
              <w:rPr>
                <w:rFonts w:ascii="Times New Roman" w:hAnsi="宋体"/>
                <w:bCs/>
                <w:color w:val="auto"/>
                <w:sz w:val="24"/>
                <w:highlight w:val="none"/>
              </w:rPr>
              <w:t>约为</w:t>
            </w:r>
            <w:r>
              <w:rPr>
                <w:rFonts w:hint="eastAsia" w:ascii="Times New Roman" w:hAnsi="宋体"/>
                <w:bCs/>
                <w:color w:val="auto"/>
                <w:sz w:val="24"/>
                <w:highlight w:val="none"/>
                <w:lang w:val="en-US" w:eastAsia="zh-CN"/>
              </w:rPr>
              <w:t>57</w:t>
            </w:r>
            <w:r>
              <w:rPr>
                <w:rFonts w:ascii="Times New Roman" w:hAnsi="Times New Roman"/>
                <w:bCs/>
                <w:color w:val="auto"/>
                <w:sz w:val="24"/>
                <w:highlight w:val="none"/>
              </w:rPr>
              <w:t>m</w:t>
            </w:r>
            <w:r>
              <w:rPr>
                <w:rFonts w:ascii="Times New Roman" w:hAnsi="Times New Roman"/>
                <w:bCs/>
                <w:color w:val="auto"/>
                <w:sz w:val="24"/>
                <w:highlight w:val="none"/>
                <w:vertAlign w:val="superscript"/>
              </w:rPr>
              <w:t>3</w:t>
            </w:r>
            <w:r>
              <w:rPr>
                <w:rFonts w:ascii="Times New Roman" w:hAnsi="宋体"/>
                <w:bCs/>
                <w:color w:val="auto"/>
                <w:sz w:val="24"/>
                <w:highlight w:val="none"/>
              </w:rPr>
              <w:t>，暂存于</w:t>
            </w:r>
            <w:r>
              <w:rPr>
                <w:rFonts w:hint="eastAsia" w:ascii="Times New Roman" w:hAnsi="宋体"/>
                <w:bCs/>
                <w:color w:val="auto"/>
                <w:sz w:val="24"/>
                <w:highlight w:val="none"/>
                <w:lang w:eastAsia="zh-CN"/>
              </w:rPr>
              <w:t>泥浆池</w:t>
            </w:r>
            <w:r>
              <w:rPr>
                <w:rFonts w:ascii="Times New Roman" w:hAnsi="宋体"/>
                <w:bCs/>
                <w:color w:val="auto"/>
                <w:sz w:val="24"/>
                <w:highlight w:val="none"/>
              </w:rPr>
              <w:t>中，待钻井结束后投加泥浆固化剂</w:t>
            </w:r>
            <w:r>
              <w:rPr>
                <w:rFonts w:hint="eastAsia" w:ascii="Times New Roman" w:hAnsi="宋体"/>
                <w:bCs/>
                <w:color w:val="auto"/>
                <w:sz w:val="24"/>
                <w:highlight w:val="none"/>
                <w:lang w:eastAsia="zh-CN"/>
              </w:rPr>
              <w:t>固化后作为建筑材料外售</w:t>
            </w:r>
            <w:r>
              <w:rPr>
                <w:rFonts w:ascii="Times New Roman" w:hAnsi="宋体"/>
                <w:bCs/>
                <w:color w:val="auto"/>
                <w:sz w:val="24"/>
                <w:highlight w:val="none"/>
              </w:rPr>
              <w:t>。</w:t>
            </w:r>
          </w:p>
          <w:p w14:paraId="1AE64DE5">
            <w:pPr>
              <w:pStyle w:val="6"/>
              <w:spacing w:line="360" w:lineRule="auto"/>
              <w:ind w:firstLine="480"/>
              <w:rPr>
                <w:rFonts w:hint="eastAsia" w:ascii="Times New Roman" w:hAnsi="Times New Roman" w:eastAsia="宋体"/>
                <w:bCs/>
                <w:color w:val="auto"/>
                <w:sz w:val="24"/>
                <w:highlight w:val="none"/>
                <w:lang w:eastAsia="zh-CN"/>
              </w:rPr>
            </w:pPr>
            <w:r>
              <w:rPr>
                <w:rFonts w:ascii="宋体" w:hAnsi="宋体"/>
                <w:bCs/>
                <w:color w:val="auto"/>
                <w:sz w:val="24"/>
                <w:highlight w:val="none"/>
              </w:rPr>
              <w:t>②</w:t>
            </w:r>
            <w:r>
              <w:rPr>
                <w:rFonts w:hint="eastAsia" w:ascii="Times New Roman" w:hAnsi="宋体"/>
                <w:bCs/>
                <w:color w:val="auto"/>
                <w:sz w:val="24"/>
                <w:highlight w:val="none"/>
                <w:lang w:eastAsia="zh-CN"/>
              </w:rPr>
              <w:t>岩芯碎屑</w:t>
            </w:r>
          </w:p>
          <w:p w14:paraId="7D27CFC8">
            <w:pPr>
              <w:pStyle w:val="6"/>
              <w:spacing w:line="360" w:lineRule="auto"/>
              <w:ind w:firstLine="480"/>
              <w:rPr>
                <w:rFonts w:ascii="Times New Roman" w:hAnsi="Times New Roman"/>
                <w:bCs/>
                <w:color w:val="auto"/>
                <w:sz w:val="24"/>
                <w:highlight w:val="none"/>
              </w:rPr>
            </w:pPr>
            <w:r>
              <w:rPr>
                <w:rFonts w:hint="eastAsia" w:ascii="Times New Roman" w:hAnsi="宋体"/>
                <w:bCs/>
                <w:color w:val="auto"/>
                <w:sz w:val="24"/>
                <w:highlight w:val="none"/>
                <w:lang w:eastAsia="zh-CN"/>
              </w:rPr>
              <w:t>岩芯碎屑</w:t>
            </w:r>
            <w:r>
              <w:rPr>
                <w:rFonts w:ascii="Times New Roman" w:hAnsi="宋体"/>
                <w:bCs/>
                <w:color w:val="auto"/>
                <w:sz w:val="24"/>
                <w:highlight w:val="none"/>
              </w:rPr>
              <w:t>是在钻井过程中钻头切屑地层岩石而产生的碎屑，并通过钻井泥浆带出至地面，主要成分为岩石、土壤及钻井泥浆液，其产生量与井眼长度、平均井径有关。根据本项目各开次钻头尺寸、钻深核算</w:t>
            </w:r>
            <w:r>
              <w:rPr>
                <w:rFonts w:hint="eastAsia" w:ascii="Times New Roman" w:hAnsi="宋体"/>
                <w:bCs/>
                <w:color w:val="auto"/>
                <w:sz w:val="24"/>
                <w:highlight w:val="none"/>
                <w:lang w:eastAsia="zh-CN"/>
              </w:rPr>
              <w:t>岩芯碎屑</w:t>
            </w:r>
            <w:r>
              <w:rPr>
                <w:rFonts w:ascii="Times New Roman" w:hAnsi="宋体"/>
                <w:bCs/>
                <w:color w:val="auto"/>
                <w:sz w:val="24"/>
                <w:highlight w:val="none"/>
              </w:rPr>
              <w:t>产生量及企业提供资料估算，</w:t>
            </w:r>
            <w:r>
              <w:rPr>
                <w:rFonts w:hint="eastAsia" w:ascii="Times New Roman" w:hAnsi="宋体"/>
                <w:bCs/>
                <w:color w:val="auto"/>
                <w:sz w:val="24"/>
                <w:highlight w:val="none"/>
              </w:rPr>
              <w:t>本项目产生的</w:t>
            </w:r>
            <w:r>
              <w:rPr>
                <w:rFonts w:hint="eastAsia" w:ascii="Times New Roman" w:hAnsi="宋体"/>
                <w:bCs/>
                <w:color w:val="auto"/>
                <w:sz w:val="24"/>
                <w:highlight w:val="none"/>
                <w:lang w:eastAsia="zh-CN"/>
              </w:rPr>
              <w:t>岩芯碎屑</w:t>
            </w:r>
            <w:r>
              <w:rPr>
                <w:rFonts w:hint="eastAsia" w:ascii="Times New Roman" w:hAnsi="宋体"/>
                <w:bCs/>
                <w:color w:val="auto"/>
                <w:sz w:val="24"/>
                <w:highlight w:val="none"/>
              </w:rPr>
              <w:t>总计</w:t>
            </w:r>
            <w:r>
              <w:rPr>
                <w:rFonts w:ascii="Times New Roman" w:hAnsi="宋体"/>
                <w:bCs/>
                <w:color w:val="auto"/>
                <w:sz w:val="24"/>
                <w:highlight w:val="none"/>
              </w:rPr>
              <w:t>约为</w:t>
            </w:r>
            <w:r>
              <w:rPr>
                <w:rFonts w:hint="eastAsia" w:ascii="Times New Roman" w:hAnsi="宋体"/>
                <w:bCs/>
                <w:color w:val="auto"/>
                <w:sz w:val="24"/>
                <w:highlight w:val="none"/>
                <w:lang w:val="en-US" w:eastAsia="zh-CN"/>
              </w:rPr>
              <w:t>3</w:t>
            </w:r>
            <w:r>
              <w:rPr>
                <w:rFonts w:hint="eastAsia" w:ascii="Times New Roman" w:hAnsi="Times New Roman"/>
                <w:bCs/>
                <w:color w:val="auto"/>
                <w:sz w:val="24"/>
                <w:highlight w:val="none"/>
              </w:rPr>
              <w:t>t，</w:t>
            </w:r>
            <w:r>
              <w:rPr>
                <w:rFonts w:ascii="Times New Roman" w:hAnsi="宋体"/>
                <w:bCs/>
                <w:color w:val="auto"/>
                <w:sz w:val="24"/>
                <w:highlight w:val="none"/>
              </w:rPr>
              <w:t>产生的</w:t>
            </w:r>
            <w:r>
              <w:rPr>
                <w:rFonts w:hint="eastAsia" w:ascii="Times New Roman" w:hAnsi="宋体"/>
                <w:bCs/>
                <w:color w:val="auto"/>
                <w:sz w:val="24"/>
                <w:highlight w:val="none"/>
                <w:lang w:eastAsia="zh-CN"/>
              </w:rPr>
              <w:t>岩芯碎屑</w:t>
            </w:r>
            <w:r>
              <w:rPr>
                <w:rFonts w:hint="eastAsia" w:ascii="Times New Roman" w:hAnsi="宋体"/>
                <w:bCs/>
                <w:color w:val="auto"/>
                <w:sz w:val="24"/>
                <w:highlight w:val="none"/>
                <w:lang w:val="en-US" w:eastAsia="zh-CN"/>
              </w:rPr>
              <w:t>集中暂存于岩芯摆放区</w:t>
            </w:r>
            <w:r>
              <w:rPr>
                <w:rFonts w:ascii="Times New Roman" w:hAnsi="宋体"/>
                <w:bCs/>
                <w:color w:val="auto"/>
                <w:sz w:val="24"/>
                <w:highlight w:val="none"/>
              </w:rPr>
              <w:t>。由于本项目使用水基泥浆钻，该阶段产生的岩屑未被列入《国家危险废物名录》（</w:t>
            </w:r>
            <w:r>
              <w:rPr>
                <w:rFonts w:ascii="Times New Roman" w:hAnsi="Times New Roman"/>
                <w:bCs/>
                <w:color w:val="auto"/>
                <w:sz w:val="24"/>
                <w:highlight w:val="none"/>
              </w:rPr>
              <w:t>202</w:t>
            </w:r>
            <w:r>
              <w:rPr>
                <w:rFonts w:hint="eastAsia" w:ascii="Times New Roman" w:hAnsi="Times New Roman"/>
                <w:bCs/>
                <w:color w:val="auto"/>
                <w:sz w:val="24"/>
                <w:highlight w:val="none"/>
              </w:rPr>
              <w:t>5</w:t>
            </w:r>
            <w:r>
              <w:rPr>
                <w:rFonts w:ascii="Times New Roman" w:hAnsi="宋体"/>
                <w:bCs/>
                <w:color w:val="auto"/>
                <w:sz w:val="24"/>
                <w:highlight w:val="none"/>
              </w:rPr>
              <w:t>年版）中规定的危险废物，</w:t>
            </w:r>
            <w:r>
              <w:rPr>
                <w:rFonts w:ascii="Times New Roman" w:hAnsi="宋体"/>
                <w:color w:val="auto"/>
                <w:sz w:val="24"/>
                <w:highlight w:val="none"/>
              </w:rPr>
              <w:t>本项目不以矿物油为连续相配制钻井泥浆，项目采用纤维素等进行钻井工作，</w:t>
            </w:r>
            <w:r>
              <w:rPr>
                <w:rFonts w:hint="eastAsia" w:ascii="Times New Roman" w:hAnsi="宋体"/>
                <w:bCs/>
                <w:color w:val="auto"/>
                <w:sz w:val="24"/>
                <w:highlight w:val="none"/>
                <w:lang w:eastAsia="zh-CN"/>
              </w:rPr>
              <w:t>岩芯碎屑</w:t>
            </w:r>
            <w:r>
              <w:rPr>
                <w:rFonts w:ascii="Times New Roman" w:hAnsi="宋体"/>
                <w:color w:val="auto"/>
                <w:sz w:val="24"/>
                <w:highlight w:val="none"/>
              </w:rPr>
              <w:t>属于一般固废，</w:t>
            </w:r>
            <w:r>
              <w:rPr>
                <w:rFonts w:hint="eastAsia" w:ascii="Times New Roman" w:hAnsi="宋体"/>
                <w:color w:val="auto"/>
                <w:sz w:val="24"/>
                <w:highlight w:val="none"/>
                <w:lang w:val="en-US" w:eastAsia="zh-CN"/>
              </w:rPr>
              <w:t>委托建材单位回收处置</w:t>
            </w:r>
            <w:r>
              <w:rPr>
                <w:rFonts w:ascii="Times New Roman" w:hAnsi="宋体"/>
                <w:bCs/>
                <w:color w:val="auto"/>
                <w:sz w:val="24"/>
                <w:highlight w:val="none"/>
              </w:rPr>
              <w:t>。</w:t>
            </w:r>
          </w:p>
          <w:p w14:paraId="1BBD9EFE">
            <w:pPr>
              <w:pStyle w:val="6"/>
              <w:spacing w:line="360" w:lineRule="auto"/>
              <w:ind w:firstLine="480"/>
              <w:rPr>
                <w:rFonts w:ascii="Times New Roman" w:hAnsi="Times New Roman"/>
                <w:color w:val="auto"/>
                <w:sz w:val="24"/>
                <w:highlight w:val="none"/>
              </w:rPr>
            </w:pPr>
            <w:r>
              <w:rPr>
                <w:rFonts w:ascii="宋体" w:hAnsi="宋体"/>
                <w:color w:val="auto"/>
                <w:sz w:val="24"/>
                <w:highlight w:val="none"/>
              </w:rPr>
              <w:t>③</w:t>
            </w:r>
            <w:r>
              <w:rPr>
                <w:rFonts w:ascii="Times New Roman" w:hAnsi="宋体"/>
                <w:color w:val="auto"/>
                <w:sz w:val="24"/>
                <w:highlight w:val="none"/>
              </w:rPr>
              <w:t>废包装材料</w:t>
            </w:r>
          </w:p>
          <w:p w14:paraId="31B2D227">
            <w:pPr>
              <w:pStyle w:val="6"/>
              <w:spacing w:line="360" w:lineRule="auto"/>
              <w:ind w:firstLine="480"/>
              <w:rPr>
                <w:rFonts w:ascii="Times New Roman" w:hAnsi="Times New Roman"/>
                <w:color w:val="auto"/>
                <w:sz w:val="24"/>
                <w:highlight w:val="none"/>
              </w:rPr>
            </w:pPr>
            <w:r>
              <w:rPr>
                <w:rFonts w:ascii="Times New Roman" w:hAnsi="宋体"/>
                <w:color w:val="auto"/>
                <w:sz w:val="24"/>
                <w:highlight w:val="none"/>
              </w:rPr>
              <w:t>本项目在钻井过程中会使用一定量的原辅材料，根据企业提供资料，废包装袋产生量约为</w:t>
            </w:r>
            <w:r>
              <w:rPr>
                <w:rFonts w:ascii="Times New Roman" w:hAnsi="Times New Roman"/>
                <w:color w:val="auto"/>
                <w:sz w:val="24"/>
                <w:highlight w:val="none"/>
              </w:rPr>
              <w:t>0.</w:t>
            </w:r>
            <w:r>
              <w:rPr>
                <w:rFonts w:hint="eastAsia" w:ascii="Times New Roman" w:hAnsi="Times New Roman"/>
                <w:color w:val="auto"/>
                <w:sz w:val="24"/>
                <w:highlight w:val="none"/>
                <w:lang w:val="en-US" w:eastAsia="zh-CN"/>
              </w:rPr>
              <w:t>2</w:t>
            </w:r>
            <w:r>
              <w:rPr>
                <w:rFonts w:ascii="Times New Roman" w:hAnsi="Times New Roman"/>
                <w:color w:val="auto"/>
                <w:sz w:val="24"/>
                <w:highlight w:val="none"/>
              </w:rPr>
              <w:t>/a</w:t>
            </w:r>
            <w:r>
              <w:rPr>
                <w:rFonts w:ascii="Times New Roman" w:hAnsi="宋体"/>
                <w:color w:val="auto"/>
                <w:sz w:val="24"/>
                <w:highlight w:val="none"/>
              </w:rPr>
              <w:t>，集中收集后外售处理。</w:t>
            </w:r>
          </w:p>
          <w:p w14:paraId="75DE7211">
            <w:pPr>
              <w:pStyle w:val="6"/>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（2）生活垃圾</w:t>
            </w:r>
          </w:p>
          <w:p w14:paraId="7458FA09">
            <w:pPr>
              <w:pStyle w:val="6"/>
              <w:spacing w:line="360" w:lineRule="auto"/>
              <w:ind w:firstLine="480"/>
              <w:rPr>
                <w:rFonts w:ascii="Times New Roman" w:hAnsi="Times New Roman"/>
                <w:bCs/>
                <w:color w:val="auto"/>
                <w:sz w:val="24"/>
                <w:highlight w:val="none"/>
              </w:rPr>
            </w:pPr>
            <w:r>
              <w:rPr>
                <w:rFonts w:ascii="Times New Roman" w:hAnsi="Times New Roman"/>
                <w:color w:val="auto"/>
                <w:sz w:val="24"/>
                <w:highlight w:val="none"/>
              </w:rPr>
              <w:t>生活垃圾主要来自员工办公。本项目劳动定员</w:t>
            </w:r>
            <w:r>
              <w:rPr>
                <w:rFonts w:hint="eastAsia" w:ascii="Times New Roman" w:hAnsi="Times New Roman"/>
                <w:color w:val="auto"/>
                <w:sz w:val="24"/>
                <w:highlight w:val="none"/>
                <w:lang w:val="en-US" w:eastAsia="zh-CN"/>
              </w:rPr>
              <w:t>36</w:t>
            </w:r>
            <w:r>
              <w:rPr>
                <w:rFonts w:ascii="Times New Roman" w:hAnsi="Times New Roman"/>
                <w:color w:val="auto"/>
                <w:sz w:val="24"/>
                <w:highlight w:val="none"/>
              </w:rPr>
              <w:t>人，租赁周边农村民房，用于员工食宿，施工现场不设施工营地，生活垃圾按0.5kg/人·d计算，则生活垃圾的产生量为</w:t>
            </w:r>
            <w:r>
              <w:rPr>
                <w:rFonts w:hint="eastAsia" w:ascii="Times New Roman" w:hAnsi="Times New Roman"/>
                <w:color w:val="auto"/>
                <w:sz w:val="24"/>
                <w:highlight w:val="none"/>
                <w:lang w:val="en-US" w:eastAsia="zh-CN"/>
              </w:rPr>
              <w:t>18</w:t>
            </w:r>
            <w:r>
              <w:rPr>
                <w:rFonts w:ascii="Times New Roman" w:hAnsi="Times New Roman"/>
                <w:color w:val="auto"/>
                <w:sz w:val="24"/>
                <w:highlight w:val="none"/>
              </w:rPr>
              <w:t>kg/d</w:t>
            </w:r>
            <w:r>
              <w:rPr>
                <w:rFonts w:hint="eastAsia" w:ascii="Times New Roman" w:hAnsi="Times New Roman"/>
                <w:color w:val="auto"/>
                <w:sz w:val="24"/>
                <w:highlight w:val="none"/>
              </w:rPr>
              <w:t>，年产生量为</w:t>
            </w:r>
            <w:r>
              <w:rPr>
                <w:rFonts w:hint="eastAsia" w:ascii="Times New Roman" w:hAnsi="Times New Roman"/>
                <w:color w:val="auto"/>
                <w:sz w:val="24"/>
                <w:highlight w:val="none"/>
                <w:lang w:val="en-US" w:eastAsia="zh-CN"/>
              </w:rPr>
              <w:t>3.24</w:t>
            </w:r>
            <w:r>
              <w:rPr>
                <w:rFonts w:hint="eastAsia" w:ascii="Times New Roman" w:hAnsi="Times New Roman"/>
                <w:color w:val="auto"/>
                <w:sz w:val="24"/>
                <w:highlight w:val="none"/>
              </w:rPr>
              <w:t>t/a</w:t>
            </w:r>
            <w:r>
              <w:rPr>
                <w:rFonts w:ascii="Times New Roman" w:hAnsi="Times New Roman"/>
                <w:color w:val="auto"/>
                <w:sz w:val="24"/>
                <w:highlight w:val="none"/>
              </w:rPr>
              <w:t>。产生的生活垃圾利用周边农村农户现有的设施进行收集，由环卫部门统一清运处理。</w:t>
            </w:r>
          </w:p>
          <w:p w14:paraId="685B65A8">
            <w:pPr>
              <w:pStyle w:val="6"/>
              <w:spacing w:line="360" w:lineRule="auto"/>
              <w:ind w:firstLine="480"/>
              <w:rPr>
                <w:rFonts w:ascii="Times New Roman" w:hAnsi="Times New Roman"/>
                <w:bCs/>
                <w:color w:val="auto"/>
                <w:sz w:val="24"/>
                <w:highlight w:val="none"/>
              </w:rPr>
            </w:pPr>
            <w:r>
              <w:rPr>
                <w:rFonts w:ascii="Times New Roman" w:hAnsi="Times New Roman"/>
                <w:color w:val="auto"/>
                <w:sz w:val="24"/>
                <w:highlight w:val="none"/>
              </w:rPr>
              <w:t>（3）</w:t>
            </w:r>
            <w:r>
              <w:rPr>
                <w:rFonts w:ascii="Times New Roman" w:hAnsi="Times New Roman"/>
                <w:bCs/>
                <w:color w:val="auto"/>
                <w:sz w:val="24"/>
                <w:highlight w:val="none"/>
              </w:rPr>
              <w:t>危险废物</w:t>
            </w:r>
          </w:p>
          <w:p w14:paraId="5759E2A1">
            <w:pPr>
              <w:pStyle w:val="6"/>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危险废物主要为废润滑油和废润滑油桶、废含油抹布和废含油手套。</w:t>
            </w:r>
          </w:p>
          <w:p w14:paraId="3AC9A591">
            <w:pPr>
              <w:pStyle w:val="6"/>
              <w:spacing w:line="360" w:lineRule="auto"/>
              <w:ind w:firstLine="480"/>
              <w:rPr>
                <w:rFonts w:ascii="Times New Roman" w:hAnsi="Times New Roman"/>
                <w:bCs/>
                <w:color w:val="auto"/>
                <w:sz w:val="24"/>
                <w:highlight w:val="none"/>
              </w:rPr>
            </w:pPr>
            <w:r>
              <w:rPr>
                <w:rFonts w:ascii="宋体" w:hAnsi="Times New Roman"/>
                <w:bCs/>
                <w:color w:val="auto"/>
                <w:sz w:val="24"/>
                <w:highlight w:val="none"/>
              </w:rPr>
              <w:t>①</w:t>
            </w:r>
            <w:r>
              <w:rPr>
                <w:rFonts w:ascii="Times New Roman" w:hAnsi="Times New Roman"/>
                <w:bCs/>
                <w:color w:val="auto"/>
                <w:sz w:val="24"/>
                <w:highlight w:val="none"/>
              </w:rPr>
              <w:t>废润滑油和废润滑油桶</w:t>
            </w:r>
          </w:p>
          <w:p w14:paraId="5AC8F664">
            <w:pPr>
              <w:pStyle w:val="6"/>
              <w:spacing w:line="360" w:lineRule="auto"/>
              <w:ind w:firstLine="480"/>
              <w:rPr>
                <w:rFonts w:ascii="Times New Roman" w:hAnsi="Times New Roman"/>
                <w:color w:val="auto"/>
                <w:sz w:val="24"/>
                <w:highlight w:val="none"/>
              </w:rPr>
            </w:pPr>
            <w:r>
              <w:rPr>
                <w:rFonts w:ascii="Times New Roman" w:hAnsi="Times New Roman"/>
                <w:bCs/>
                <w:color w:val="auto"/>
                <w:sz w:val="24"/>
                <w:highlight w:val="none"/>
              </w:rPr>
              <w:t>钻井期间，机械设备运行及维护过程中会产生废润滑油和废润滑油桶。类比同类项目，废润滑油产生量约为0.</w:t>
            </w:r>
            <w:r>
              <w:rPr>
                <w:rFonts w:hint="eastAsia" w:ascii="Times New Roman" w:hAnsi="Times New Roman"/>
                <w:bCs/>
                <w:color w:val="auto"/>
                <w:sz w:val="24"/>
                <w:highlight w:val="none"/>
                <w:lang w:val="en-US" w:eastAsia="zh-CN"/>
              </w:rPr>
              <w:t>03</w:t>
            </w:r>
            <w:r>
              <w:rPr>
                <w:rFonts w:ascii="Times New Roman" w:hAnsi="Times New Roman"/>
                <w:bCs/>
                <w:color w:val="auto"/>
                <w:sz w:val="24"/>
                <w:highlight w:val="none"/>
              </w:rPr>
              <w:t>t/a，废润滑油桶产生量约为0.0</w:t>
            </w:r>
            <w:r>
              <w:rPr>
                <w:rFonts w:hint="eastAsia" w:ascii="Times New Roman" w:hAnsi="Times New Roman"/>
                <w:bCs/>
                <w:color w:val="auto"/>
                <w:sz w:val="24"/>
                <w:highlight w:val="none"/>
                <w:lang w:val="en-US" w:eastAsia="zh-CN"/>
              </w:rPr>
              <w:t>1</w:t>
            </w:r>
            <w:r>
              <w:rPr>
                <w:rFonts w:ascii="Times New Roman" w:hAnsi="Times New Roman"/>
                <w:bCs/>
                <w:color w:val="auto"/>
                <w:sz w:val="24"/>
                <w:highlight w:val="none"/>
              </w:rPr>
              <w:t>t/a。根据《国家危险废物名录》（202</w:t>
            </w:r>
            <w:r>
              <w:rPr>
                <w:rFonts w:hint="eastAsia" w:ascii="Times New Roman" w:hAnsi="Times New Roman"/>
                <w:bCs/>
                <w:color w:val="auto"/>
                <w:sz w:val="24"/>
                <w:highlight w:val="none"/>
              </w:rPr>
              <w:t>5</w:t>
            </w:r>
            <w:r>
              <w:rPr>
                <w:rFonts w:ascii="Times New Roman" w:hAnsi="Times New Roman"/>
                <w:bCs/>
                <w:color w:val="auto"/>
                <w:sz w:val="24"/>
                <w:highlight w:val="none"/>
              </w:rPr>
              <w:t>年版）可知，废润滑油属于危险废物，废物类别编号为HW08，废物代码为900-214-08；废润滑油桶属于危险废物，废物类别编号为HW</w:t>
            </w:r>
            <w:r>
              <w:rPr>
                <w:rFonts w:hint="eastAsia" w:ascii="Times New Roman" w:hAnsi="Times New Roman"/>
                <w:bCs/>
                <w:color w:val="auto"/>
                <w:sz w:val="24"/>
                <w:highlight w:val="none"/>
              </w:rPr>
              <w:t>08</w:t>
            </w:r>
            <w:r>
              <w:rPr>
                <w:rFonts w:ascii="Times New Roman" w:hAnsi="Times New Roman"/>
                <w:bCs/>
                <w:color w:val="auto"/>
                <w:sz w:val="24"/>
                <w:highlight w:val="none"/>
              </w:rPr>
              <w:t>，废物代码为</w:t>
            </w:r>
            <w:r>
              <w:rPr>
                <w:rFonts w:hint="eastAsia" w:ascii="Times New Roman" w:hAnsi="Times New Roman"/>
                <w:bCs/>
                <w:color w:val="auto"/>
                <w:sz w:val="24"/>
                <w:highlight w:val="none"/>
              </w:rPr>
              <w:t>900-249-08</w:t>
            </w:r>
            <w:r>
              <w:rPr>
                <w:rFonts w:ascii="Times New Roman" w:hAnsi="Times New Roman"/>
                <w:bCs/>
                <w:color w:val="auto"/>
                <w:sz w:val="24"/>
                <w:highlight w:val="none"/>
              </w:rPr>
              <w:t>。废润滑油、废润滑油桶需集中收集，</w:t>
            </w:r>
            <w:r>
              <w:rPr>
                <w:rFonts w:hint="eastAsia" w:ascii="Times New Roman" w:hAnsi="Times New Roman"/>
                <w:bCs/>
                <w:color w:val="auto"/>
                <w:sz w:val="24"/>
                <w:highlight w:val="none"/>
                <w:lang w:val="en-US" w:eastAsia="zh-CN"/>
              </w:rPr>
              <w:t>暂存于各井场内</w:t>
            </w:r>
            <w:r>
              <w:rPr>
                <w:rFonts w:hint="eastAsia" w:ascii="Times New Roman" w:hAnsi="Times New Roman"/>
                <w:bCs/>
                <w:color w:val="auto"/>
                <w:sz w:val="24"/>
                <w:highlight w:val="none"/>
              </w:rPr>
              <w:t>危废暂存间暂存</w:t>
            </w:r>
            <w:r>
              <w:rPr>
                <w:rFonts w:ascii="Times New Roman" w:hAnsi="Times New Roman"/>
                <w:color w:val="auto"/>
                <w:sz w:val="24"/>
                <w:highlight w:val="none"/>
              </w:rPr>
              <w:t>，交由有资质单位处置。</w:t>
            </w:r>
          </w:p>
          <w:p w14:paraId="07F6C7E5">
            <w:pPr>
              <w:pStyle w:val="6"/>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②废含油抹布和废含油手套</w:t>
            </w:r>
          </w:p>
          <w:p w14:paraId="1028EF1E">
            <w:pPr>
              <w:pStyle w:val="6"/>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钻井期间，机械设备运转及维护过程中会产生废含油抹布和废含油手套，根据企业提供资料，废含油抹布和废含油手套产生量约为0.0</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t/a。根据《国家危险废物名录》（202</w:t>
            </w:r>
            <w:r>
              <w:rPr>
                <w:rFonts w:hint="eastAsia" w:ascii="Times New Roman" w:hAnsi="Times New Roman"/>
                <w:color w:val="auto"/>
                <w:sz w:val="24"/>
                <w:highlight w:val="none"/>
              </w:rPr>
              <w:t>5</w:t>
            </w:r>
            <w:r>
              <w:rPr>
                <w:rFonts w:ascii="Times New Roman" w:hAnsi="Times New Roman"/>
                <w:color w:val="auto"/>
                <w:sz w:val="24"/>
                <w:highlight w:val="none"/>
              </w:rPr>
              <w:t>年版）可知，废含油抹布和废含油手套属于危险废物，废物类别编号为HW49，废物代码为900-041-49，</w:t>
            </w:r>
            <w:r>
              <w:rPr>
                <w:rFonts w:hint="eastAsia" w:ascii="Times New Roman" w:hAnsi="Times New Roman"/>
                <w:bCs/>
                <w:color w:val="auto"/>
                <w:sz w:val="24"/>
                <w:highlight w:val="none"/>
                <w:lang w:val="en-US" w:eastAsia="zh-CN"/>
              </w:rPr>
              <w:t>暂存于各井场内</w:t>
            </w:r>
            <w:r>
              <w:rPr>
                <w:rFonts w:hint="eastAsia" w:ascii="Times New Roman" w:hAnsi="Times New Roman"/>
                <w:bCs/>
                <w:color w:val="auto"/>
                <w:sz w:val="24"/>
                <w:highlight w:val="none"/>
              </w:rPr>
              <w:t>危废暂存间暂存</w:t>
            </w:r>
            <w:r>
              <w:rPr>
                <w:rFonts w:ascii="Times New Roman" w:hAnsi="Times New Roman"/>
                <w:color w:val="auto"/>
                <w:sz w:val="24"/>
                <w:highlight w:val="none"/>
              </w:rPr>
              <w:t>，交由有资质单位处置。</w:t>
            </w:r>
          </w:p>
          <w:p w14:paraId="45ADC4EA">
            <w:pPr>
              <w:pStyle w:val="31"/>
              <w:adjustRightInd/>
              <w:spacing w:line="360" w:lineRule="auto"/>
              <w:ind w:firstLine="422" w:firstLineChars="200"/>
              <w:jc w:val="center"/>
              <w:rPr>
                <w:rFonts w:ascii="Times New Roman" w:hAnsi="Times New Roman"/>
                <w:b/>
                <w:color w:val="auto"/>
                <w:sz w:val="21"/>
                <w:szCs w:val="21"/>
                <w:lang w:val="en-US"/>
              </w:rPr>
            </w:pPr>
            <w:r>
              <w:rPr>
                <w:rFonts w:ascii="Times New Roman" w:hAnsi="Times New Roman"/>
                <w:b/>
                <w:color w:val="auto"/>
                <w:sz w:val="21"/>
                <w:szCs w:val="21"/>
                <w:lang w:val="en-US"/>
              </w:rPr>
              <w:t>表4-</w:t>
            </w:r>
            <w:r>
              <w:rPr>
                <w:rFonts w:hint="eastAsia" w:ascii="Times New Roman" w:hAnsi="Times New Roman"/>
                <w:b/>
                <w:color w:val="auto"/>
                <w:sz w:val="21"/>
                <w:szCs w:val="21"/>
                <w:lang w:val="en-US" w:eastAsia="zh-CN"/>
              </w:rPr>
              <w:t>3</w:t>
            </w:r>
            <w:r>
              <w:rPr>
                <w:rFonts w:ascii="Times New Roman" w:hAnsi="Times New Roman"/>
                <w:b/>
                <w:color w:val="auto"/>
                <w:sz w:val="21"/>
                <w:szCs w:val="21"/>
                <w:lang w:val="en-US"/>
              </w:rPr>
              <w:t xml:space="preserve"> </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lang w:val="en-US"/>
              </w:rPr>
              <w:t>固体废弃物产生情况一览表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17"/>
              <w:gridCol w:w="1153"/>
              <w:gridCol w:w="1274"/>
              <w:gridCol w:w="852"/>
              <w:gridCol w:w="952"/>
              <w:gridCol w:w="1860"/>
            </w:tblGrid>
            <w:tr w14:paraId="7698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63B39F89">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117" w:type="dxa"/>
                  <w:noWrap/>
                  <w:vAlign w:val="center"/>
                </w:tcPr>
                <w:p w14:paraId="4E77E6BF">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tc>
              <w:tc>
                <w:tcPr>
                  <w:tcW w:w="1153" w:type="dxa"/>
                  <w:noWrap/>
                  <w:vAlign w:val="center"/>
                </w:tcPr>
                <w:p w14:paraId="065F7F40">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废物类别</w:t>
                  </w:r>
                </w:p>
              </w:tc>
              <w:tc>
                <w:tcPr>
                  <w:tcW w:w="1274" w:type="dxa"/>
                  <w:noWrap/>
                  <w:vAlign w:val="center"/>
                </w:tcPr>
                <w:p w14:paraId="38893769">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固废编号/编号</w:t>
                  </w:r>
                </w:p>
              </w:tc>
              <w:tc>
                <w:tcPr>
                  <w:tcW w:w="852" w:type="dxa"/>
                  <w:noWrap/>
                  <w:vAlign w:val="center"/>
                </w:tcPr>
                <w:p w14:paraId="5F23A325">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来源</w:t>
                  </w:r>
                </w:p>
              </w:tc>
              <w:tc>
                <w:tcPr>
                  <w:tcW w:w="952" w:type="dxa"/>
                  <w:noWrap/>
                  <w:vAlign w:val="center"/>
                </w:tcPr>
                <w:p w14:paraId="6FEFA5FB">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产生量</w:t>
                  </w:r>
                </w:p>
              </w:tc>
              <w:tc>
                <w:tcPr>
                  <w:tcW w:w="1860" w:type="dxa"/>
                  <w:noWrap/>
                  <w:vAlign w:val="center"/>
                </w:tcPr>
                <w:p w14:paraId="129EC246">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处理措施</w:t>
                  </w:r>
                </w:p>
              </w:tc>
            </w:tr>
            <w:tr w14:paraId="3EE6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48C202E0">
                  <w:pPr>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117" w:type="dxa"/>
                  <w:noWrap/>
                  <w:vAlign w:val="center"/>
                </w:tcPr>
                <w:p w14:paraId="38826A39">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钻井泥浆</w:t>
                  </w:r>
                </w:p>
              </w:tc>
              <w:tc>
                <w:tcPr>
                  <w:tcW w:w="1153" w:type="dxa"/>
                  <w:noWrap/>
                  <w:vAlign w:val="center"/>
                </w:tcPr>
                <w:p w14:paraId="6596A051">
                  <w:pPr>
                    <w:jc w:val="center"/>
                    <w:rPr>
                      <w:rFonts w:ascii="Times New Roman" w:hAnsi="Times New Roman"/>
                      <w:color w:val="auto"/>
                      <w:sz w:val="21"/>
                      <w:szCs w:val="21"/>
                      <w:highlight w:val="none"/>
                    </w:rPr>
                  </w:pPr>
                  <w:r>
                    <w:rPr>
                      <w:rFonts w:ascii="Times New Roman" w:hAnsi="Times New Roman"/>
                      <w:color w:val="auto"/>
                      <w:sz w:val="21"/>
                      <w:szCs w:val="21"/>
                      <w:highlight w:val="none"/>
                    </w:rPr>
                    <w:t>一般固废</w:t>
                  </w:r>
                </w:p>
              </w:tc>
              <w:tc>
                <w:tcPr>
                  <w:tcW w:w="1274" w:type="dxa"/>
                  <w:noWrap/>
                  <w:vAlign w:val="center"/>
                </w:tcPr>
                <w:p w14:paraId="3D7D328C">
                  <w:pPr>
                    <w:jc w:val="center"/>
                    <w:rPr>
                      <w:rFonts w:ascii="Times New Roman" w:hAnsi="Times New Roman"/>
                      <w:color w:val="auto"/>
                      <w:sz w:val="21"/>
                      <w:szCs w:val="21"/>
                      <w:highlight w:val="none"/>
                    </w:rPr>
                  </w:pPr>
                  <w:r>
                    <w:rPr>
                      <w:rFonts w:ascii="Times New Roman" w:hAnsi="Times New Roman"/>
                      <w:color w:val="auto"/>
                      <w:sz w:val="21"/>
                      <w:szCs w:val="21"/>
                      <w:highlight w:val="none"/>
                    </w:rPr>
                    <w:t>072-001-S12</w:t>
                  </w:r>
                </w:p>
              </w:tc>
              <w:tc>
                <w:tcPr>
                  <w:tcW w:w="852" w:type="dxa"/>
                  <w:noWrap/>
                  <w:vAlign w:val="center"/>
                </w:tcPr>
                <w:p w14:paraId="133D0341">
                  <w:pPr>
                    <w:jc w:val="center"/>
                    <w:rPr>
                      <w:rFonts w:ascii="Times New Roman" w:hAnsi="Times New Roman"/>
                      <w:color w:val="auto"/>
                      <w:sz w:val="21"/>
                      <w:szCs w:val="21"/>
                      <w:highlight w:val="none"/>
                    </w:rPr>
                  </w:pPr>
                  <w:r>
                    <w:rPr>
                      <w:rFonts w:ascii="Times New Roman" w:hAnsi="Times New Roman"/>
                      <w:color w:val="auto"/>
                      <w:sz w:val="21"/>
                      <w:szCs w:val="21"/>
                      <w:highlight w:val="none"/>
                    </w:rPr>
                    <w:t>钻井</w:t>
                  </w:r>
                </w:p>
              </w:tc>
              <w:tc>
                <w:tcPr>
                  <w:tcW w:w="952" w:type="dxa"/>
                  <w:noWrap/>
                  <w:vAlign w:val="center"/>
                </w:tcPr>
                <w:p w14:paraId="0B30EB3B">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57</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3</w:t>
                  </w:r>
                </w:p>
              </w:tc>
              <w:tc>
                <w:tcPr>
                  <w:tcW w:w="1860" w:type="dxa"/>
                  <w:noWrap/>
                  <w:vAlign w:val="center"/>
                </w:tcPr>
                <w:p w14:paraId="70841631">
                  <w:pPr>
                    <w:jc w:val="center"/>
                    <w:rPr>
                      <w:rFonts w:ascii="Times New Roman" w:hAnsi="Times New Roman"/>
                      <w:color w:val="auto"/>
                      <w:sz w:val="21"/>
                      <w:szCs w:val="21"/>
                      <w:highlight w:val="none"/>
                    </w:rPr>
                  </w:pPr>
                  <w:r>
                    <w:rPr>
                      <w:rFonts w:ascii="Times New Roman" w:hAnsi="Times New Roman"/>
                      <w:color w:val="auto"/>
                      <w:sz w:val="21"/>
                      <w:szCs w:val="21"/>
                      <w:highlight w:val="none"/>
                    </w:rPr>
                    <w:t>暂存于</w:t>
                  </w:r>
                  <w:r>
                    <w:rPr>
                      <w:rFonts w:hint="eastAsia" w:ascii="Times New Roman" w:hAnsi="Times New Roman"/>
                      <w:color w:val="auto"/>
                      <w:sz w:val="21"/>
                      <w:szCs w:val="21"/>
                      <w:highlight w:val="none"/>
                      <w:lang w:eastAsia="zh-CN"/>
                    </w:rPr>
                    <w:t>泥浆池</w:t>
                  </w:r>
                  <w:r>
                    <w:rPr>
                      <w:rFonts w:ascii="Times New Roman" w:hAnsi="Times New Roman"/>
                      <w:color w:val="auto"/>
                      <w:sz w:val="21"/>
                      <w:szCs w:val="21"/>
                      <w:highlight w:val="none"/>
                    </w:rPr>
                    <w:t>中，待钻井结束后投加泥浆固化剂后作为周边路基维护的建材使用。</w:t>
                  </w:r>
                </w:p>
              </w:tc>
            </w:tr>
            <w:tr w14:paraId="40CE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36A9F69D">
                  <w:pPr>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117" w:type="dxa"/>
                  <w:noWrap/>
                  <w:vAlign w:val="center"/>
                </w:tcPr>
                <w:p w14:paraId="29A37520">
                  <w:pPr>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岩芯碎屑</w:t>
                  </w:r>
                </w:p>
              </w:tc>
              <w:tc>
                <w:tcPr>
                  <w:tcW w:w="1153" w:type="dxa"/>
                  <w:noWrap/>
                  <w:vAlign w:val="center"/>
                </w:tcPr>
                <w:p w14:paraId="7097DE16">
                  <w:pPr>
                    <w:jc w:val="center"/>
                    <w:rPr>
                      <w:rFonts w:ascii="Times New Roman" w:hAnsi="Times New Roman"/>
                      <w:color w:val="auto"/>
                      <w:sz w:val="21"/>
                      <w:szCs w:val="21"/>
                      <w:highlight w:val="none"/>
                    </w:rPr>
                  </w:pPr>
                  <w:r>
                    <w:rPr>
                      <w:rFonts w:ascii="Times New Roman" w:hAnsi="Times New Roman"/>
                      <w:color w:val="auto"/>
                      <w:sz w:val="21"/>
                      <w:szCs w:val="21"/>
                      <w:highlight w:val="none"/>
                    </w:rPr>
                    <w:t>一般固废</w:t>
                  </w:r>
                </w:p>
              </w:tc>
              <w:tc>
                <w:tcPr>
                  <w:tcW w:w="1274" w:type="dxa"/>
                  <w:noWrap/>
                  <w:vAlign w:val="center"/>
                </w:tcPr>
                <w:p w14:paraId="3C3BE913">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072-001-S12</w:t>
                  </w:r>
                </w:p>
              </w:tc>
              <w:tc>
                <w:tcPr>
                  <w:tcW w:w="852" w:type="dxa"/>
                  <w:noWrap/>
                  <w:vAlign w:val="center"/>
                </w:tcPr>
                <w:p w14:paraId="1B97A43E">
                  <w:pPr>
                    <w:jc w:val="center"/>
                    <w:rPr>
                      <w:rFonts w:ascii="Times New Roman" w:hAnsi="Times New Roman"/>
                      <w:color w:val="auto"/>
                      <w:sz w:val="21"/>
                      <w:szCs w:val="21"/>
                      <w:highlight w:val="none"/>
                    </w:rPr>
                  </w:pPr>
                  <w:r>
                    <w:rPr>
                      <w:rFonts w:ascii="Times New Roman" w:hAnsi="Times New Roman"/>
                      <w:color w:val="auto"/>
                      <w:sz w:val="21"/>
                      <w:szCs w:val="21"/>
                      <w:highlight w:val="none"/>
                    </w:rPr>
                    <w:t>钻井</w:t>
                  </w:r>
                </w:p>
              </w:tc>
              <w:tc>
                <w:tcPr>
                  <w:tcW w:w="952" w:type="dxa"/>
                  <w:noWrap/>
                  <w:vAlign w:val="center"/>
                </w:tcPr>
                <w:p w14:paraId="070B9D0A">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3t/a</w:t>
                  </w:r>
                </w:p>
              </w:tc>
              <w:tc>
                <w:tcPr>
                  <w:tcW w:w="1860" w:type="dxa"/>
                  <w:noWrap/>
                  <w:vAlign w:val="center"/>
                </w:tcPr>
                <w:p w14:paraId="01A00B15">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集中收集后</w:t>
                  </w:r>
                  <w:r>
                    <w:rPr>
                      <w:rFonts w:hint="eastAsia" w:ascii="Times New Roman" w:hAnsi="Times New Roman"/>
                      <w:color w:val="auto"/>
                      <w:sz w:val="21"/>
                      <w:szCs w:val="21"/>
                      <w:highlight w:val="none"/>
                    </w:rPr>
                    <w:t>委托建材单位回收处置</w:t>
                  </w:r>
                </w:p>
              </w:tc>
            </w:tr>
            <w:tr w14:paraId="0738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159CB998">
                  <w:pPr>
                    <w:jc w:val="center"/>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1117" w:type="dxa"/>
                  <w:noWrap/>
                  <w:vAlign w:val="center"/>
                </w:tcPr>
                <w:p w14:paraId="1A84C175">
                  <w:pPr>
                    <w:jc w:val="center"/>
                    <w:rPr>
                      <w:rFonts w:ascii="Times New Roman" w:hAnsi="Times New Roman"/>
                      <w:color w:val="auto"/>
                      <w:sz w:val="21"/>
                      <w:szCs w:val="21"/>
                      <w:highlight w:val="none"/>
                    </w:rPr>
                  </w:pPr>
                  <w:r>
                    <w:rPr>
                      <w:rFonts w:ascii="Times New Roman" w:hAnsi="Times New Roman"/>
                      <w:color w:val="auto"/>
                      <w:sz w:val="21"/>
                      <w:szCs w:val="21"/>
                      <w:highlight w:val="none"/>
                    </w:rPr>
                    <w:t>废包装材料</w:t>
                  </w:r>
                </w:p>
              </w:tc>
              <w:tc>
                <w:tcPr>
                  <w:tcW w:w="1153" w:type="dxa"/>
                  <w:noWrap/>
                  <w:vAlign w:val="center"/>
                </w:tcPr>
                <w:p w14:paraId="10791725">
                  <w:pPr>
                    <w:jc w:val="center"/>
                    <w:rPr>
                      <w:rFonts w:ascii="Times New Roman" w:hAnsi="Times New Roman"/>
                      <w:color w:val="auto"/>
                      <w:sz w:val="21"/>
                      <w:szCs w:val="21"/>
                      <w:highlight w:val="none"/>
                    </w:rPr>
                  </w:pPr>
                  <w:r>
                    <w:rPr>
                      <w:rFonts w:ascii="Times New Roman" w:hAnsi="Times New Roman"/>
                      <w:color w:val="auto"/>
                      <w:sz w:val="21"/>
                      <w:szCs w:val="21"/>
                      <w:highlight w:val="none"/>
                    </w:rPr>
                    <w:t>一般固废</w:t>
                  </w:r>
                </w:p>
              </w:tc>
              <w:tc>
                <w:tcPr>
                  <w:tcW w:w="1274" w:type="dxa"/>
                  <w:noWrap/>
                  <w:vAlign w:val="center"/>
                </w:tcPr>
                <w:p w14:paraId="1488DC25">
                  <w:pPr>
                    <w:jc w:val="center"/>
                    <w:rPr>
                      <w:rFonts w:ascii="Times New Roman" w:hAnsi="Times New Roman"/>
                      <w:color w:val="auto"/>
                      <w:sz w:val="21"/>
                      <w:szCs w:val="21"/>
                      <w:highlight w:val="none"/>
                    </w:rPr>
                  </w:pPr>
                  <w:r>
                    <w:rPr>
                      <w:rFonts w:ascii="Times New Roman" w:hAnsi="Times New Roman"/>
                      <w:color w:val="auto"/>
                      <w:sz w:val="21"/>
                      <w:szCs w:val="21"/>
                      <w:highlight w:val="none"/>
                    </w:rPr>
                    <w:t>900-099-S59</w:t>
                  </w:r>
                </w:p>
              </w:tc>
              <w:tc>
                <w:tcPr>
                  <w:tcW w:w="852" w:type="dxa"/>
                  <w:noWrap/>
                  <w:vAlign w:val="center"/>
                </w:tcPr>
                <w:p w14:paraId="762547C5">
                  <w:pPr>
                    <w:jc w:val="center"/>
                    <w:rPr>
                      <w:rFonts w:ascii="Times New Roman" w:hAnsi="Times New Roman"/>
                      <w:color w:val="auto"/>
                      <w:sz w:val="21"/>
                      <w:szCs w:val="21"/>
                      <w:highlight w:val="none"/>
                    </w:rPr>
                  </w:pPr>
                  <w:r>
                    <w:rPr>
                      <w:rFonts w:ascii="Times New Roman" w:hAnsi="Times New Roman"/>
                      <w:color w:val="auto"/>
                      <w:sz w:val="21"/>
                      <w:szCs w:val="21"/>
                      <w:highlight w:val="none"/>
                    </w:rPr>
                    <w:t>原辅材料</w:t>
                  </w:r>
                </w:p>
              </w:tc>
              <w:tc>
                <w:tcPr>
                  <w:tcW w:w="952" w:type="dxa"/>
                  <w:noWrap/>
                  <w:vAlign w:val="center"/>
                </w:tcPr>
                <w:p w14:paraId="1ED03FE8">
                  <w:pPr>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t/a</w:t>
                  </w:r>
                </w:p>
              </w:tc>
              <w:tc>
                <w:tcPr>
                  <w:tcW w:w="1860" w:type="dxa"/>
                  <w:noWrap/>
                  <w:vAlign w:val="center"/>
                </w:tcPr>
                <w:p w14:paraId="6E565019">
                  <w:pPr>
                    <w:jc w:val="center"/>
                    <w:rPr>
                      <w:rFonts w:ascii="Times New Roman" w:hAnsi="Times New Roman"/>
                      <w:color w:val="auto"/>
                      <w:sz w:val="21"/>
                      <w:szCs w:val="21"/>
                      <w:highlight w:val="none"/>
                    </w:rPr>
                  </w:pPr>
                  <w:r>
                    <w:rPr>
                      <w:rFonts w:ascii="Times New Roman" w:hAnsi="Times New Roman"/>
                      <w:color w:val="auto"/>
                      <w:sz w:val="21"/>
                      <w:szCs w:val="21"/>
                      <w:highlight w:val="none"/>
                    </w:rPr>
                    <w:t>集中收集后外售处理</w:t>
                  </w:r>
                </w:p>
              </w:tc>
            </w:tr>
            <w:tr w14:paraId="1DA5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2BEC351E">
                  <w:pPr>
                    <w:jc w:val="center"/>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1117" w:type="dxa"/>
                  <w:noWrap/>
                  <w:vAlign w:val="center"/>
                </w:tcPr>
                <w:p w14:paraId="1F44D603">
                  <w:pPr>
                    <w:jc w:val="center"/>
                    <w:rPr>
                      <w:rFonts w:ascii="Times New Roman" w:hAnsi="Times New Roman"/>
                      <w:color w:val="auto"/>
                      <w:sz w:val="21"/>
                      <w:szCs w:val="21"/>
                      <w:highlight w:val="none"/>
                    </w:rPr>
                  </w:pPr>
                  <w:r>
                    <w:rPr>
                      <w:rFonts w:ascii="Times New Roman" w:hAnsi="Times New Roman"/>
                      <w:color w:val="auto"/>
                      <w:sz w:val="21"/>
                      <w:szCs w:val="21"/>
                      <w:highlight w:val="none"/>
                    </w:rPr>
                    <w:t>生活垃圾</w:t>
                  </w:r>
                </w:p>
              </w:tc>
              <w:tc>
                <w:tcPr>
                  <w:tcW w:w="1153" w:type="dxa"/>
                  <w:noWrap/>
                  <w:vAlign w:val="center"/>
                </w:tcPr>
                <w:p w14:paraId="232DBB7F">
                  <w:pPr>
                    <w:jc w:val="center"/>
                    <w:rPr>
                      <w:rFonts w:ascii="Times New Roman" w:hAnsi="Times New Roman"/>
                      <w:color w:val="auto"/>
                      <w:sz w:val="21"/>
                      <w:szCs w:val="21"/>
                      <w:highlight w:val="none"/>
                    </w:rPr>
                  </w:pPr>
                  <w:r>
                    <w:rPr>
                      <w:rFonts w:ascii="Times New Roman" w:hAnsi="Times New Roman"/>
                      <w:color w:val="auto"/>
                      <w:sz w:val="21"/>
                      <w:szCs w:val="21"/>
                      <w:highlight w:val="none"/>
                    </w:rPr>
                    <w:t>生活垃圾</w:t>
                  </w:r>
                </w:p>
              </w:tc>
              <w:tc>
                <w:tcPr>
                  <w:tcW w:w="1274" w:type="dxa"/>
                  <w:noWrap/>
                  <w:vAlign w:val="center"/>
                </w:tcPr>
                <w:p w14:paraId="0EE65536">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w:t>
                  </w:r>
                </w:p>
              </w:tc>
              <w:tc>
                <w:tcPr>
                  <w:tcW w:w="852" w:type="dxa"/>
                  <w:noWrap/>
                  <w:vAlign w:val="center"/>
                </w:tcPr>
                <w:p w14:paraId="6FF3BF26">
                  <w:pPr>
                    <w:jc w:val="center"/>
                    <w:rPr>
                      <w:rFonts w:ascii="Times New Roman" w:hAnsi="Times New Roman"/>
                      <w:color w:val="auto"/>
                      <w:sz w:val="21"/>
                      <w:szCs w:val="21"/>
                      <w:highlight w:val="none"/>
                    </w:rPr>
                  </w:pPr>
                  <w:r>
                    <w:rPr>
                      <w:rFonts w:ascii="Times New Roman" w:hAnsi="Times New Roman"/>
                      <w:color w:val="auto"/>
                      <w:sz w:val="21"/>
                      <w:szCs w:val="21"/>
                      <w:highlight w:val="none"/>
                    </w:rPr>
                    <w:t>员工</w:t>
                  </w:r>
                </w:p>
              </w:tc>
              <w:tc>
                <w:tcPr>
                  <w:tcW w:w="952" w:type="dxa"/>
                  <w:noWrap/>
                  <w:vAlign w:val="center"/>
                </w:tcPr>
                <w:p w14:paraId="2F7D7FC5">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3.24</w:t>
                  </w:r>
                  <w:r>
                    <w:rPr>
                      <w:rFonts w:ascii="Times New Roman" w:hAnsi="Times New Roman"/>
                      <w:color w:val="auto"/>
                      <w:sz w:val="21"/>
                      <w:szCs w:val="21"/>
                      <w:highlight w:val="none"/>
                    </w:rPr>
                    <w:t>t/a</w:t>
                  </w:r>
                </w:p>
              </w:tc>
              <w:tc>
                <w:tcPr>
                  <w:tcW w:w="1860" w:type="dxa"/>
                  <w:noWrap/>
                  <w:vAlign w:val="center"/>
                </w:tcPr>
                <w:p w14:paraId="4C21242A">
                  <w:pPr>
                    <w:jc w:val="center"/>
                    <w:rPr>
                      <w:rFonts w:ascii="Times New Roman" w:hAnsi="Times New Roman"/>
                      <w:color w:val="auto"/>
                      <w:sz w:val="21"/>
                      <w:szCs w:val="21"/>
                      <w:highlight w:val="none"/>
                    </w:rPr>
                  </w:pPr>
                  <w:r>
                    <w:rPr>
                      <w:rFonts w:ascii="Times New Roman" w:hAnsi="Times New Roman"/>
                      <w:color w:val="auto"/>
                      <w:sz w:val="21"/>
                      <w:szCs w:val="21"/>
                      <w:highlight w:val="none"/>
                    </w:rPr>
                    <w:t>纳入周边农村的生活垃圾收集设施，由环卫部门统一清运</w:t>
                  </w:r>
                </w:p>
              </w:tc>
            </w:tr>
            <w:tr w14:paraId="7BCD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0F645594">
                  <w:pPr>
                    <w:jc w:val="center"/>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1117" w:type="dxa"/>
                  <w:noWrap/>
                  <w:vAlign w:val="center"/>
                </w:tcPr>
                <w:p w14:paraId="0C97C33A">
                  <w:pPr>
                    <w:jc w:val="center"/>
                    <w:rPr>
                      <w:rFonts w:ascii="Times New Roman" w:hAnsi="Times New Roman"/>
                      <w:color w:val="auto"/>
                      <w:sz w:val="21"/>
                      <w:szCs w:val="21"/>
                      <w:highlight w:val="none"/>
                    </w:rPr>
                  </w:pPr>
                  <w:r>
                    <w:rPr>
                      <w:rFonts w:ascii="Times New Roman" w:hAnsi="Times New Roman"/>
                      <w:color w:val="auto"/>
                      <w:sz w:val="21"/>
                      <w:szCs w:val="21"/>
                      <w:highlight w:val="none"/>
                    </w:rPr>
                    <w:t>废润滑油</w:t>
                  </w:r>
                </w:p>
              </w:tc>
              <w:tc>
                <w:tcPr>
                  <w:tcW w:w="1153" w:type="dxa"/>
                  <w:vMerge w:val="restart"/>
                  <w:noWrap/>
                  <w:vAlign w:val="center"/>
                </w:tcPr>
                <w:p w14:paraId="17746476">
                  <w:pPr>
                    <w:jc w:val="center"/>
                    <w:rPr>
                      <w:rFonts w:ascii="Times New Roman" w:hAnsi="Times New Roman"/>
                      <w:color w:val="auto"/>
                      <w:sz w:val="21"/>
                      <w:szCs w:val="21"/>
                      <w:highlight w:val="none"/>
                    </w:rPr>
                  </w:pPr>
                  <w:r>
                    <w:rPr>
                      <w:rFonts w:ascii="Times New Roman" w:hAnsi="Times New Roman"/>
                      <w:color w:val="auto"/>
                      <w:sz w:val="21"/>
                      <w:szCs w:val="21"/>
                      <w:highlight w:val="none"/>
                    </w:rPr>
                    <w:t>危险废物</w:t>
                  </w:r>
                </w:p>
              </w:tc>
              <w:tc>
                <w:tcPr>
                  <w:tcW w:w="1274" w:type="dxa"/>
                  <w:noWrap/>
                  <w:vAlign w:val="center"/>
                </w:tcPr>
                <w:p w14:paraId="0F9909B7">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HW08，900-214-08</w:t>
                  </w:r>
                </w:p>
              </w:tc>
              <w:tc>
                <w:tcPr>
                  <w:tcW w:w="852" w:type="dxa"/>
                  <w:noWrap/>
                  <w:vAlign w:val="center"/>
                </w:tcPr>
                <w:p w14:paraId="1D4782BF">
                  <w:pPr>
                    <w:jc w:val="center"/>
                    <w:rPr>
                      <w:rFonts w:ascii="Times New Roman" w:hAnsi="Times New Roman"/>
                      <w:color w:val="auto"/>
                      <w:sz w:val="21"/>
                      <w:szCs w:val="21"/>
                      <w:highlight w:val="none"/>
                    </w:rPr>
                  </w:pPr>
                  <w:r>
                    <w:rPr>
                      <w:rFonts w:ascii="Times New Roman" w:hAnsi="Times New Roman"/>
                      <w:color w:val="auto"/>
                      <w:sz w:val="21"/>
                      <w:szCs w:val="21"/>
                      <w:highlight w:val="none"/>
                    </w:rPr>
                    <w:t>机械设备</w:t>
                  </w:r>
                </w:p>
              </w:tc>
              <w:tc>
                <w:tcPr>
                  <w:tcW w:w="952" w:type="dxa"/>
                  <w:noWrap/>
                  <w:vAlign w:val="center"/>
                </w:tcPr>
                <w:p w14:paraId="475E6BDC">
                  <w:pPr>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ascii="Times New Roman" w:hAnsi="Times New Roman"/>
                      <w:color w:val="auto"/>
                      <w:sz w:val="21"/>
                      <w:szCs w:val="21"/>
                      <w:highlight w:val="none"/>
                      <w:lang w:val="en-US" w:eastAsia="zh-CN"/>
                    </w:rPr>
                    <w:t>03</w:t>
                  </w:r>
                  <w:r>
                    <w:rPr>
                      <w:rFonts w:ascii="Times New Roman" w:hAnsi="Times New Roman"/>
                      <w:color w:val="auto"/>
                      <w:sz w:val="21"/>
                      <w:szCs w:val="21"/>
                      <w:highlight w:val="none"/>
                    </w:rPr>
                    <w:t>t/a</w:t>
                  </w:r>
                </w:p>
              </w:tc>
              <w:tc>
                <w:tcPr>
                  <w:tcW w:w="1860" w:type="dxa"/>
                  <w:vMerge w:val="restart"/>
                  <w:noWrap/>
                  <w:vAlign w:val="center"/>
                </w:tcPr>
                <w:p w14:paraId="19FC8F3C">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暂存于各井场</w:t>
                  </w:r>
                  <w:r>
                    <w:rPr>
                      <w:rFonts w:ascii="Times New Roman" w:hAnsi="Times New Roman"/>
                      <w:color w:val="auto"/>
                      <w:sz w:val="21"/>
                      <w:szCs w:val="21"/>
                      <w:highlight w:val="none"/>
                    </w:rPr>
                    <w:t>危废暂存间暂存，交由有资质单位处置</w:t>
                  </w:r>
                </w:p>
              </w:tc>
            </w:tr>
            <w:tr w14:paraId="670F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15220CDD">
                  <w:pPr>
                    <w:jc w:val="center"/>
                    <w:rPr>
                      <w:rFonts w:ascii="Times New Roman" w:hAnsi="Times New Roman"/>
                      <w:color w:val="auto"/>
                      <w:sz w:val="21"/>
                      <w:szCs w:val="21"/>
                      <w:highlight w:val="none"/>
                    </w:rPr>
                  </w:pPr>
                  <w:r>
                    <w:rPr>
                      <w:rFonts w:ascii="Times New Roman" w:hAnsi="Times New Roman"/>
                      <w:color w:val="auto"/>
                      <w:sz w:val="21"/>
                      <w:szCs w:val="21"/>
                      <w:highlight w:val="none"/>
                    </w:rPr>
                    <w:t>6</w:t>
                  </w:r>
                </w:p>
              </w:tc>
              <w:tc>
                <w:tcPr>
                  <w:tcW w:w="1117" w:type="dxa"/>
                  <w:noWrap/>
                  <w:vAlign w:val="center"/>
                </w:tcPr>
                <w:p w14:paraId="26A9E46E">
                  <w:pPr>
                    <w:jc w:val="center"/>
                    <w:rPr>
                      <w:rFonts w:ascii="Times New Roman" w:hAnsi="Times New Roman"/>
                      <w:color w:val="auto"/>
                      <w:sz w:val="21"/>
                      <w:szCs w:val="21"/>
                      <w:highlight w:val="none"/>
                    </w:rPr>
                  </w:pPr>
                  <w:r>
                    <w:rPr>
                      <w:rFonts w:ascii="Times New Roman" w:hAnsi="Times New Roman"/>
                      <w:color w:val="auto"/>
                      <w:sz w:val="21"/>
                      <w:szCs w:val="21"/>
                      <w:highlight w:val="none"/>
                    </w:rPr>
                    <w:t>废润滑油桶</w:t>
                  </w:r>
                </w:p>
              </w:tc>
              <w:tc>
                <w:tcPr>
                  <w:tcW w:w="1153" w:type="dxa"/>
                  <w:vMerge w:val="continue"/>
                  <w:noWrap/>
                  <w:vAlign w:val="center"/>
                </w:tcPr>
                <w:p w14:paraId="39C96E43">
                  <w:pPr>
                    <w:jc w:val="center"/>
                    <w:rPr>
                      <w:rFonts w:ascii="Times New Roman" w:hAnsi="Times New Roman"/>
                      <w:color w:val="auto"/>
                      <w:sz w:val="21"/>
                      <w:szCs w:val="21"/>
                      <w:highlight w:val="none"/>
                    </w:rPr>
                  </w:pPr>
                </w:p>
              </w:tc>
              <w:tc>
                <w:tcPr>
                  <w:tcW w:w="1274" w:type="dxa"/>
                  <w:noWrap/>
                  <w:vAlign w:val="center"/>
                </w:tcPr>
                <w:p w14:paraId="51EDFEA0">
                  <w:pPr>
                    <w:jc w:val="center"/>
                    <w:rPr>
                      <w:rFonts w:ascii="Times New Roman" w:hAnsi="Times New Roman"/>
                      <w:color w:val="auto"/>
                      <w:sz w:val="21"/>
                      <w:szCs w:val="21"/>
                      <w:highlight w:val="none"/>
                    </w:rPr>
                  </w:pPr>
                  <w:r>
                    <w:rPr>
                      <w:rFonts w:ascii="Times New Roman" w:hAnsi="Times New Roman"/>
                      <w:bCs/>
                      <w:color w:val="auto"/>
                      <w:sz w:val="21"/>
                      <w:szCs w:val="21"/>
                      <w:highlight w:val="none"/>
                    </w:rPr>
                    <w:t>HW08，900-249-08</w:t>
                  </w:r>
                </w:p>
              </w:tc>
              <w:tc>
                <w:tcPr>
                  <w:tcW w:w="852" w:type="dxa"/>
                  <w:noWrap/>
                  <w:vAlign w:val="center"/>
                </w:tcPr>
                <w:p w14:paraId="7CDED2CB">
                  <w:pPr>
                    <w:jc w:val="center"/>
                    <w:rPr>
                      <w:rFonts w:ascii="Times New Roman" w:hAnsi="Times New Roman"/>
                      <w:color w:val="auto"/>
                      <w:sz w:val="21"/>
                      <w:szCs w:val="21"/>
                      <w:highlight w:val="none"/>
                    </w:rPr>
                  </w:pPr>
                  <w:r>
                    <w:rPr>
                      <w:rFonts w:ascii="Times New Roman" w:hAnsi="Times New Roman"/>
                      <w:color w:val="auto"/>
                      <w:sz w:val="21"/>
                      <w:szCs w:val="21"/>
                      <w:highlight w:val="none"/>
                    </w:rPr>
                    <w:t>机械设备</w:t>
                  </w:r>
                </w:p>
              </w:tc>
              <w:tc>
                <w:tcPr>
                  <w:tcW w:w="952" w:type="dxa"/>
                  <w:noWrap/>
                  <w:vAlign w:val="center"/>
                </w:tcPr>
                <w:p w14:paraId="7DA43CE9">
                  <w:pPr>
                    <w:jc w:val="center"/>
                    <w:rPr>
                      <w:rFonts w:ascii="Times New Roman" w:hAnsi="Times New Roman"/>
                      <w:color w:val="auto"/>
                      <w:sz w:val="21"/>
                      <w:szCs w:val="21"/>
                      <w:highlight w:val="none"/>
                    </w:rPr>
                  </w:pP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t/a</w:t>
                  </w:r>
                </w:p>
              </w:tc>
              <w:tc>
                <w:tcPr>
                  <w:tcW w:w="1860" w:type="dxa"/>
                  <w:vMerge w:val="continue"/>
                  <w:noWrap/>
                  <w:vAlign w:val="center"/>
                </w:tcPr>
                <w:p w14:paraId="746CFBD5">
                  <w:pPr>
                    <w:jc w:val="center"/>
                    <w:rPr>
                      <w:rFonts w:ascii="Times New Roman" w:hAnsi="Times New Roman"/>
                      <w:color w:val="auto"/>
                      <w:sz w:val="21"/>
                      <w:szCs w:val="21"/>
                      <w:highlight w:val="none"/>
                    </w:rPr>
                  </w:pPr>
                </w:p>
              </w:tc>
            </w:tr>
            <w:tr w14:paraId="00EB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ign w:val="center"/>
                </w:tcPr>
                <w:p w14:paraId="23941897">
                  <w:pPr>
                    <w:jc w:val="center"/>
                    <w:rPr>
                      <w:rFonts w:ascii="Times New Roman" w:hAnsi="Times New Roman"/>
                      <w:color w:val="auto"/>
                      <w:sz w:val="21"/>
                      <w:szCs w:val="21"/>
                      <w:highlight w:val="none"/>
                    </w:rPr>
                  </w:pPr>
                  <w:r>
                    <w:rPr>
                      <w:rFonts w:ascii="Times New Roman" w:hAnsi="Times New Roman"/>
                      <w:color w:val="auto"/>
                      <w:sz w:val="21"/>
                      <w:szCs w:val="21"/>
                      <w:highlight w:val="none"/>
                    </w:rPr>
                    <w:t>7</w:t>
                  </w:r>
                </w:p>
              </w:tc>
              <w:tc>
                <w:tcPr>
                  <w:tcW w:w="1117" w:type="dxa"/>
                  <w:noWrap/>
                  <w:vAlign w:val="center"/>
                </w:tcPr>
                <w:p w14:paraId="4469EA16">
                  <w:pPr>
                    <w:jc w:val="center"/>
                    <w:rPr>
                      <w:rFonts w:ascii="Times New Roman" w:hAnsi="Times New Roman"/>
                      <w:color w:val="auto"/>
                      <w:sz w:val="21"/>
                      <w:szCs w:val="21"/>
                      <w:highlight w:val="none"/>
                    </w:rPr>
                  </w:pPr>
                  <w:r>
                    <w:rPr>
                      <w:rFonts w:ascii="Times New Roman" w:hAnsi="Times New Roman"/>
                      <w:color w:val="auto"/>
                      <w:sz w:val="21"/>
                      <w:szCs w:val="21"/>
                      <w:highlight w:val="none"/>
                    </w:rPr>
                    <w:t>废含油抹布和废含油手套</w:t>
                  </w:r>
                </w:p>
              </w:tc>
              <w:tc>
                <w:tcPr>
                  <w:tcW w:w="1153" w:type="dxa"/>
                  <w:vMerge w:val="continue"/>
                  <w:noWrap/>
                  <w:vAlign w:val="center"/>
                </w:tcPr>
                <w:p w14:paraId="00BEB8CB">
                  <w:pPr>
                    <w:jc w:val="center"/>
                    <w:rPr>
                      <w:rFonts w:ascii="Times New Roman" w:hAnsi="Times New Roman"/>
                      <w:color w:val="auto"/>
                      <w:sz w:val="21"/>
                      <w:szCs w:val="21"/>
                      <w:highlight w:val="none"/>
                    </w:rPr>
                  </w:pPr>
                </w:p>
              </w:tc>
              <w:tc>
                <w:tcPr>
                  <w:tcW w:w="1274" w:type="dxa"/>
                  <w:noWrap/>
                  <w:vAlign w:val="center"/>
                </w:tcPr>
                <w:p w14:paraId="2CF37740">
                  <w:pPr>
                    <w:jc w:val="center"/>
                    <w:rPr>
                      <w:rFonts w:ascii="Times New Roman" w:hAnsi="Times New Roman"/>
                      <w:color w:val="auto"/>
                      <w:sz w:val="21"/>
                      <w:szCs w:val="21"/>
                      <w:highlight w:val="none"/>
                    </w:rPr>
                  </w:pPr>
                  <w:r>
                    <w:rPr>
                      <w:rFonts w:ascii="Times New Roman" w:hAnsi="Times New Roman"/>
                      <w:color w:val="auto"/>
                      <w:sz w:val="21"/>
                      <w:szCs w:val="21"/>
                      <w:highlight w:val="none"/>
                    </w:rPr>
                    <w:t>HW49，900-041-49</w:t>
                  </w:r>
                </w:p>
              </w:tc>
              <w:tc>
                <w:tcPr>
                  <w:tcW w:w="852" w:type="dxa"/>
                  <w:noWrap/>
                  <w:vAlign w:val="center"/>
                </w:tcPr>
                <w:p w14:paraId="00D737FC">
                  <w:pPr>
                    <w:jc w:val="center"/>
                    <w:rPr>
                      <w:rFonts w:ascii="Times New Roman" w:hAnsi="Times New Roman"/>
                      <w:color w:val="auto"/>
                      <w:sz w:val="21"/>
                      <w:szCs w:val="21"/>
                      <w:highlight w:val="none"/>
                    </w:rPr>
                  </w:pPr>
                  <w:r>
                    <w:rPr>
                      <w:rFonts w:ascii="Times New Roman" w:hAnsi="Times New Roman"/>
                      <w:color w:val="auto"/>
                      <w:sz w:val="21"/>
                      <w:szCs w:val="21"/>
                      <w:highlight w:val="none"/>
                    </w:rPr>
                    <w:t>机械设备维护</w:t>
                  </w:r>
                </w:p>
              </w:tc>
              <w:tc>
                <w:tcPr>
                  <w:tcW w:w="952" w:type="dxa"/>
                  <w:noWrap/>
                  <w:vAlign w:val="center"/>
                </w:tcPr>
                <w:p w14:paraId="54BBB812">
                  <w:pPr>
                    <w:jc w:val="center"/>
                    <w:rPr>
                      <w:rFonts w:ascii="Times New Roman" w:hAnsi="Times New Roman"/>
                      <w:color w:val="auto"/>
                      <w:sz w:val="21"/>
                      <w:szCs w:val="21"/>
                      <w:highlight w:val="none"/>
                    </w:rPr>
                  </w:pP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t/a</w:t>
                  </w:r>
                </w:p>
              </w:tc>
              <w:tc>
                <w:tcPr>
                  <w:tcW w:w="1860" w:type="dxa"/>
                  <w:vMerge w:val="continue"/>
                  <w:noWrap/>
                  <w:vAlign w:val="center"/>
                </w:tcPr>
                <w:p w14:paraId="0E58F035">
                  <w:pPr>
                    <w:jc w:val="center"/>
                    <w:rPr>
                      <w:rFonts w:ascii="Times New Roman" w:hAnsi="Times New Roman"/>
                      <w:color w:val="auto"/>
                      <w:sz w:val="21"/>
                      <w:szCs w:val="21"/>
                      <w:highlight w:val="none"/>
                    </w:rPr>
                  </w:pPr>
                </w:p>
              </w:tc>
            </w:tr>
          </w:tbl>
          <w:p w14:paraId="055A6C2A">
            <w:pPr>
              <w:pStyle w:val="6"/>
              <w:spacing w:line="360" w:lineRule="auto"/>
              <w:ind w:firstLine="482"/>
              <w:rPr>
                <w:rFonts w:ascii="Times New Roman" w:hAnsi="Times New Roman"/>
                <w:b/>
                <w:bCs/>
                <w:color w:val="auto"/>
                <w:sz w:val="24"/>
                <w:highlight w:val="none"/>
              </w:rPr>
            </w:pPr>
            <w:r>
              <w:rPr>
                <w:rFonts w:ascii="Times New Roman" w:hAnsi="Times New Roman"/>
                <w:b/>
                <w:bCs/>
                <w:color w:val="auto"/>
                <w:sz w:val="24"/>
                <w:highlight w:val="none"/>
              </w:rPr>
              <w:t>5、土壤环境影响分析</w:t>
            </w:r>
          </w:p>
          <w:p w14:paraId="259456BA">
            <w:pPr>
              <w:pStyle w:val="6"/>
              <w:spacing w:line="360" w:lineRule="auto"/>
              <w:ind w:firstLine="480"/>
              <w:rPr>
                <w:rFonts w:hint="default" w:ascii="Times New Roman" w:hAnsi="Times New Roman" w:eastAsia="宋体"/>
                <w:color w:val="auto"/>
                <w:sz w:val="24"/>
                <w:highlight w:val="none"/>
                <w:lang w:val="en-US" w:eastAsia="zh-CN"/>
              </w:rPr>
            </w:pPr>
            <w:r>
              <w:rPr>
                <w:rFonts w:ascii="Times New Roman" w:hAnsi="Times New Roman"/>
                <w:color w:val="auto"/>
                <w:sz w:val="24"/>
                <w:highlight w:val="none"/>
              </w:rPr>
              <w:t>正常工况下，钻井工程对土壤无影响</w:t>
            </w:r>
            <w:r>
              <w:rPr>
                <w:rFonts w:hint="eastAsia" w:ascii="Times New Roman" w:hAnsi="Times New Roman"/>
                <w:color w:val="auto"/>
                <w:sz w:val="24"/>
                <w:highlight w:val="none"/>
                <w:lang w:val="en-US" w:eastAsia="zh-CN"/>
              </w:rPr>
              <w:t>。</w:t>
            </w:r>
            <w:r>
              <w:rPr>
                <w:rFonts w:ascii="Times New Roman" w:hAnsi="Times New Roman"/>
                <w:color w:val="auto"/>
                <w:sz w:val="24"/>
                <w:highlight w:val="none"/>
              </w:rPr>
              <w:t>本项目产生的固体废物均外运处置，不长期储存</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井场内危废暂存间、泥浆池、干化池等均采取了防渗措施</w:t>
            </w:r>
            <w:r>
              <w:rPr>
                <w:rFonts w:ascii="Times New Roman" w:hAnsi="Times New Roman"/>
                <w:color w:val="auto"/>
                <w:sz w:val="24"/>
                <w:highlight w:val="none"/>
              </w:rPr>
              <w:t>，通过采取的源头控制和分区防渗措施，不会造成评价范围及周边土壤环境质量超标。</w:t>
            </w:r>
          </w:p>
          <w:p w14:paraId="4B46E3BC">
            <w:pPr>
              <w:pStyle w:val="6"/>
              <w:spacing w:line="360" w:lineRule="auto"/>
              <w:ind w:firstLine="482"/>
              <w:rPr>
                <w:rFonts w:ascii="Times New Roman" w:hAnsi="Times New Roman"/>
                <w:b/>
                <w:bCs/>
                <w:color w:val="auto"/>
                <w:sz w:val="24"/>
                <w:highlight w:val="none"/>
              </w:rPr>
            </w:pPr>
            <w:r>
              <w:rPr>
                <w:rFonts w:ascii="Times New Roman" w:hAnsi="Times New Roman"/>
                <w:b/>
                <w:bCs/>
                <w:color w:val="auto"/>
                <w:sz w:val="24"/>
                <w:highlight w:val="none"/>
              </w:rPr>
              <w:t>6、地下水环境影响分析</w:t>
            </w:r>
          </w:p>
          <w:p w14:paraId="5C02CC27">
            <w:pPr>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rPr>
              <w:t>本项目钻井段的地层岩性以砂岩为主，地层孔隙度小，渗透率极低，泥浆漏失的几率很小。此外，本项目钻井阶段利用清水泥浆钻井，在套管的保护下能有效地保护浅层地下水；每开钻井结束后通过固井作业封隔地层与套管之间的环形空间，也可降低污染物进入地层的风险；在钻井过程对泥浆进行实时监测，一旦有漏失发生，立即采取堵漏措施</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抽水试验产生的废水排入泥浆池内自然蒸发，不得回灌钻井。本项目抽水试验抽水水量合计约为150m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，不会对区域地下水水位造成不利影响。</w:t>
            </w:r>
          </w:p>
          <w:p w14:paraId="4B67FC60">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钻井工程在井场内实施，井身有套管保护，故井筒不易发生泄露事故。对地下水环境可能造成影响的污染源主要是场地内暂存的钻井工程废水、废泥浆等的渗滤液以及钻井泥浆连续混配过程中的跑、冒、滴、漏，开井返排阶段返排废水收集贮存的跑、冒、滴、漏污染地下水环境。周边村镇均已接通自来水，无分散饮用水井分布。因此，本项目钻井过程对地下水环境的影响较小。</w:t>
            </w:r>
          </w:p>
          <w:p w14:paraId="7BF3353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根据《环境影响评价技术导则地下水环境》（HJ610-2016），将本项目划分为重点防渗区、一般防渗区以及简单防渗区，具体划分区域如下：</w:t>
            </w:r>
          </w:p>
          <w:p w14:paraId="7D8A2CBE">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重点防渗区：</w:t>
            </w:r>
            <w:r>
              <w:rPr>
                <w:rFonts w:hint="eastAsia" w:ascii="Times New Roman" w:hAnsi="Times New Roman"/>
                <w:color w:val="auto"/>
                <w:sz w:val="24"/>
                <w:highlight w:val="none"/>
                <w:lang w:val="en-US" w:eastAsia="zh-CN"/>
              </w:rPr>
              <w:t>危废暂存间</w:t>
            </w:r>
            <w:r>
              <w:rPr>
                <w:rFonts w:ascii="Times New Roman" w:hAnsi="Times New Roman"/>
                <w:color w:val="auto"/>
                <w:sz w:val="24"/>
                <w:highlight w:val="none"/>
              </w:rPr>
              <w:t>。防渗要求</w:t>
            </w:r>
            <w:r>
              <w:rPr>
                <w:rFonts w:hint="eastAsia" w:ascii="Times New Roman" w:hAnsi="Times New Roman"/>
                <w:color w:val="auto"/>
                <w:sz w:val="24"/>
                <w:highlight w:val="none"/>
              </w:rPr>
              <w:t>：</w:t>
            </w:r>
            <w:r>
              <w:rPr>
                <w:rFonts w:ascii="Times New Roman" w:hAnsi="Times New Roman"/>
                <w:color w:val="auto"/>
                <w:sz w:val="24"/>
                <w:highlight w:val="none"/>
              </w:rPr>
              <w:t>采用</w:t>
            </w:r>
            <w:r>
              <w:rPr>
                <w:rFonts w:hint="eastAsia" w:ascii="Times New Roman" w:hAnsi="Times New Roman"/>
                <w:color w:val="auto"/>
                <w:sz w:val="24"/>
                <w:highlight w:val="none"/>
                <w:lang w:eastAsia="zh-CN"/>
              </w:rPr>
              <w:t>“</w:t>
            </w:r>
            <w:r>
              <w:rPr>
                <w:rFonts w:ascii="Times New Roman" w:hAnsi="Times New Roman"/>
                <w:color w:val="auto"/>
                <w:sz w:val="24"/>
                <w:highlight w:val="none"/>
              </w:rPr>
              <w:t>防渗混凝土+防渗布+砂浆层</w:t>
            </w:r>
            <w:r>
              <w:rPr>
                <w:rFonts w:hint="eastAsia" w:ascii="Times New Roman" w:hAnsi="Times New Roman"/>
                <w:color w:val="auto"/>
                <w:sz w:val="24"/>
                <w:highlight w:val="none"/>
                <w:lang w:eastAsia="zh-CN"/>
              </w:rPr>
              <w:t>”</w:t>
            </w:r>
            <w:r>
              <w:rPr>
                <w:rFonts w:ascii="Times New Roman" w:hAnsi="Times New Roman"/>
                <w:color w:val="auto"/>
                <w:sz w:val="24"/>
                <w:highlight w:val="none"/>
              </w:rPr>
              <w:t>进行防渗，等效厚度≥6.0m，确保渗透系数不大于10</w:t>
            </w:r>
            <w:r>
              <w:rPr>
                <w:rFonts w:ascii="Times New Roman" w:hAnsi="Times New Roman"/>
                <w:color w:val="auto"/>
                <w:sz w:val="24"/>
                <w:highlight w:val="none"/>
                <w:vertAlign w:val="superscript"/>
              </w:rPr>
              <w:t>-</w:t>
            </w:r>
            <w:r>
              <w:rPr>
                <w:rFonts w:hint="eastAsia" w:ascii="Times New Roman" w:hAnsi="Times New Roman"/>
                <w:color w:val="auto"/>
                <w:sz w:val="24"/>
                <w:highlight w:val="none"/>
                <w:vertAlign w:val="superscript"/>
              </w:rPr>
              <w:t>7</w:t>
            </w:r>
            <w:r>
              <w:rPr>
                <w:rFonts w:ascii="Times New Roman" w:hAnsi="Times New Roman"/>
                <w:color w:val="auto"/>
                <w:sz w:val="24"/>
                <w:highlight w:val="none"/>
              </w:rPr>
              <w:t>cm/s</w:t>
            </w:r>
            <w:r>
              <w:rPr>
                <w:rFonts w:hint="eastAsia" w:ascii="Times New Roman" w:hAnsi="Times New Roman"/>
                <w:color w:val="auto"/>
                <w:sz w:val="24"/>
                <w:highlight w:val="none"/>
              </w:rPr>
              <w:t>。</w:t>
            </w:r>
          </w:p>
          <w:p w14:paraId="60973905">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一般防渗区：</w:t>
            </w:r>
            <w:r>
              <w:rPr>
                <w:rFonts w:hint="eastAsia" w:ascii="Times New Roman" w:hAnsi="Times New Roman"/>
                <w:color w:val="auto"/>
                <w:sz w:val="24"/>
                <w:highlight w:val="none"/>
              </w:rPr>
              <w:t>钻机房井口区域、泥浆池、沉淀池、干化池</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设备及库</w:t>
            </w:r>
            <w:r>
              <w:rPr>
                <w:rFonts w:hint="eastAsia" w:ascii="Times New Roman" w:hAnsi="Times New Roman"/>
                <w:color w:val="auto"/>
                <w:sz w:val="24"/>
                <w:highlight w:val="none"/>
              </w:rPr>
              <w:t>房</w:t>
            </w:r>
            <w:r>
              <w:rPr>
                <w:rFonts w:ascii="Times New Roman" w:hAnsi="Times New Roman"/>
                <w:color w:val="auto"/>
                <w:sz w:val="24"/>
                <w:highlight w:val="none"/>
              </w:rPr>
              <w:t>。防渗要求</w:t>
            </w:r>
            <w:r>
              <w:rPr>
                <w:rFonts w:hint="eastAsia" w:ascii="Times New Roman" w:hAnsi="Times New Roman"/>
                <w:color w:val="auto"/>
                <w:sz w:val="24"/>
                <w:highlight w:val="none"/>
              </w:rPr>
              <w:t>：</w:t>
            </w:r>
            <w:r>
              <w:rPr>
                <w:rFonts w:ascii="Times New Roman" w:hAnsi="Times New Roman"/>
                <w:color w:val="auto"/>
                <w:sz w:val="24"/>
                <w:highlight w:val="none"/>
              </w:rPr>
              <w:t>采取防渗混凝土进行防渗，等效厚度≥1.5m</w:t>
            </w:r>
            <w:r>
              <w:rPr>
                <w:rFonts w:hint="eastAsia" w:ascii="Times New Roman" w:hAnsi="Times New Roman"/>
                <w:color w:val="auto"/>
                <w:sz w:val="24"/>
                <w:highlight w:val="none"/>
              </w:rPr>
              <w:t>。</w:t>
            </w:r>
          </w:p>
          <w:p w14:paraId="1BC33E96">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简单防渗区：除重点防渗区和一般防渗区以外的其他区域。防渗要求</w:t>
            </w:r>
            <w:r>
              <w:rPr>
                <w:rFonts w:hint="eastAsia" w:ascii="Times New Roman" w:hAnsi="Times New Roman"/>
                <w:color w:val="auto"/>
                <w:sz w:val="24"/>
                <w:highlight w:val="none"/>
              </w:rPr>
              <w:t>：</w:t>
            </w:r>
            <w:r>
              <w:rPr>
                <w:rFonts w:ascii="Times New Roman" w:hAnsi="Times New Roman"/>
                <w:color w:val="auto"/>
                <w:sz w:val="24"/>
                <w:highlight w:val="none"/>
              </w:rPr>
              <w:t>采用一般地面硬化。</w:t>
            </w:r>
          </w:p>
          <w:p w14:paraId="4EDD5A03">
            <w:pPr>
              <w:spacing w:line="360" w:lineRule="auto"/>
              <w:jc w:val="center"/>
              <w:rPr>
                <w:rFonts w:ascii="Times New Roman" w:hAnsi="Times New Roman"/>
                <w:b/>
                <w:bCs/>
                <w:color w:val="auto"/>
                <w:szCs w:val="21"/>
                <w:highlight w:val="none"/>
              </w:rPr>
            </w:pPr>
            <w:r>
              <w:rPr>
                <w:rFonts w:ascii="Times New Roman" w:hAnsi="宋体"/>
                <w:b/>
                <w:bCs/>
                <w:color w:val="auto"/>
                <w:szCs w:val="21"/>
                <w:highlight w:val="none"/>
              </w:rPr>
              <w:t>表</w:t>
            </w:r>
            <w:r>
              <w:rPr>
                <w:rFonts w:ascii="Times New Roman" w:hAnsi="Times New Roman"/>
                <w:b/>
                <w:bCs/>
                <w:color w:val="auto"/>
                <w:szCs w:val="21"/>
                <w:highlight w:val="none"/>
              </w:rPr>
              <w:t>4-</w:t>
            </w:r>
            <w:r>
              <w:rPr>
                <w:rFonts w:hint="eastAsia" w:ascii="Times New Roman" w:hAnsi="Times New Roman"/>
                <w:b/>
                <w:bCs/>
                <w:color w:val="auto"/>
                <w:szCs w:val="21"/>
                <w:highlight w:val="none"/>
                <w:lang w:val="en-US" w:eastAsia="zh-CN"/>
              </w:rPr>
              <w:t xml:space="preserve">4 </w:t>
            </w:r>
            <w:r>
              <w:rPr>
                <w:rFonts w:ascii="Times New Roman" w:hAnsi="Times New Roman"/>
                <w:b/>
                <w:bCs/>
                <w:color w:val="auto"/>
                <w:szCs w:val="21"/>
                <w:highlight w:val="none"/>
              </w:rPr>
              <w:t xml:space="preserve"> </w:t>
            </w:r>
            <w:r>
              <w:rPr>
                <w:rFonts w:ascii="Times New Roman" w:hAnsi="宋体"/>
                <w:b/>
                <w:bCs/>
                <w:color w:val="auto"/>
                <w:szCs w:val="21"/>
                <w:highlight w:val="none"/>
              </w:rPr>
              <w:t>本项目分区防渗一览表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6"/>
              <w:gridCol w:w="862"/>
              <w:gridCol w:w="4370"/>
            </w:tblGrid>
            <w:tr w14:paraId="78F6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3108BB96">
                  <w:pPr>
                    <w:autoSpaceDE w:val="0"/>
                    <w:autoSpaceDN w:val="0"/>
                    <w:jc w:val="center"/>
                    <w:rPr>
                      <w:rFonts w:ascii="Times New Roman" w:hAnsi="Times New Roman"/>
                      <w:b/>
                      <w:color w:val="auto"/>
                      <w:szCs w:val="21"/>
                      <w:highlight w:val="none"/>
                    </w:rPr>
                  </w:pPr>
                  <w:r>
                    <w:rPr>
                      <w:rFonts w:ascii="Times New Roman" w:hAnsi="宋体"/>
                      <w:b/>
                      <w:color w:val="auto"/>
                      <w:szCs w:val="21"/>
                      <w:highlight w:val="none"/>
                    </w:rPr>
                    <w:t>区域</w:t>
                  </w:r>
                </w:p>
              </w:tc>
              <w:tc>
                <w:tcPr>
                  <w:tcW w:w="544" w:type="pct"/>
                  <w:tcBorders>
                    <w:tl2br w:val="nil"/>
                    <w:tr2bl w:val="nil"/>
                  </w:tcBorders>
                  <w:noWrap/>
                  <w:vAlign w:val="center"/>
                </w:tcPr>
                <w:p w14:paraId="6D966575">
                  <w:pPr>
                    <w:autoSpaceDE w:val="0"/>
                    <w:autoSpaceDN w:val="0"/>
                    <w:jc w:val="center"/>
                    <w:rPr>
                      <w:rFonts w:ascii="Times New Roman" w:hAnsi="Times New Roman"/>
                      <w:b/>
                      <w:color w:val="auto"/>
                      <w:szCs w:val="21"/>
                      <w:highlight w:val="none"/>
                    </w:rPr>
                  </w:pPr>
                  <w:r>
                    <w:rPr>
                      <w:rFonts w:ascii="Times New Roman" w:hAnsi="宋体"/>
                      <w:b/>
                      <w:color w:val="auto"/>
                      <w:szCs w:val="21"/>
                      <w:highlight w:val="none"/>
                    </w:rPr>
                    <w:t>防渗等级</w:t>
                  </w:r>
                </w:p>
              </w:tc>
              <w:tc>
                <w:tcPr>
                  <w:tcW w:w="2759" w:type="pct"/>
                  <w:tcBorders>
                    <w:tl2br w:val="nil"/>
                    <w:tr2bl w:val="nil"/>
                  </w:tcBorders>
                  <w:noWrap/>
                  <w:vAlign w:val="center"/>
                </w:tcPr>
                <w:p w14:paraId="308F0DB5">
                  <w:pPr>
                    <w:autoSpaceDE w:val="0"/>
                    <w:autoSpaceDN w:val="0"/>
                    <w:jc w:val="center"/>
                    <w:rPr>
                      <w:rFonts w:ascii="Times New Roman" w:hAnsi="Times New Roman"/>
                      <w:b/>
                      <w:color w:val="auto"/>
                      <w:szCs w:val="21"/>
                      <w:highlight w:val="none"/>
                    </w:rPr>
                  </w:pPr>
                  <w:r>
                    <w:rPr>
                      <w:rFonts w:ascii="Times New Roman" w:hAnsi="宋体"/>
                      <w:b/>
                      <w:color w:val="auto"/>
                      <w:szCs w:val="21"/>
                      <w:highlight w:val="none"/>
                    </w:rPr>
                    <w:t>防渗技术要求</w:t>
                  </w:r>
                </w:p>
              </w:tc>
            </w:tr>
            <w:tr w14:paraId="1C09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4FFAF8EE">
                  <w:pPr>
                    <w:autoSpaceDE w:val="0"/>
                    <w:autoSpaceDN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危废暂存间</w:t>
                  </w:r>
                </w:p>
              </w:tc>
              <w:tc>
                <w:tcPr>
                  <w:tcW w:w="544" w:type="pct"/>
                  <w:tcBorders>
                    <w:tl2br w:val="nil"/>
                    <w:tr2bl w:val="nil"/>
                  </w:tcBorders>
                  <w:noWrap/>
                  <w:vAlign w:val="center"/>
                </w:tcPr>
                <w:p w14:paraId="18A3EF3F">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重点防渗区</w:t>
                  </w:r>
                </w:p>
              </w:tc>
              <w:tc>
                <w:tcPr>
                  <w:tcW w:w="2759" w:type="pct"/>
                  <w:tcBorders>
                    <w:tl2br w:val="nil"/>
                    <w:tr2bl w:val="nil"/>
                  </w:tcBorders>
                  <w:noWrap/>
                  <w:vAlign w:val="center"/>
                </w:tcPr>
                <w:p w14:paraId="24A60072">
                  <w:pPr>
                    <w:autoSpaceDE w:val="0"/>
                    <w:autoSpaceDN w:val="0"/>
                    <w:jc w:val="center"/>
                    <w:rPr>
                      <w:rFonts w:ascii="Times New Roman" w:hAnsi="Times New Roman"/>
                      <w:color w:val="auto"/>
                      <w:szCs w:val="21"/>
                      <w:highlight w:val="none"/>
                    </w:rPr>
                  </w:pPr>
                  <w:r>
                    <w:rPr>
                      <w:rFonts w:ascii="Times New Roman" w:hAnsi="Times New Roman"/>
                      <w:color w:val="auto"/>
                      <w:szCs w:val="21"/>
                      <w:highlight w:val="none"/>
                    </w:rPr>
                    <w:t>采用</w:t>
                  </w:r>
                  <w:r>
                    <w:rPr>
                      <w:rFonts w:hint="eastAsia" w:ascii="Times New Roman" w:hAnsi="Times New Roman"/>
                      <w:color w:val="auto"/>
                      <w:szCs w:val="21"/>
                      <w:highlight w:val="none"/>
                      <w:lang w:eastAsia="zh-CN"/>
                    </w:rPr>
                    <w:t>“</w:t>
                  </w:r>
                  <w:r>
                    <w:rPr>
                      <w:rFonts w:ascii="Times New Roman" w:hAnsi="Times New Roman"/>
                      <w:color w:val="auto"/>
                      <w:szCs w:val="21"/>
                      <w:highlight w:val="none"/>
                    </w:rPr>
                    <w:t>防渗混凝土+防渗布+砂浆层</w:t>
                  </w:r>
                  <w:r>
                    <w:rPr>
                      <w:rFonts w:hint="eastAsia" w:ascii="Times New Roman" w:hAnsi="Times New Roman"/>
                      <w:color w:val="auto"/>
                      <w:szCs w:val="21"/>
                      <w:highlight w:val="none"/>
                      <w:lang w:eastAsia="zh-CN"/>
                    </w:rPr>
                    <w:t>”</w:t>
                  </w:r>
                  <w:r>
                    <w:rPr>
                      <w:rFonts w:ascii="Times New Roman" w:hAnsi="Times New Roman"/>
                      <w:color w:val="auto"/>
                      <w:szCs w:val="21"/>
                      <w:highlight w:val="none"/>
                    </w:rPr>
                    <w:t>进行防渗，等效厚度≥6.0m，确保渗透系数不大于10</w:t>
                  </w:r>
                  <w:r>
                    <w:rPr>
                      <w:rFonts w:ascii="Times New Roman" w:hAnsi="Times New Roman"/>
                      <w:color w:val="auto"/>
                      <w:szCs w:val="21"/>
                      <w:highlight w:val="none"/>
                      <w:vertAlign w:val="superscript"/>
                    </w:rPr>
                    <w:t>-</w:t>
                  </w:r>
                  <w:r>
                    <w:rPr>
                      <w:rFonts w:hint="eastAsia" w:ascii="Times New Roman" w:hAnsi="Times New Roman"/>
                      <w:color w:val="auto"/>
                      <w:szCs w:val="21"/>
                      <w:highlight w:val="none"/>
                      <w:vertAlign w:val="superscript"/>
                    </w:rPr>
                    <w:t>7</w:t>
                  </w:r>
                  <w:r>
                    <w:rPr>
                      <w:rFonts w:ascii="Times New Roman" w:hAnsi="Times New Roman"/>
                      <w:color w:val="auto"/>
                      <w:szCs w:val="21"/>
                      <w:highlight w:val="none"/>
                    </w:rPr>
                    <w:t>cm/s</w:t>
                  </w:r>
                </w:p>
              </w:tc>
            </w:tr>
            <w:tr w14:paraId="363C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1E39038A">
                  <w:pPr>
                    <w:autoSpaceDE w:val="0"/>
                    <w:autoSpaceDN w:val="0"/>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钻机房井口区域、泥浆池、沉淀池、干化池、</w:t>
                  </w:r>
                  <w:r>
                    <w:rPr>
                      <w:rFonts w:hint="eastAsia" w:ascii="Times New Roman" w:hAnsi="Times New Roman"/>
                      <w:color w:val="auto"/>
                      <w:szCs w:val="21"/>
                      <w:highlight w:val="none"/>
                      <w:lang w:eastAsia="zh-CN"/>
                    </w:rPr>
                    <w:t>设备及库房</w:t>
                  </w:r>
                </w:p>
              </w:tc>
              <w:tc>
                <w:tcPr>
                  <w:tcW w:w="544" w:type="pct"/>
                  <w:tcBorders>
                    <w:tl2br w:val="nil"/>
                    <w:tr2bl w:val="nil"/>
                  </w:tcBorders>
                  <w:noWrap/>
                  <w:vAlign w:val="center"/>
                </w:tcPr>
                <w:p w14:paraId="2C69F52B">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一般防渗区</w:t>
                  </w:r>
                </w:p>
              </w:tc>
              <w:tc>
                <w:tcPr>
                  <w:tcW w:w="2759" w:type="pct"/>
                  <w:tcBorders>
                    <w:tl2br w:val="nil"/>
                    <w:tr2bl w:val="nil"/>
                  </w:tcBorders>
                  <w:noWrap/>
                  <w:vAlign w:val="center"/>
                </w:tcPr>
                <w:p w14:paraId="1CD01A13">
                  <w:pPr>
                    <w:autoSpaceDE w:val="0"/>
                    <w:autoSpaceDN w:val="0"/>
                    <w:jc w:val="center"/>
                    <w:rPr>
                      <w:rFonts w:ascii="Times New Roman" w:hAnsi="Times New Roman"/>
                      <w:color w:val="auto"/>
                      <w:szCs w:val="21"/>
                      <w:highlight w:val="none"/>
                    </w:rPr>
                  </w:pPr>
                  <w:r>
                    <w:rPr>
                      <w:rFonts w:ascii="Times New Roman" w:hAnsi="Times New Roman"/>
                      <w:color w:val="auto"/>
                      <w:szCs w:val="21"/>
                      <w:highlight w:val="none"/>
                    </w:rPr>
                    <w:t>采取防渗混凝土进行防渗，等效厚度≥1.5m</w:t>
                  </w:r>
                </w:p>
              </w:tc>
            </w:tr>
            <w:tr w14:paraId="2B89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tcBorders>
                    <w:tl2br w:val="nil"/>
                    <w:tr2bl w:val="nil"/>
                  </w:tcBorders>
                  <w:noWrap/>
                  <w:vAlign w:val="center"/>
                </w:tcPr>
                <w:p w14:paraId="2A5E04F6">
                  <w:pPr>
                    <w:autoSpaceDE w:val="0"/>
                    <w:autoSpaceDN w:val="0"/>
                    <w:jc w:val="center"/>
                    <w:rPr>
                      <w:rFonts w:ascii="Times New Roman" w:hAnsi="Times New Roman"/>
                      <w:color w:val="auto"/>
                      <w:szCs w:val="21"/>
                      <w:highlight w:val="none"/>
                    </w:rPr>
                  </w:pPr>
                  <w:r>
                    <w:rPr>
                      <w:rFonts w:ascii="Times New Roman" w:hAnsi="Times New Roman"/>
                      <w:color w:val="auto"/>
                      <w:szCs w:val="21"/>
                      <w:highlight w:val="none"/>
                    </w:rPr>
                    <w:t>除重点防渗区和一般防渗区以外的其他区域</w:t>
                  </w:r>
                </w:p>
              </w:tc>
              <w:tc>
                <w:tcPr>
                  <w:tcW w:w="544" w:type="pct"/>
                  <w:tcBorders>
                    <w:tl2br w:val="nil"/>
                    <w:tr2bl w:val="nil"/>
                  </w:tcBorders>
                  <w:noWrap/>
                  <w:vAlign w:val="center"/>
                </w:tcPr>
                <w:p w14:paraId="3184788E">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简单防渗区</w:t>
                  </w:r>
                </w:p>
              </w:tc>
              <w:tc>
                <w:tcPr>
                  <w:tcW w:w="2759" w:type="pct"/>
                  <w:tcBorders>
                    <w:tl2br w:val="nil"/>
                    <w:tr2bl w:val="nil"/>
                  </w:tcBorders>
                  <w:noWrap/>
                  <w:vAlign w:val="center"/>
                </w:tcPr>
                <w:p w14:paraId="337350D4">
                  <w:pPr>
                    <w:autoSpaceDE w:val="0"/>
                    <w:autoSpaceDN w:val="0"/>
                    <w:jc w:val="center"/>
                    <w:rPr>
                      <w:rFonts w:ascii="Times New Roman" w:hAnsi="Times New Roman"/>
                      <w:color w:val="auto"/>
                      <w:szCs w:val="21"/>
                      <w:highlight w:val="none"/>
                    </w:rPr>
                  </w:pPr>
                  <w:r>
                    <w:rPr>
                      <w:rFonts w:ascii="Times New Roman" w:hAnsi="宋体"/>
                      <w:color w:val="auto"/>
                      <w:szCs w:val="21"/>
                      <w:highlight w:val="none"/>
                    </w:rPr>
                    <w:t>一般地面硬化</w:t>
                  </w:r>
                </w:p>
              </w:tc>
            </w:tr>
          </w:tbl>
          <w:p w14:paraId="1E559D30">
            <w:pPr>
              <w:pStyle w:val="8"/>
              <w:adjustRightInd w:val="0"/>
              <w:snapToGrid w:val="0"/>
              <w:spacing w:line="360" w:lineRule="auto"/>
              <w:ind w:firstLine="482" w:firstLineChars="200"/>
              <w:jc w:val="both"/>
              <w:rPr>
                <w:rFonts w:hint="default" w:ascii="Times New Roman" w:hAnsi="Times New Roman" w:eastAsia="宋体"/>
                <w:b/>
                <w:bCs/>
                <w:color w:val="auto"/>
                <w:sz w:val="24"/>
                <w:szCs w:val="24"/>
                <w:highlight w:val="none"/>
                <w:lang w:val="en-US" w:eastAsia="zh-CN"/>
              </w:rPr>
            </w:pPr>
            <w:r>
              <w:rPr>
                <w:rFonts w:ascii="Times New Roman" w:hAnsi="Times New Roman"/>
                <w:b/>
                <w:bCs/>
                <w:color w:val="auto"/>
                <w:sz w:val="24"/>
                <w:szCs w:val="24"/>
                <w:highlight w:val="none"/>
              </w:rPr>
              <w:t>7、</w:t>
            </w:r>
            <w:r>
              <w:rPr>
                <w:rFonts w:hint="eastAsia"/>
                <w:b/>
                <w:bCs/>
                <w:color w:val="auto"/>
                <w:sz w:val="24"/>
                <w:szCs w:val="24"/>
                <w:highlight w:val="none"/>
                <w:lang w:val="en-US" w:eastAsia="zh-CN"/>
              </w:rPr>
              <w:t>表土堆放场</w:t>
            </w:r>
            <w:r>
              <w:rPr>
                <w:rFonts w:hint="eastAsia" w:ascii="Times New Roman" w:hAnsi="Times New Roman"/>
                <w:b/>
                <w:bCs/>
                <w:color w:val="auto"/>
                <w:sz w:val="24"/>
                <w:szCs w:val="24"/>
                <w:highlight w:val="none"/>
              </w:rPr>
              <w:t>防治区</w:t>
            </w:r>
            <w:r>
              <w:rPr>
                <w:rFonts w:hint="eastAsia"/>
                <w:color w:val="auto"/>
                <w:sz w:val="24"/>
                <w:szCs w:val="24"/>
                <w:lang w:val="en-US" w:eastAsia="zh-CN"/>
              </w:rPr>
              <w:t>影响分析</w:t>
            </w:r>
          </w:p>
          <w:p w14:paraId="206E7909">
            <w:pPr>
              <w:spacing w:line="360" w:lineRule="auto"/>
              <w:ind w:firstLine="480"/>
              <w:rPr>
                <w:rFonts w:ascii="Times New Roman" w:hAnsi="Times New Roman"/>
                <w:color w:val="auto"/>
                <w:highlight w:val="none"/>
              </w:rPr>
            </w:pPr>
            <w:r>
              <w:rPr>
                <w:rFonts w:ascii="Times New Roman" w:hAnsi="宋体"/>
                <w:bCs/>
                <w:color w:val="auto"/>
                <w:sz w:val="24"/>
                <w:highlight w:val="none"/>
              </w:rPr>
              <w:t>根据本项目在实施前办理项目临时用地批复时已编制了《临时用地复垦方案》，项目区域</w:t>
            </w:r>
            <w:r>
              <w:rPr>
                <w:rStyle w:val="44"/>
                <w:rFonts w:hint="default" w:ascii="Times New Roman" w:hAnsi="宋体"/>
                <w:color w:val="auto"/>
                <w:highlight w:val="none"/>
              </w:rPr>
              <w:t>表土剥离时应选择土质较好，适合农作物生长的土地，此次对项目区内的耕地表土进行20-</w:t>
            </w:r>
            <w:r>
              <w:rPr>
                <w:rStyle w:val="44"/>
                <w:rFonts w:hint="default" w:ascii="Times New Roman" w:hAnsi="Times New Roman"/>
                <w:color w:val="auto"/>
                <w:highlight w:val="none"/>
              </w:rPr>
              <w:t>30cm</w:t>
            </w:r>
            <w:r>
              <w:rPr>
                <w:rStyle w:val="44"/>
                <w:rFonts w:hint="default" w:ascii="Times New Roman" w:hAnsi="宋体"/>
                <w:color w:val="auto"/>
                <w:highlight w:val="none"/>
              </w:rPr>
              <w:t>厚剥离（本次评价按25cm计）。</w:t>
            </w:r>
            <w:r>
              <w:rPr>
                <w:rFonts w:hint="eastAsia" w:ascii="Times New Roman" w:hAnsi="宋体"/>
                <w:color w:val="auto"/>
                <w:sz w:val="24"/>
                <w:highlight w:val="none"/>
              </w:rPr>
              <w:t>项目区共</w:t>
            </w:r>
            <w:r>
              <w:rPr>
                <w:rFonts w:hint="eastAsia" w:ascii="Times New Roman" w:hAnsi="宋体"/>
                <w:color w:val="auto"/>
                <w:sz w:val="24"/>
                <w:highlight w:val="none"/>
                <w:lang w:val="en-US" w:eastAsia="zh-CN"/>
              </w:rPr>
              <w:t>3</w:t>
            </w:r>
            <w:r>
              <w:rPr>
                <w:rFonts w:hint="eastAsia" w:ascii="Times New Roman" w:hAnsi="宋体"/>
                <w:color w:val="auto"/>
                <w:sz w:val="24"/>
                <w:highlight w:val="none"/>
              </w:rPr>
              <w:t>个地块，</w:t>
            </w:r>
            <w:r>
              <w:rPr>
                <w:rFonts w:hint="eastAsia" w:ascii="Times New Roman" w:hAnsi="宋体"/>
                <w:color w:val="auto"/>
                <w:sz w:val="24"/>
                <w:highlight w:val="none"/>
                <w:lang w:val="en-US" w:eastAsia="zh-CN"/>
              </w:rPr>
              <w:t>井场</w:t>
            </w:r>
            <w:r>
              <w:rPr>
                <w:rFonts w:hint="eastAsia" w:ascii="Times New Roman" w:hAnsi="宋体"/>
                <w:color w:val="auto"/>
                <w:sz w:val="24"/>
                <w:highlight w:val="none"/>
              </w:rPr>
              <w:t>总面积</w:t>
            </w:r>
            <w:r>
              <w:rPr>
                <w:rFonts w:hint="eastAsia" w:ascii="Times New Roman" w:hAnsi="宋体"/>
                <w:color w:val="auto"/>
                <w:sz w:val="24"/>
                <w:highlight w:val="none"/>
                <w:lang w:val="en-US" w:eastAsia="zh-CN"/>
              </w:rPr>
              <w:t>2229</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hint="eastAsia" w:ascii="Times New Roman" w:hAnsi="宋体"/>
                <w:color w:val="auto"/>
                <w:sz w:val="24"/>
                <w:highlight w:val="none"/>
              </w:rPr>
              <w:t>，耕地总面积</w:t>
            </w:r>
            <w:r>
              <w:rPr>
                <w:rFonts w:hint="eastAsia" w:ascii="Times New Roman" w:hAnsi="宋体"/>
                <w:color w:val="auto"/>
                <w:sz w:val="24"/>
                <w:highlight w:val="none"/>
                <w:lang w:val="en-US" w:eastAsia="zh-CN"/>
              </w:rPr>
              <w:t>2229</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hint="eastAsia" w:ascii="Times New Roman" w:hAnsi="宋体"/>
                <w:color w:val="auto"/>
                <w:sz w:val="24"/>
                <w:highlight w:val="none"/>
                <w:vertAlign w:val="baseline"/>
                <w:lang w:val="en-US" w:eastAsia="zh-CN"/>
              </w:rPr>
              <w:t>。</w:t>
            </w:r>
            <w:r>
              <w:rPr>
                <w:rFonts w:hint="eastAsia" w:ascii="Times New Roman" w:hAnsi="宋体"/>
                <w:color w:val="auto"/>
                <w:sz w:val="24"/>
                <w:highlight w:val="none"/>
              </w:rPr>
              <w:t>表土剥离堆放场总底面积</w:t>
            </w:r>
            <w:r>
              <w:rPr>
                <w:rFonts w:hint="eastAsia" w:ascii="Times New Roman" w:hAnsi="宋体"/>
                <w:color w:val="auto"/>
                <w:sz w:val="24"/>
                <w:highlight w:val="none"/>
                <w:lang w:val="en-US" w:eastAsia="zh-CN"/>
              </w:rPr>
              <w:t>370m</w:t>
            </w:r>
            <w:r>
              <w:rPr>
                <w:rFonts w:hint="eastAsia" w:ascii="Times New Roman" w:hAnsi="宋体"/>
                <w:color w:val="auto"/>
                <w:sz w:val="24"/>
                <w:highlight w:val="none"/>
                <w:vertAlign w:val="superscript"/>
                <w:lang w:val="en-US" w:eastAsia="zh-CN"/>
              </w:rPr>
              <w:t>2</w:t>
            </w:r>
            <w:r>
              <w:rPr>
                <w:rFonts w:hint="eastAsia" w:ascii="Times New Roman" w:hAnsi="宋体"/>
                <w:color w:val="auto"/>
                <w:sz w:val="24"/>
                <w:highlight w:val="none"/>
                <w:lang w:eastAsia="zh-CN"/>
              </w:rPr>
              <w:t>，</w:t>
            </w:r>
            <w:r>
              <w:rPr>
                <w:rFonts w:hint="eastAsia" w:ascii="Times New Roman" w:hAnsi="宋体"/>
                <w:color w:val="auto"/>
                <w:sz w:val="24"/>
                <w:highlight w:val="none"/>
              </w:rPr>
              <w:t>表土剥离</w:t>
            </w:r>
            <w:r>
              <w:rPr>
                <w:rFonts w:hint="eastAsia" w:ascii="Times New Roman" w:hAnsi="宋体"/>
                <w:color w:val="auto"/>
                <w:sz w:val="24"/>
                <w:highlight w:val="none"/>
                <w:lang w:val="en-US" w:eastAsia="zh-CN"/>
              </w:rPr>
              <w:t>量（2229-370）</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hint="eastAsia" w:ascii="Times New Roman" w:hAnsi="宋体"/>
                <w:color w:val="auto"/>
                <w:sz w:val="24"/>
                <w:highlight w:val="none"/>
              </w:rPr>
              <w:t>*0.</w:t>
            </w:r>
            <w:r>
              <w:rPr>
                <w:rFonts w:hint="eastAsia" w:ascii="Times New Roman" w:hAnsi="宋体"/>
                <w:color w:val="auto"/>
                <w:sz w:val="24"/>
                <w:highlight w:val="none"/>
                <w:lang w:val="en-US" w:eastAsia="zh-CN"/>
              </w:rPr>
              <w:t>25</w:t>
            </w:r>
            <w:r>
              <w:rPr>
                <w:rFonts w:hint="eastAsia" w:ascii="Times New Roman" w:hAnsi="宋体"/>
                <w:color w:val="auto"/>
                <w:sz w:val="24"/>
                <w:highlight w:val="none"/>
              </w:rPr>
              <w:t>m=</w:t>
            </w:r>
            <w:r>
              <w:rPr>
                <w:rFonts w:hint="eastAsia" w:ascii="Times New Roman" w:hAnsi="宋体"/>
                <w:color w:val="auto"/>
                <w:sz w:val="24"/>
                <w:highlight w:val="none"/>
                <w:lang w:val="en-US" w:eastAsia="zh-CN"/>
              </w:rPr>
              <w:t>464.75</w:t>
            </w:r>
            <w:r>
              <w:rPr>
                <w:rFonts w:hint="eastAsia" w:ascii="Times New Roman" w:hAnsi="宋体"/>
                <w:color w:val="auto"/>
                <w:sz w:val="24"/>
                <w:highlight w:val="none"/>
              </w:rPr>
              <w:t>m</w:t>
            </w:r>
            <w:r>
              <w:rPr>
                <w:rFonts w:ascii="Times New Roman" w:hAnsi="Times New Roman"/>
                <w:color w:val="auto"/>
                <w:sz w:val="24"/>
                <w:highlight w:val="none"/>
                <w:vertAlign w:val="superscript"/>
              </w:rPr>
              <w:t>3</w:t>
            </w:r>
            <w:r>
              <w:rPr>
                <w:rFonts w:ascii="Times New Roman" w:hAnsi="宋体"/>
                <w:color w:val="auto"/>
                <w:sz w:val="24"/>
                <w:highlight w:val="none"/>
              </w:rPr>
              <w:t>。</w:t>
            </w:r>
            <w:r>
              <w:rPr>
                <w:rStyle w:val="44"/>
                <w:rFonts w:hint="default" w:ascii="Times New Roman" w:hAnsi="宋体"/>
                <w:color w:val="auto"/>
                <w:highlight w:val="none"/>
              </w:rPr>
              <w:t>在复垦后期，为了恢复项目区土壤肥力，需回填具有肥力的表土。本项目将前期剥离的表土进行回填至原区域内，回填对象为项目区内耕地部分，回填面积为</w:t>
            </w:r>
            <w:r>
              <w:rPr>
                <w:rFonts w:hint="eastAsia" w:ascii="Times New Roman" w:hAnsi="Times New Roman"/>
                <w:color w:val="auto"/>
                <w:sz w:val="24"/>
                <w:highlight w:val="none"/>
                <w:lang w:val="en-US" w:eastAsia="zh-CN"/>
              </w:rPr>
              <w:t>1859</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Style w:val="44"/>
                <w:rFonts w:hint="default" w:ascii="Times New Roman" w:hAnsi="宋体"/>
                <w:color w:val="auto"/>
                <w:highlight w:val="none"/>
              </w:rPr>
              <w:t>，回填厚度为</w:t>
            </w:r>
            <w:r>
              <w:rPr>
                <w:rStyle w:val="44"/>
                <w:rFonts w:hint="default" w:ascii="Times New Roman" w:hAnsi="Times New Roman"/>
                <w:color w:val="auto"/>
                <w:highlight w:val="none"/>
              </w:rPr>
              <w:t>0.</w:t>
            </w:r>
            <w:r>
              <w:rPr>
                <w:rStyle w:val="44"/>
                <w:rFonts w:hint="eastAsia" w:ascii="Times New Roman" w:hAnsi="Times New Roman"/>
                <w:color w:val="auto"/>
                <w:highlight w:val="none"/>
                <w:lang w:val="en-US" w:eastAsia="zh-CN"/>
              </w:rPr>
              <w:t>25</w:t>
            </w:r>
            <w:r>
              <w:rPr>
                <w:rStyle w:val="44"/>
                <w:rFonts w:hint="default" w:ascii="Times New Roman" w:hAnsi="Times New Roman"/>
                <w:color w:val="auto"/>
                <w:highlight w:val="none"/>
              </w:rPr>
              <w:t>m</w:t>
            </w:r>
            <w:r>
              <w:rPr>
                <w:rStyle w:val="44"/>
                <w:rFonts w:hint="default" w:ascii="Times New Roman" w:hAnsi="宋体"/>
                <w:color w:val="auto"/>
                <w:highlight w:val="none"/>
              </w:rPr>
              <w:t>，回填土方为</w:t>
            </w:r>
            <w:r>
              <w:rPr>
                <w:rStyle w:val="44"/>
                <w:rFonts w:hint="eastAsia" w:ascii="Times New Roman" w:hAnsi="宋体"/>
                <w:color w:val="auto"/>
                <w:highlight w:val="none"/>
                <w:lang w:val="en-US" w:eastAsia="zh-CN"/>
              </w:rPr>
              <w:t>464.75</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Style w:val="44"/>
                <w:rFonts w:hint="default" w:ascii="Times New Roman" w:hAnsi="宋体"/>
                <w:color w:val="auto"/>
                <w:highlight w:val="none"/>
              </w:rPr>
              <w:t>。</w:t>
            </w:r>
          </w:p>
          <w:p w14:paraId="796058E5">
            <w:pPr>
              <w:pStyle w:val="31"/>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4210685" cy="591185"/>
                  <wp:effectExtent l="0" t="0" r="18415" b="18415"/>
                  <wp:docPr id="2" name="F360BE8B-6686-4F3D-AEAF-501FE73E4058-4" descr="C:/Users/Administrator/AppData/Local/Temp/绘图1(13).png绘图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4" descr="C:/Users/Administrator/AppData/Local/Temp/绘图1(13).png绘图1(13)"/>
                          <pic:cNvPicPr>
                            <a:picLocks noChangeAspect="1"/>
                          </pic:cNvPicPr>
                        </pic:nvPicPr>
                        <pic:blipFill>
                          <a:blip r:embed="rId17"/>
                          <a:stretch>
                            <a:fillRect/>
                          </a:stretch>
                        </pic:blipFill>
                        <pic:spPr>
                          <a:xfrm>
                            <a:off x="0" y="0"/>
                            <a:ext cx="4210812" cy="591312"/>
                          </a:xfrm>
                          <a:prstGeom prst="rect">
                            <a:avLst/>
                          </a:prstGeom>
                        </pic:spPr>
                      </pic:pic>
                    </a:graphicData>
                  </a:graphic>
                </wp:inline>
              </w:drawing>
            </w:r>
          </w:p>
          <w:p w14:paraId="134EBD22">
            <w:pPr>
              <w:pStyle w:val="31"/>
              <w:adjustRightInd/>
              <w:spacing w:line="360" w:lineRule="auto"/>
              <w:jc w:val="center"/>
              <w:rPr>
                <w:rFonts w:ascii="Times New Roman" w:hAnsi="Times New Roman"/>
                <w:b/>
                <w:color w:val="auto"/>
                <w:sz w:val="21"/>
                <w:szCs w:val="21"/>
                <w:highlight w:val="none"/>
              </w:rPr>
            </w:pPr>
            <w:r>
              <w:rPr>
                <w:rFonts w:ascii="Times New Roman" w:hAnsi="Times New Roman"/>
                <w:b/>
                <w:color w:val="auto"/>
                <w:sz w:val="21"/>
                <w:szCs w:val="21"/>
                <w:highlight w:val="none"/>
              </w:rPr>
              <w:t>图4-1 项目土石方平衡图</w:t>
            </w:r>
          </w:p>
          <w:p w14:paraId="3EA0CA88">
            <w:pPr>
              <w:pStyle w:val="31"/>
              <w:adjustRightInd/>
              <w:spacing w:line="360" w:lineRule="auto"/>
              <w:jc w:val="center"/>
              <w:rPr>
                <w:rFonts w:ascii="Times New Roman" w:hAnsi="Times New Roman"/>
                <w:b/>
                <w:color w:val="auto"/>
                <w:sz w:val="21"/>
                <w:szCs w:val="21"/>
                <w:highlight w:val="none"/>
              </w:rPr>
            </w:pPr>
            <w:r>
              <w:rPr>
                <w:rFonts w:ascii="Times New Roman" w:hAnsi="Times New Roman"/>
                <w:b/>
                <w:color w:val="auto"/>
                <w:sz w:val="21"/>
                <w:szCs w:val="21"/>
                <w:highlight w:val="none"/>
              </w:rPr>
              <w:t>表4-</w:t>
            </w:r>
            <w:r>
              <w:rPr>
                <w:rFonts w:hint="eastAsia" w:ascii="Times New Roman" w:hAnsi="Times New Roman"/>
                <w:b/>
                <w:color w:val="auto"/>
                <w:sz w:val="21"/>
                <w:szCs w:val="21"/>
                <w:highlight w:val="none"/>
                <w:lang w:val="en-US" w:eastAsia="zh-CN"/>
              </w:rPr>
              <w:t>5</w:t>
            </w:r>
            <w:r>
              <w:rPr>
                <w:rFonts w:ascii="Times New Roman" w:hAnsi="Times New Roman"/>
                <w:b/>
                <w:color w:val="auto"/>
                <w:sz w:val="21"/>
                <w:szCs w:val="21"/>
                <w:highlight w:val="none"/>
              </w:rPr>
              <w:t xml:space="preserve"> 项目土石方平衡表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2640"/>
              <w:gridCol w:w="2640"/>
            </w:tblGrid>
            <w:tr w14:paraId="5886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633" w:type="dxa"/>
                  <w:noWrap/>
                  <w:vAlign w:val="center"/>
                </w:tcPr>
                <w:p w14:paraId="4D6EF0DC">
                  <w:pPr>
                    <w:pStyle w:val="31"/>
                    <w:adjustRightInd/>
                    <w:jc w:val="center"/>
                    <w:rPr>
                      <w:rFonts w:ascii="Times New Roman" w:hAnsi="Times New Roman" w:cs="宋体"/>
                      <w:b/>
                      <w:bCs/>
                      <w:color w:val="auto"/>
                      <w:sz w:val="21"/>
                      <w:szCs w:val="21"/>
                      <w:highlight w:val="none"/>
                    </w:rPr>
                  </w:pPr>
                  <w:r>
                    <w:rPr>
                      <w:rFonts w:hint="eastAsia" w:ascii="Times New Roman" w:hAnsi="Times New Roman" w:cs="宋体"/>
                      <w:b/>
                      <w:bCs/>
                      <w:color w:val="auto"/>
                      <w:sz w:val="21"/>
                      <w:szCs w:val="21"/>
                      <w:highlight w:val="none"/>
                    </w:rPr>
                    <w:t>挖方（m</w:t>
                  </w:r>
                  <w:r>
                    <w:rPr>
                      <w:rFonts w:hint="eastAsia" w:ascii="Times New Roman" w:hAnsi="Times New Roman" w:cs="宋体"/>
                      <w:b/>
                      <w:bCs/>
                      <w:color w:val="auto"/>
                      <w:sz w:val="21"/>
                      <w:szCs w:val="21"/>
                      <w:highlight w:val="none"/>
                      <w:vertAlign w:val="superscript"/>
                    </w:rPr>
                    <w:t>3</w:t>
                  </w:r>
                  <w:r>
                    <w:rPr>
                      <w:rFonts w:hint="eastAsia" w:ascii="Times New Roman" w:hAnsi="Times New Roman" w:cs="宋体"/>
                      <w:b/>
                      <w:bCs/>
                      <w:color w:val="auto"/>
                      <w:sz w:val="21"/>
                      <w:szCs w:val="21"/>
                      <w:highlight w:val="none"/>
                    </w:rPr>
                    <w:t>）</w:t>
                  </w:r>
                </w:p>
              </w:tc>
              <w:tc>
                <w:tcPr>
                  <w:tcW w:w="2633" w:type="dxa"/>
                  <w:noWrap/>
                  <w:vAlign w:val="center"/>
                </w:tcPr>
                <w:p w14:paraId="23C2C003">
                  <w:pPr>
                    <w:pStyle w:val="31"/>
                    <w:adjustRightInd/>
                    <w:jc w:val="center"/>
                    <w:rPr>
                      <w:rFonts w:ascii="Times New Roman" w:hAnsi="Times New Roman" w:cs="宋体"/>
                      <w:b/>
                      <w:bCs/>
                      <w:color w:val="auto"/>
                      <w:sz w:val="21"/>
                      <w:szCs w:val="21"/>
                      <w:highlight w:val="none"/>
                    </w:rPr>
                  </w:pPr>
                  <w:r>
                    <w:rPr>
                      <w:rFonts w:hint="eastAsia" w:ascii="Times New Roman" w:hAnsi="Times New Roman" w:cs="宋体"/>
                      <w:b/>
                      <w:bCs/>
                      <w:color w:val="auto"/>
                      <w:sz w:val="21"/>
                      <w:szCs w:val="21"/>
                      <w:highlight w:val="none"/>
                    </w:rPr>
                    <w:t>表土堆存（m</w:t>
                  </w:r>
                  <w:r>
                    <w:rPr>
                      <w:rFonts w:hint="eastAsia" w:ascii="Times New Roman" w:hAnsi="Times New Roman" w:cs="宋体"/>
                      <w:b/>
                      <w:bCs/>
                      <w:color w:val="auto"/>
                      <w:sz w:val="21"/>
                      <w:szCs w:val="21"/>
                      <w:highlight w:val="none"/>
                      <w:vertAlign w:val="superscript"/>
                    </w:rPr>
                    <w:t>3</w:t>
                  </w:r>
                  <w:r>
                    <w:rPr>
                      <w:rFonts w:hint="eastAsia" w:ascii="Times New Roman" w:hAnsi="Times New Roman" w:cs="宋体"/>
                      <w:b/>
                      <w:bCs/>
                      <w:color w:val="auto"/>
                      <w:sz w:val="21"/>
                      <w:szCs w:val="21"/>
                      <w:highlight w:val="none"/>
                    </w:rPr>
                    <w:t>）</w:t>
                  </w:r>
                </w:p>
              </w:tc>
              <w:tc>
                <w:tcPr>
                  <w:tcW w:w="2633" w:type="dxa"/>
                  <w:noWrap/>
                  <w:vAlign w:val="center"/>
                </w:tcPr>
                <w:p w14:paraId="76D44B86">
                  <w:pPr>
                    <w:pStyle w:val="31"/>
                    <w:adjustRightInd/>
                    <w:jc w:val="center"/>
                    <w:rPr>
                      <w:rFonts w:ascii="Times New Roman" w:hAnsi="Times New Roman" w:cs="宋体"/>
                      <w:b/>
                      <w:bCs/>
                      <w:color w:val="auto"/>
                      <w:sz w:val="21"/>
                      <w:szCs w:val="21"/>
                      <w:highlight w:val="none"/>
                    </w:rPr>
                  </w:pPr>
                  <w:r>
                    <w:rPr>
                      <w:rFonts w:hint="eastAsia" w:ascii="Times New Roman" w:hAnsi="Times New Roman" w:cs="宋体"/>
                      <w:b/>
                      <w:bCs/>
                      <w:color w:val="auto"/>
                      <w:sz w:val="21"/>
                      <w:szCs w:val="21"/>
                      <w:highlight w:val="none"/>
                    </w:rPr>
                    <w:t>表土复垦（m</w:t>
                  </w:r>
                  <w:r>
                    <w:rPr>
                      <w:rFonts w:hint="eastAsia" w:ascii="Times New Roman" w:hAnsi="Times New Roman" w:cs="宋体"/>
                      <w:b/>
                      <w:bCs/>
                      <w:color w:val="auto"/>
                      <w:sz w:val="21"/>
                      <w:szCs w:val="21"/>
                      <w:highlight w:val="none"/>
                      <w:vertAlign w:val="superscript"/>
                    </w:rPr>
                    <w:t>3</w:t>
                  </w:r>
                  <w:r>
                    <w:rPr>
                      <w:rFonts w:hint="eastAsia" w:ascii="Times New Roman" w:hAnsi="Times New Roman" w:cs="宋体"/>
                      <w:b/>
                      <w:bCs/>
                      <w:color w:val="auto"/>
                      <w:sz w:val="21"/>
                      <w:szCs w:val="21"/>
                      <w:highlight w:val="none"/>
                    </w:rPr>
                    <w:t>）</w:t>
                  </w:r>
                </w:p>
              </w:tc>
            </w:tr>
            <w:tr w14:paraId="458B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633" w:type="dxa"/>
                  <w:noWrap/>
                  <w:vAlign w:val="center"/>
                </w:tcPr>
                <w:p w14:paraId="52D8CE4D">
                  <w:pPr>
                    <w:pStyle w:val="31"/>
                    <w:adjustRightInd/>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464.75</w:t>
                  </w:r>
                </w:p>
              </w:tc>
              <w:tc>
                <w:tcPr>
                  <w:tcW w:w="2633" w:type="dxa"/>
                  <w:noWrap/>
                  <w:vAlign w:val="center"/>
                </w:tcPr>
                <w:p w14:paraId="66691D59">
                  <w:pPr>
                    <w:pStyle w:val="31"/>
                    <w:adjustRightInd/>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464.75</w:t>
                  </w:r>
                </w:p>
              </w:tc>
              <w:tc>
                <w:tcPr>
                  <w:tcW w:w="2633" w:type="dxa"/>
                  <w:noWrap/>
                  <w:vAlign w:val="center"/>
                </w:tcPr>
                <w:p w14:paraId="3033039A">
                  <w:pPr>
                    <w:pStyle w:val="31"/>
                    <w:adjustRightInd/>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464.75</w:t>
                  </w:r>
                </w:p>
              </w:tc>
            </w:tr>
          </w:tbl>
          <w:p w14:paraId="768C8BCF">
            <w:pPr>
              <w:spacing w:line="360" w:lineRule="auto"/>
              <w:ind w:firstLine="482" w:firstLineChars="200"/>
              <w:rPr>
                <w:rFonts w:ascii="Times New Roman" w:hAnsi="Times New Roman"/>
                <w:b/>
                <w:bCs/>
                <w:color w:val="auto"/>
                <w:kern w:val="0"/>
                <w:sz w:val="24"/>
                <w:highlight w:val="none"/>
              </w:rPr>
            </w:pPr>
            <w:r>
              <w:rPr>
                <w:rFonts w:ascii="Times New Roman" w:hAnsi="Times New Roman"/>
                <w:b/>
                <w:bCs/>
                <w:color w:val="auto"/>
                <w:kern w:val="0"/>
                <w:sz w:val="24"/>
                <w:highlight w:val="none"/>
              </w:rPr>
              <w:t>8、生态环境影响分析</w:t>
            </w:r>
          </w:p>
          <w:p w14:paraId="3FD23CD0">
            <w:pPr>
              <w:spacing w:line="360" w:lineRule="auto"/>
              <w:ind w:firstLine="484" w:firstLineChars="202"/>
              <w:rPr>
                <w:bCs/>
                <w:color w:val="auto"/>
                <w:sz w:val="24"/>
                <w:highlight w:val="none"/>
              </w:rPr>
            </w:pPr>
            <w:r>
              <w:rPr>
                <w:rFonts w:ascii="Times New Roman" w:hAnsi="Times New Roman"/>
                <w:bCs/>
                <w:color w:val="auto"/>
                <w:sz w:val="24"/>
                <w:highlight w:val="none"/>
              </w:rPr>
              <w:t>（1）</w:t>
            </w:r>
            <w:r>
              <w:rPr>
                <w:bCs/>
                <w:color w:val="auto"/>
                <w:sz w:val="24"/>
                <w:highlight w:val="none"/>
              </w:rPr>
              <w:t>项目占地对区域土地利用影响分析</w:t>
            </w:r>
          </w:p>
          <w:p w14:paraId="2FAC8B6D">
            <w:pPr>
              <w:spacing w:line="360" w:lineRule="auto"/>
              <w:ind w:firstLine="484" w:firstLineChars="202"/>
              <w:rPr>
                <w:rFonts w:ascii="Times New Roman" w:hAnsi="Times New Roman"/>
                <w:color w:val="auto"/>
                <w:sz w:val="24"/>
                <w:highlight w:val="none"/>
              </w:rPr>
            </w:pPr>
            <w:r>
              <w:rPr>
                <w:rFonts w:ascii="Times New Roman" w:hAnsi="Times New Roman"/>
                <w:color w:val="auto"/>
                <w:sz w:val="24"/>
                <w:highlight w:val="none"/>
              </w:rPr>
              <w:t>本工程全部为临时占地，施工范围用地</w:t>
            </w:r>
            <w:r>
              <w:rPr>
                <w:rFonts w:hint="eastAsia" w:ascii="Times New Roman" w:hAnsi="Times New Roman"/>
                <w:color w:val="auto"/>
                <w:sz w:val="24"/>
                <w:highlight w:val="none"/>
                <w:lang w:val="en-US" w:eastAsia="zh-CN"/>
              </w:rPr>
              <w:t>2949</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，用地包括施工区</w:t>
            </w:r>
            <w:r>
              <w:rPr>
                <w:rFonts w:ascii="Times New Roman" w:hAnsi="Times New Roman"/>
                <w:color w:val="auto"/>
                <w:sz w:val="24"/>
              </w:rPr>
              <w:t>、</w:t>
            </w:r>
            <w:r>
              <w:rPr>
                <w:rFonts w:hint="eastAsia" w:ascii="Times New Roman" w:hAnsi="Times New Roman"/>
                <w:color w:val="auto"/>
                <w:sz w:val="24"/>
                <w:lang w:eastAsia="zh-CN"/>
              </w:rPr>
              <w:t>设备及库房</w:t>
            </w:r>
            <w:r>
              <w:rPr>
                <w:rFonts w:hint="eastAsia" w:ascii="Times New Roman" w:hAnsi="Times New Roman"/>
                <w:color w:val="auto"/>
                <w:sz w:val="24"/>
              </w:rPr>
              <w:t>、</w:t>
            </w:r>
            <w:r>
              <w:rPr>
                <w:rFonts w:hint="eastAsia" w:ascii="Times New Roman" w:hAnsi="Times New Roman"/>
                <w:color w:val="auto"/>
                <w:sz w:val="24"/>
                <w:highlight w:val="none"/>
                <w:lang w:val="en-US" w:eastAsia="zh-CN"/>
              </w:rPr>
              <w:t>临时道路</w:t>
            </w:r>
            <w:r>
              <w:rPr>
                <w:rFonts w:ascii="Times New Roman" w:hAnsi="Times New Roman"/>
                <w:color w:val="auto"/>
                <w:sz w:val="24"/>
                <w:highlight w:val="none"/>
              </w:rPr>
              <w:t>等，均为临时</w:t>
            </w:r>
            <w:r>
              <w:rPr>
                <w:rFonts w:hint="eastAsia" w:ascii="Times New Roman" w:hAnsi="Times New Roman"/>
                <w:color w:val="auto"/>
                <w:sz w:val="24"/>
                <w:highlight w:val="none"/>
              </w:rPr>
              <w:t>用地</w:t>
            </w:r>
            <w:r>
              <w:rPr>
                <w:rFonts w:ascii="Times New Roman" w:hAnsi="Times New Roman"/>
                <w:color w:val="auto"/>
                <w:sz w:val="24"/>
                <w:highlight w:val="none"/>
              </w:rPr>
              <w:t>，</w:t>
            </w:r>
            <w:r>
              <w:rPr>
                <w:rFonts w:hint="eastAsia" w:ascii="Times New Roman" w:hAnsi="Times New Roman"/>
                <w:color w:val="auto"/>
                <w:sz w:val="24"/>
                <w:highlight w:val="none"/>
              </w:rPr>
              <w:t>临时</w:t>
            </w:r>
            <w:r>
              <w:rPr>
                <w:rFonts w:ascii="Times New Roman" w:hAnsi="Times New Roman"/>
                <w:color w:val="auto"/>
                <w:sz w:val="24"/>
                <w:highlight w:val="none"/>
              </w:rPr>
              <w:t>用地时间为</w:t>
            </w:r>
            <w:r>
              <w:rPr>
                <w:rFonts w:hint="eastAsia" w:ascii="Times New Roman" w:hAnsi="Times New Roman"/>
                <w:color w:val="auto"/>
                <w:sz w:val="24"/>
                <w:highlight w:val="none"/>
                <w:lang w:val="en-US" w:eastAsia="zh-CN"/>
              </w:rPr>
              <w:t>6个月</w:t>
            </w:r>
            <w:r>
              <w:rPr>
                <w:rFonts w:ascii="Times New Roman" w:hAnsi="Times New Roman"/>
                <w:color w:val="auto"/>
                <w:sz w:val="24"/>
                <w:highlight w:val="none"/>
              </w:rPr>
              <w:t>。</w:t>
            </w:r>
          </w:p>
          <w:p w14:paraId="71D65BA1">
            <w:pPr>
              <w:spacing w:line="360" w:lineRule="auto"/>
              <w:ind w:firstLine="484" w:firstLineChars="202"/>
              <w:rPr>
                <w:rFonts w:ascii="Times New Roman" w:hAnsi="Times New Roman"/>
                <w:bCs/>
                <w:color w:val="auto"/>
                <w:sz w:val="24"/>
              </w:rPr>
            </w:pPr>
            <w:r>
              <w:rPr>
                <w:rFonts w:hint="eastAsia" w:ascii="Times New Roman" w:hAnsi="Times New Roman"/>
                <w:color w:val="auto"/>
                <w:sz w:val="24"/>
              </w:rPr>
              <w:t>本项目周边及300米范围内主要以</w:t>
            </w:r>
            <w:r>
              <w:rPr>
                <w:rFonts w:hint="eastAsia" w:ascii="Times New Roman" w:hAnsi="Times New Roman"/>
                <w:color w:val="auto"/>
                <w:sz w:val="24"/>
                <w:lang w:val="en-US" w:eastAsia="zh-CN"/>
              </w:rPr>
              <w:t>耕地</w:t>
            </w:r>
            <w:r>
              <w:rPr>
                <w:rFonts w:hint="eastAsia" w:ascii="Times New Roman" w:hAnsi="Times New Roman"/>
                <w:color w:val="auto"/>
                <w:sz w:val="24"/>
              </w:rPr>
              <w:t>为主，有少量的</w:t>
            </w:r>
            <w:r>
              <w:rPr>
                <w:rFonts w:hint="eastAsia" w:ascii="Times New Roman" w:hAnsi="Times New Roman"/>
                <w:color w:val="auto"/>
                <w:sz w:val="24"/>
                <w:lang w:val="en-US" w:eastAsia="zh-CN"/>
              </w:rPr>
              <w:t>旱地</w:t>
            </w:r>
            <w:r>
              <w:rPr>
                <w:rFonts w:hint="eastAsia" w:ascii="Times New Roman" w:hAnsi="Times New Roman"/>
                <w:color w:val="auto"/>
                <w:sz w:val="24"/>
              </w:rPr>
              <w:t>、住宅用地、</w:t>
            </w:r>
            <w:r>
              <w:rPr>
                <w:rFonts w:hint="eastAsia" w:ascii="Times New Roman" w:hAnsi="Times New Roman"/>
                <w:color w:val="auto"/>
                <w:sz w:val="24"/>
                <w:lang w:eastAsia="zh-CN"/>
              </w:rPr>
              <w:t>城镇村道路用地</w:t>
            </w:r>
            <w:r>
              <w:rPr>
                <w:rFonts w:hint="eastAsia" w:ascii="Times New Roman" w:hAnsi="Times New Roman"/>
                <w:color w:val="auto"/>
                <w:sz w:val="24"/>
              </w:rPr>
              <w:t>，项目区域内土地利用现状图见附图1</w:t>
            </w:r>
            <w:r>
              <w:rPr>
                <w:rFonts w:hint="eastAsia" w:ascii="Times New Roman" w:hAnsi="Times New Roman"/>
                <w:color w:val="auto"/>
                <w:sz w:val="24"/>
                <w:lang w:val="en-US" w:eastAsia="zh-CN"/>
              </w:rPr>
              <w:t>4</w:t>
            </w:r>
            <w:r>
              <w:rPr>
                <w:rFonts w:hint="eastAsia" w:ascii="Times New Roman" w:hAnsi="Times New Roman"/>
                <w:color w:val="auto"/>
                <w:sz w:val="24"/>
              </w:rPr>
              <w:t>；本区域内</w:t>
            </w:r>
            <w:r>
              <w:rPr>
                <w:rFonts w:hint="eastAsia" w:ascii="Times New Roman" w:hAnsi="Times New Roman"/>
                <w:bCs/>
                <w:color w:val="auto"/>
                <w:sz w:val="24"/>
              </w:rPr>
              <w:t>植被主要以水田农作物为主，部分进场附近有落叶阔叶林，项目区域内现状植被类型图见附图1</w:t>
            </w:r>
            <w:r>
              <w:rPr>
                <w:rFonts w:hint="eastAsia" w:ascii="Times New Roman" w:hAnsi="Times New Roman"/>
                <w:bCs/>
                <w:color w:val="auto"/>
                <w:sz w:val="24"/>
                <w:lang w:val="en-US" w:eastAsia="zh-CN"/>
              </w:rPr>
              <w:t>5</w:t>
            </w:r>
            <w:r>
              <w:rPr>
                <w:rFonts w:hint="eastAsia" w:ascii="Times New Roman" w:hAnsi="Times New Roman"/>
                <w:bCs/>
                <w:color w:val="auto"/>
                <w:sz w:val="24"/>
              </w:rPr>
              <w:t>。</w:t>
            </w:r>
          </w:p>
          <w:p w14:paraId="5EB94BB4">
            <w:pPr>
              <w:spacing w:line="360" w:lineRule="auto"/>
              <w:ind w:firstLine="484" w:firstLineChars="202"/>
              <w:rPr>
                <w:bCs/>
                <w:color w:val="000000" w:themeColor="text1"/>
                <w:sz w:val="24"/>
                <w:highlight w:val="none"/>
                <w14:textFill>
                  <w14:solidFill>
                    <w14:schemeClr w14:val="tx1"/>
                  </w14:solidFill>
                </w14:textFill>
              </w:rPr>
            </w:pPr>
            <w:r>
              <w:rPr>
                <w:rFonts w:ascii="Times New Roman" w:hAnsi="Times New Roman"/>
                <w:bCs/>
                <w:color w:val="auto"/>
                <w:sz w:val="24"/>
                <w:highlight w:val="none"/>
              </w:rPr>
              <w:t>本项目的临时占地在占用完毕后都可在较短时间内恢复，区域土地利用格局造成轻微影响，对农业生产的直接影响主要体现为因临时占用农田而造成经济作物减产，对于临时占地造成的农作物减产，除应对耕种农户进行经济补偿外，工程开工前，应先剥离占地范围内表层土，</w:t>
            </w:r>
            <w:r>
              <w:rPr>
                <w:rFonts w:hint="eastAsia" w:ascii="Times New Roman" w:hAnsi="Times New Roman"/>
                <w:bCs/>
                <w:color w:val="auto"/>
                <w:sz w:val="24"/>
                <w:highlight w:val="none"/>
              </w:rPr>
              <w:t>项目剥离表土集中堆放于每个井场内的临时表土剥离堆场，表土剥离堆放区设置在距离钻孔作业区较近位置，主要用于复垦时恢复原貌剥离的表土采用分别集中堆放方式，表土剥离厚度为0.</w:t>
            </w:r>
            <w:r>
              <w:rPr>
                <w:rFonts w:hint="eastAsia" w:ascii="Times New Roman" w:hAnsi="Times New Roman"/>
                <w:bCs/>
                <w:color w:val="auto"/>
                <w:sz w:val="24"/>
                <w:highlight w:val="none"/>
                <w:lang w:val="en-US" w:eastAsia="zh-CN"/>
              </w:rPr>
              <w:t>25</w:t>
            </w:r>
            <w:r>
              <w:rPr>
                <w:rFonts w:hint="eastAsia" w:ascii="Times New Roman" w:hAnsi="Times New Roman"/>
                <w:bCs/>
                <w:color w:val="auto"/>
                <w:sz w:val="24"/>
                <w:highlight w:val="none"/>
              </w:rPr>
              <w:t>m。项目表土剥离量</w:t>
            </w:r>
            <w:r>
              <w:rPr>
                <w:rFonts w:hint="eastAsia" w:ascii="Times New Roman" w:hAnsi="Times New Roman"/>
                <w:bCs/>
                <w:color w:val="000000" w:themeColor="text1"/>
                <w:sz w:val="24"/>
                <w:highlight w:val="none"/>
                <w:lang w:val="en-US" w:eastAsia="zh-CN"/>
                <w14:textFill>
                  <w14:solidFill>
                    <w14:schemeClr w14:val="tx1"/>
                  </w14:solidFill>
                </w14:textFill>
              </w:rPr>
              <w:t>465</w:t>
            </w:r>
            <w:r>
              <w:rPr>
                <w:rFonts w:hint="eastAsia" w:ascii="Times New Roman" w:hAnsi="Times New Roman"/>
                <w:bCs/>
                <w:color w:val="000000" w:themeColor="text1"/>
                <w:sz w:val="24"/>
                <w:highlight w:val="none"/>
                <w14:textFill>
                  <w14:solidFill>
                    <w14:schemeClr w14:val="tx1"/>
                  </w14:solidFill>
                </w14:textFill>
              </w:rPr>
              <w:t>m</w:t>
            </w:r>
            <w:r>
              <w:rPr>
                <w:rFonts w:hint="eastAsia" w:ascii="Times New Roman" w:hAnsi="Times New Roman"/>
                <w:bCs/>
                <w:color w:val="000000" w:themeColor="text1"/>
                <w:sz w:val="24"/>
                <w:highlight w:val="none"/>
                <w:vertAlign w:val="superscript"/>
                <w14:textFill>
                  <w14:solidFill>
                    <w14:schemeClr w14:val="tx1"/>
                  </w14:solidFill>
                </w14:textFill>
              </w:rPr>
              <w:t>3</w:t>
            </w:r>
            <w:r>
              <w:rPr>
                <w:rFonts w:hint="eastAsia" w:ascii="Times New Roman" w:hAnsi="Times New Roman"/>
                <w:bCs/>
                <w:color w:val="000000" w:themeColor="text1"/>
                <w:sz w:val="24"/>
                <w:highlight w:val="none"/>
                <w14:textFill>
                  <w14:solidFill>
                    <w14:schemeClr w14:val="tx1"/>
                  </w14:solidFill>
                </w14:textFill>
              </w:rPr>
              <w:t>，</w:t>
            </w:r>
            <w:r>
              <w:rPr>
                <w:rFonts w:ascii="Times New Roman" w:hAnsi="Times New Roman"/>
                <w:bCs/>
                <w:color w:val="000000" w:themeColor="text1"/>
                <w:sz w:val="24"/>
                <w:highlight w:val="none"/>
                <w14:textFill>
                  <w14:solidFill>
                    <w14:schemeClr w14:val="tx1"/>
                  </w14:solidFill>
                </w14:textFill>
              </w:rPr>
              <w:t>独立堆存并做好水保措施；</w:t>
            </w:r>
            <w:r>
              <w:rPr>
                <w:bCs/>
                <w:color w:val="000000" w:themeColor="text1"/>
                <w:sz w:val="24"/>
                <w:highlight w:val="none"/>
                <w14:textFill>
                  <w14:solidFill>
                    <w14:schemeClr w14:val="tx1"/>
                  </w14:solidFill>
                </w14:textFill>
              </w:rPr>
              <w:t>本项目的临时占地在占用完毕后都可在较短时间内恢复，区域土地利用格局造成轻微影响，在施工结束后，</w:t>
            </w:r>
            <w:r>
              <w:rPr>
                <w:rFonts w:hint="eastAsia"/>
                <w:bCs/>
                <w:color w:val="000000" w:themeColor="text1"/>
                <w:sz w:val="24"/>
                <w:highlight w:val="none"/>
                <w14:textFill>
                  <w14:solidFill>
                    <w14:schemeClr w14:val="tx1"/>
                  </w14:solidFill>
                </w14:textFill>
              </w:rPr>
              <w:t>需要</w:t>
            </w:r>
            <w:r>
              <w:rPr>
                <w:bCs/>
                <w:color w:val="000000" w:themeColor="text1"/>
                <w:sz w:val="24"/>
                <w:highlight w:val="none"/>
                <w14:textFill>
                  <w14:solidFill>
                    <w14:schemeClr w14:val="tx1"/>
                  </w14:solidFill>
                </w14:textFill>
              </w:rPr>
              <w:t>及时恢复原貌。</w:t>
            </w:r>
          </w:p>
          <w:p w14:paraId="474EF41C">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b/>
                <w:color w:val="000000" w:themeColor="text1"/>
                <w:sz w:val="21"/>
                <w:szCs w:val="21"/>
                <w:highlight w:val="none"/>
                <w14:textFill>
                  <w14:solidFill>
                    <w14:schemeClr w14:val="tx1"/>
                  </w14:solidFill>
                </w14:textFill>
              </w:rPr>
            </w:pPr>
            <w:r>
              <w:rPr>
                <w:rFonts w:ascii="Times New Roman" w:hAnsi="Times New Roman"/>
                <w:b/>
                <w:color w:val="000000" w:themeColor="text1"/>
                <w:sz w:val="21"/>
                <w:szCs w:val="21"/>
                <w:highlight w:val="none"/>
                <w14:textFill>
                  <w14:solidFill>
                    <w14:schemeClr w14:val="tx1"/>
                  </w14:solidFill>
                </w14:textFill>
              </w:rPr>
              <w:t>表4-</w:t>
            </w:r>
            <w:r>
              <w:rPr>
                <w:rFonts w:hint="eastAsia" w:ascii="Times New Roman" w:hAnsi="Times New Roman"/>
                <w:b/>
                <w:color w:val="000000" w:themeColor="text1"/>
                <w:sz w:val="21"/>
                <w:szCs w:val="21"/>
                <w:highlight w:val="none"/>
                <w:lang w:val="en-US" w:eastAsia="zh-CN"/>
                <w14:textFill>
                  <w14:solidFill>
                    <w14:schemeClr w14:val="tx1"/>
                  </w14:solidFill>
                </w14:textFill>
              </w:rPr>
              <w:t>6</w:t>
            </w:r>
            <w:r>
              <w:rPr>
                <w:rFonts w:ascii="Times New Roman" w:hAnsi="Times New Roman"/>
                <w:b/>
                <w:color w:val="000000" w:themeColor="text1"/>
                <w:sz w:val="21"/>
                <w:szCs w:val="21"/>
                <w:highlight w:val="none"/>
                <w14:textFill>
                  <w14:solidFill>
                    <w14:schemeClr w14:val="tx1"/>
                  </w14:solidFill>
                </w14:textFill>
              </w:rPr>
              <w:t xml:space="preserve">  项目临时占地类型一览表        单位hm</w:t>
            </w:r>
            <w:r>
              <w:rPr>
                <w:rFonts w:ascii="Times New Roman" w:hAnsi="Times New Roman"/>
                <w:b/>
                <w:color w:val="000000" w:themeColor="text1"/>
                <w:sz w:val="21"/>
                <w:szCs w:val="21"/>
                <w:highlight w:val="none"/>
                <w:vertAlign w:val="superscript"/>
                <w14:textFill>
                  <w14:solidFill>
                    <w14:schemeClr w14:val="tx1"/>
                  </w14:solidFill>
                </w14:textFill>
              </w:rPr>
              <w:t>2</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708"/>
              <w:gridCol w:w="1711"/>
              <w:gridCol w:w="2641"/>
            </w:tblGrid>
            <w:tr w14:paraId="35EC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ign w:val="center"/>
                </w:tcPr>
                <w:p w14:paraId="3A07F575">
                  <w:pPr>
                    <w:pStyle w:val="31"/>
                    <w:adjustRightInd/>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b/>
                      <w:bCs/>
                      <w:color w:val="000000" w:themeColor="text1"/>
                      <w:sz w:val="21"/>
                      <w:szCs w:val="21"/>
                      <w:highlight w:val="none"/>
                      <w14:textFill>
                        <w14:solidFill>
                          <w14:schemeClr w14:val="tx1"/>
                        </w14:solidFill>
                      </w14:textFill>
                    </w:rPr>
                    <w:t>序号</w:t>
                  </w:r>
                </w:p>
              </w:tc>
              <w:tc>
                <w:tcPr>
                  <w:tcW w:w="2158" w:type="pct"/>
                  <w:gridSpan w:val="2"/>
                  <w:noWrap/>
                  <w:vAlign w:val="center"/>
                </w:tcPr>
                <w:p w14:paraId="56FAD07D">
                  <w:pPr>
                    <w:pStyle w:val="31"/>
                    <w:adjustRightInd/>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b/>
                      <w:bCs/>
                      <w:color w:val="000000" w:themeColor="text1"/>
                      <w:sz w:val="21"/>
                      <w:szCs w:val="21"/>
                      <w:highlight w:val="none"/>
                      <w14:textFill>
                        <w14:solidFill>
                          <w14:schemeClr w14:val="tx1"/>
                        </w14:solidFill>
                      </w14:textFill>
                    </w:rPr>
                    <w:t>用地类型</w:t>
                  </w:r>
                </w:p>
              </w:tc>
              <w:tc>
                <w:tcPr>
                  <w:tcW w:w="1667" w:type="pct"/>
                  <w:noWrap/>
                  <w:vAlign w:val="center"/>
                </w:tcPr>
                <w:p w14:paraId="39D62221">
                  <w:pPr>
                    <w:pStyle w:val="31"/>
                    <w:adjustRightInd/>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b/>
                      <w:bCs/>
                      <w:color w:val="000000" w:themeColor="text1"/>
                      <w:sz w:val="21"/>
                      <w:szCs w:val="21"/>
                      <w:highlight w:val="none"/>
                      <w14:textFill>
                        <w14:solidFill>
                          <w14:schemeClr w14:val="tx1"/>
                        </w14:solidFill>
                      </w14:textFill>
                    </w:rPr>
                    <w:t>用地面积</w:t>
                  </w:r>
                </w:p>
              </w:tc>
            </w:tr>
            <w:tr w14:paraId="6BB0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pct"/>
                  <w:noWrap/>
                  <w:vAlign w:val="center"/>
                </w:tcPr>
                <w:p w14:paraId="64D44E68">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c>
                <w:tcPr>
                  <w:tcW w:w="1078" w:type="pct"/>
                  <w:vMerge w:val="restart"/>
                  <w:noWrap/>
                  <w:vAlign w:val="center"/>
                </w:tcPr>
                <w:p w14:paraId="0E2BB874">
                  <w:pPr>
                    <w:pStyle w:val="31"/>
                    <w:adjustRightInd/>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耕地</w:t>
                  </w:r>
                </w:p>
              </w:tc>
              <w:tc>
                <w:tcPr>
                  <w:tcW w:w="1080" w:type="pct"/>
                  <w:shd w:val="clear" w:color="auto" w:fill="auto"/>
                  <w:noWrap/>
                  <w:vAlign w:val="center"/>
                </w:tcPr>
                <w:p w14:paraId="43D848E0">
                  <w:pPr>
                    <w:pStyle w:val="31"/>
                    <w:adjustRightInd/>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水田</w:t>
                  </w:r>
                </w:p>
              </w:tc>
              <w:tc>
                <w:tcPr>
                  <w:tcW w:w="1667" w:type="pct"/>
                  <w:shd w:val="clear" w:color="auto" w:fill="auto"/>
                  <w:noWrap/>
                  <w:vAlign w:val="center"/>
                </w:tcPr>
                <w:p w14:paraId="7EB7C225">
                  <w:pPr>
                    <w:pStyle w:val="31"/>
                    <w:adjustRightInd/>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0.2072</w:t>
                  </w:r>
                </w:p>
              </w:tc>
            </w:tr>
            <w:tr w14:paraId="7862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4" w:type="pct"/>
                  <w:noWrap/>
                  <w:vAlign w:val="center"/>
                </w:tcPr>
                <w:p w14:paraId="09A91F04">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w:t>
                  </w:r>
                </w:p>
              </w:tc>
              <w:tc>
                <w:tcPr>
                  <w:tcW w:w="1078" w:type="pct"/>
                  <w:vMerge w:val="continue"/>
                  <w:noWrap/>
                  <w:vAlign w:val="center"/>
                </w:tcPr>
                <w:p w14:paraId="6649F8FB">
                  <w:pPr>
                    <w:pStyle w:val="31"/>
                    <w:adjustRightInd/>
                    <w:jc w:val="center"/>
                    <w:rPr>
                      <w:rFonts w:ascii="Times New Roman" w:hAnsi="Times New Roman"/>
                      <w:color w:val="000000" w:themeColor="text1"/>
                      <w:sz w:val="21"/>
                      <w:szCs w:val="21"/>
                      <w:highlight w:val="none"/>
                      <w14:textFill>
                        <w14:solidFill>
                          <w14:schemeClr w14:val="tx1"/>
                        </w14:solidFill>
                      </w14:textFill>
                    </w:rPr>
                  </w:pPr>
                </w:p>
              </w:tc>
              <w:tc>
                <w:tcPr>
                  <w:tcW w:w="1080" w:type="pct"/>
                  <w:shd w:val="clear" w:color="auto" w:fill="auto"/>
                  <w:noWrap/>
                  <w:vAlign w:val="center"/>
                </w:tcPr>
                <w:p w14:paraId="61698A2E">
                  <w:pPr>
                    <w:pStyle w:val="31"/>
                    <w:adjustRightInd/>
                    <w:jc w:val="center"/>
                    <w:rPr>
                      <w:rFonts w:ascii="仿宋" w:hAnsi="仿宋" w:eastAsia="仿宋" w:cs="仿宋"/>
                      <w:color w:val="000000" w:themeColor="text1"/>
                      <w:spacing w:val="-6"/>
                      <w:kern w:val="2"/>
                      <w:sz w:val="18"/>
                      <w:szCs w:val="18"/>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旱地</w:t>
                  </w:r>
                </w:p>
              </w:tc>
              <w:tc>
                <w:tcPr>
                  <w:tcW w:w="1667" w:type="pct"/>
                  <w:shd w:val="clear" w:color="auto" w:fill="auto"/>
                  <w:noWrap/>
                  <w:vAlign w:val="center"/>
                </w:tcPr>
                <w:p w14:paraId="0BCF1EF1">
                  <w:pPr>
                    <w:pStyle w:val="31"/>
                    <w:adjustRightInd/>
                    <w:jc w:val="center"/>
                    <w:rPr>
                      <w:rFonts w:hint="default" w:ascii="宋体" w:hAnsi="宋体" w:eastAsia="宋体" w:cs="宋体"/>
                      <w:color w:val="000000" w:themeColor="text1"/>
                      <w:spacing w:val="-4"/>
                      <w:kern w:val="2"/>
                      <w:sz w:val="18"/>
                      <w:szCs w:val="18"/>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0.0863</w:t>
                  </w:r>
                </w:p>
              </w:tc>
            </w:tr>
            <w:tr w14:paraId="7B9C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4" w:type="pct"/>
                  <w:noWrap/>
                  <w:vAlign w:val="center"/>
                </w:tcPr>
                <w:p w14:paraId="27F66005">
                  <w:pPr>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3</w:t>
                  </w:r>
                </w:p>
              </w:tc>
              <w:tc>
                <w:tcPr>
                  <w:tcW w:w="1078" w:type="pct"/>
                  <w:noWrap/>
                  <w:vAlign w:val="center"/>
                </w:tcPr>
                <w:p w14:paraId="42F3AE99">
                  <w:pPr>
                    <w:pStyle w:val="31"/>
                    <w:adjustRightInd/>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其他农用地</w:t>
                  </w:r>
                </w:p>
              </w:tc>
              <w:tc>
                <w:tcPr>
                  <w:tcW w:w="1080" w:type="pct"/>
                  <w:shd w:val="clear" w:color="auto" w:fill="auto"/>
                  <w:noWrap/>
                  <w:vAlign w:val="center"/>
                </w:tcPr>
                <w:p w14:paraId="48C863FE">
                  <w:pPr>
                    <w:pStyle w:val="31"/>
                    <w:adjustRightInd/>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农村道路</w:t>
                  </w:r>
                </w:p>
              </w:tc>
              <w:tc>
                <w:tcPr>
                  <w:tcW w:w="1667" w:type="pct"/>
                  <w:shd w:val="clear" w:color="auto" w:fill="auto"/>
                  <w:noWrap/>
                  <w:vAlign w:val="center"/>
                </w:tcPr>
                <w:p w14:paraId="02FC7003">
                  <w:pPr>
                    <w:pStyle w:val="31"/>
                    <w:adjustRightInd/>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0.0014</w:t>
                  </w:r>
                </w:p>
              </w:tc>
            </w:tr>
            <w:tr w14:paraId="7D3B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3"/>
                  <w:noWrap/>
                  <w:vAlign w:val="center"/>
                </w:tcPr>
                <w:p w14:paraId="19493F20">
                  <w:pPr>
                    <w:pStyle w:val="31"/>
                    <w:adjustRightInd/>
                    <w:jc w:val="center"/>
                    <w:rPr>
                      <w:rFonts w:ascii="Times New Roman" w:hAns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合计</w:t>
                  </w:r>
                </w:p>
              </w:tc>
              <w:tc>
                <w:tcPr>
                  <w:tcW w:w="1667" w:type="pct"/>
                  <w:noWrap/>
                  <w:vAlign w:val="center"/>
                </w:tcPr>
                <w:p w14:paraId="17BF07DD">
                  <w:pPr>
                    <w:pStyle w:val="31"/>
                    <w:adjustRightInd/>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0.2949</w:t>
                  </w:r>
                </w:p>
              </w:tc>
            </w:tr>
          </w:tbl>
          <w:p w14:paraId="3BA3C729">
            <w:pPr>
              <w:spacing w:line="360" w:lineRule="auto"/>
              <w:ind w:firstLine="484" w:firstLineChars="202"/>
              <w:rPr>
                <w:rFonts w:ascii="Times New Roman" w:hAnsi="Times New Roman"/>
                <w:bCs/>
                <w:color w:val="auto"/>
                <w:sz w:val="24"/>
                <w:highlight w:val="none"/>
              </w:rPr>
            </w:pPr>
            <w:r>
              <w:rPr>
                <w:rFonts w:hint="eastAsia" w:ascii="Times New Roman" w:hAnsi="Times New Roman"/>
                <w:bCs/>
                <w:color w:val="auto"/>
                <w:sz w:val="24"/>
                <w:highlight w:val="none"/>
              </w:rPr>
              <w:t>（2）项目占地对植被和农业生产的影响</w:t>
            </w:r>
          </w:p>
          <w:p w14:paraId="2B99567C">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项目占地类型主要为</w:t>
            </w:r>
            <w:r>
              <w:rPr>
                <w:rFonts w:hint="eastAsia" w:ascii="Times New Roman" w:hAnsi="Times New Roman"/>
                <w:bCs/>
                <w:color w:val="auto"/>
                <w:sz w:val="24"/>
                <w:highlight w:val="none"/>
              </w:rPr>
              <w:t>农用地</w:t>
            </w:r>
            <w:r>
              <w:rPr>
                <w:rFonts w:ascii="Times New Roman" w:hAnsi="Times New Roman"/>
                <w:bCs/>
                <w:color w:val="auto"/>
                <w:sz w:val="24"/>
                <w:highlight w:val="none"/>
              </w:rPr>
              <w:t>，</w:t>
            </w:r>
            <w:r>
              <w:rPr>
                <w:rFonts w:hint="eastAsia" w:ascii="Times New Roman" w:hAnsi="Times New Roman"/>
                <w:bCs/>
                <w:color w:val="auto"/>
                <w:sz w:val="24"/>
                <w:highlight w:val="none"/>
              </w:rPr>
              <w:t>种植</w:t>
            </w:r>
            <w:r>
              <w:rPr>
                <w:rFonts w:ascii="Times New Roman" w:hAnsi="Times New Roman"/>
                <w:bCs/>
                <w:color w:val="auto"/>
                <w:sz w:val="24"/>
                <w:highlight w:val="none"/>
              </w:rPr>
              <w:t>季节性农作物水稻、</w:t>
            </w:r>
            <w:r>
              <w:rPr>
                <w:rFonts w:hint="eastAsia" w:ascii="Times New Roman" w:hAnsi="Times New Roman"/>
                <w:bCs/>
                <w:color w:val="auto"/>
                <w:sz w:val="24"/>
                <w:highlight w:val="none"/>
              </w:rPr>
              <w:t>小麦</w:t>
            </w:r>
            <w:r>
              <w:rPr>
                <w:rFonts w:ascii="Times New Roman" w:hAnsi="Times New Roman"/>
                <w:bCs/>
                <w:color w:val="auto"/>
                <w:sz w:val="24"/>
                <w:highlight w:val="none"/>
              </w:rPr>
              <w:t>、蔬菜等。项目对</w:t>
            </w:r>
            <w:r>
              <w:rPr>
                <w:rFonts w:hint="eastAsia" w:ascii="Times New Roman" w:hAnsi="Times New Roman"/>
                <w:bCs/>
                <w:color w:val="auto"/>
                <w:sz w:val="24"/>
                <w:highlight w:val="none"/>
              </w:rPr>
              <w:t>农作物</w:t>
            </w:r>
            <w:r>
              <w:rPr>
                <w:rFonts w:ascii="Times New Roman" w:hAnsi="Times New Roman"/>
                <w:bCs/>
                <w:color w:val="auto"/>
                <w:sz w:val="24"/>
                <w:highlight w:val="none"/>
              </w:rPr>
              <w:t>的影响主要表现因临时占用农用地造成经济作物减产</w:t>
            </w:r>
            <w:r>
              <w:rPr>
                <w:rFonts w:hint="eastAsia" w:ascii="Times New Roman" w:hAnsi="Times New Roman"/>
                <w:bCs/>
                <w:color w:val="auto"/>
                <w:sz w:val="24"/>
                <w:highlight w:val="none"/>
              </w:rPr>
              <w:t>，</w:t>
            </w:r>
            <w:r>
              <w:rPr>
                <w:rFonts w:ascii="Times New Roman" w:hAnsi="Times New Roman"/>
                <w:bCs/>
                <w:color w:val="auto"/>
                <w:sz w:val="24"/>
                <w:highlight w:val="none"/>
              </w:rPr>
              <w:t>临时占地对农田的破坏，使被开挖地段的土壤耕作层发生破坏，导致耕地质量下降，主要可能耽误农作物生产，</w:t>
            </w:r>
            <w:r>
              <w:rPr>
                <w:rFonts w:hint="eastAsia" w:ascii="Times New Roman" w:hAnsi="Times New Roman"/>
                <w:bCs/>
                <w:color w:val="auto"/>
                <w:sz w:val="24"/>
                <w:highlight w:val="none"/>
              </w:rPr>
              <w:t>但</w:t>
            </w:r>
            <w:r>
              <w:rPr>
                <w:rFonts w:ascii="Times New Roman" w:hAnsi="Times New Roman"/>
                <w:bCs/>
                <w:color w:val="auto"/>
                <w:sz w:val="24"/>
                <w:highlight w:val="none"/>
              </w:rPr>
              <w:t>这种影响是临时的，</w:t>
            </w:r>
            <w:r>
              <w:rPr>
                <w:rFonts w:hint="eastAsia" w:ascii="Times New Roman" w:hAnsi="Times New Roman"/>
                <w:bCs/>
                <w:color w:val="auto"/>
                <w:sz w:val="24"/>
                <w:highlight w:val="none"/>
              </w:rPr>
              <w:t>在</w:t>
            </w:r>
            <w:r>
              <w:rPr>
                <w:rFonts w:ascii="Times New Roman" w:hAnsi="Times New Roman"/>
                <w:bCs/>
                <w:color w:val="auto"/>
                <w:sz w:val="24"/>
                <w:highlight w:val="none"/>
              </w:rPr>
              <w:t>施工结束后</w:t>
            </w:r>
            <w:r>
              <w:rPr>
                <w:rFonts w:hint="eastAsia" w:ascii="Times New Roman" w:hAnsi="Times New Roman"/>
                <w:bCs/>
                <w:color w:val="auto"/>
                <w:sz w:val="24"/>
                <w:highlight w:val="none"/>
              </w:rPr>
              <w:t>土地复垦完成后</w:t>
            </w:r>
            <w:r>
              <w:rPr>
                <w:rFonts w:ascii="Times New Roman" w:hAnsi="Times New Roman"/>
                <w:bCs/>
                <w:color w:val="auto"/>
                <w:sz w:val="24"/>
                <w:highlight w:val="none"/>
              </w:rPr>
              <w:t>即可恢复生产。</w:t>
            </w:r>
          </w:p>
          <w:p w14:paraId="1C8BBEDF">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本次环评要求施工单位对临时占地除在施工过程中采取措施减少对农田破坏外，在施工结束后，一定要负责农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监测工作，及时掌握耕地质量变化状况，直至恢复到原来的生产力水平。</w:t>
            </w:r>
          </w:p>
          <w:p w14:paraId="1F446BDD">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w:t>
            </w:r>
            <w:r>
              <w:rPr>
                <w:rFonts w:hint="eastAsia" w:ascii="Times New Roman" w:hAnsi="Times New Roman"/>
                <w:bCs/>
                <w:color w:val="auto"/>
                <w:sz w:val="24"/>
                <w:highlight w:val="none"/>
              </w:rPr>
              <w:t>3</w:t>
            </w:r>
            <w:r>
              <w:rPr>
                <w:rFonts w:ascii="Times New Roman" w:hAnsi="Times New Roman"/>
                <w:bCs/>
                <w:color w:val="auto"/>
                <w:sz w:val="24"/>
                <w:highlight w:val="none"/>
              </w:rPr>
              <w:t>）对基本农田影响分析</w:t>
            </w:r>
          </w:p>
          <w:p w14:paraId="43E5B793">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工程对农田生态系统的影响主要表现在以下方面：</w:t>
            </w:r>
          </w:p>
          <w:p w14:paraId="4CF4CB4C">
            <w:pPr>
              <w:spacing w:line="360" w:lineRule="auto"/>
              <w:ind w:firstLine="484" w:firstLineChars="202"/>
              <w:rPr>
                <w:rFonts w:ascii="Times New Roman" w:hAnsi="Times New Roman"/>
                <w:bCs/>
                <w:color w:val="auto"/>
                <w:sz w:val="24"/>
                <w:highlight w:val="none"/>
              </w:rPr>
            </w:pPr>
            <w:r>
              <w:rPr>
                <w:rFonts w:ascii="宋体" w:hAnsi="宋体"/>
                <w:bCs/>
                <w:color w:val="auto"/>
                <w:sz w:val="24"/>
                <w:highlight w:val="none"/>
              </w:rPr>
              <w:t>①</w:t>
            </w:r>
            <w:r>
              <w:rPr>
                <w:rFonts w:ascii="Times New Roman" w:hAnsi="宋体"/>
                <w:bCs/>
                <w:color w:val="auto"/>
                <w:sz w:val="24"/>
                <w:highlight w:val="none"/>
              </w:rPr>
              <w:t>对植被的影响</w:t>
            </w:r>
          </w:p>
          <w:p w14:paraId="14E79A9F">
            <w:pPr>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工程施工占地不可避免的对地表产生扰动，进而对地表植物资源产生影响。</w:t>
            </w:r>
            <w:r>
              <w:rPr>
                <w:rFonts w:ascii="Times New Roman" w:hAnsi="Times New Roman"/>
                <w:kern w:val="0"/>
                <w:sz w:val="24"/>
              </w:rPr>
              <w:t>本项目将扰动</w:t>
            </w:r>
            <w:r>
              <w:rPr>
                <w:rFonts w:hint="eastAsia" w:ascii="Times New Roman" w:hAnsi="Times New Roman"/>
                <w:kern w:val="0"/>
                <w:sz w:val="24"/>
              </w:rPr>
              <w:t>农用地0.</w:t>
            </w:r>
            <w:r>
              <w:rPr>
                <w:rFonts w:hint="eastAsia" w:ascii="Times New Roman" w:hAnsi="Times New Roman"/>
                <w:kern w:val="0"/>
                <w:sz w:val="24"/>
                <w:lang w:val="en-US" w:eastAsia="zh-CN"/>
              </w:rPr>
              <w:t>2229</w:t>
            </w:r>
            <w:r>
              <w:rPr>
                <w:rFonts w:hint="eastAsia" w:ascii="Times New Roman" w:hAnsi="Times New Roman"/>
                <w:kern w:val="0"/>
                <w:szCs w:val="21"/>
              </w:rPr>
              <w:t>m</w:t>
            </w:r>
            <w:r>
              <w:rPr>
                <w:rFonts w:hint="eastAsia" w:ascii="Times New Roman" w:hAnsi="Times New Roman"/>
                <w:kern w:val="0"/>
                <w:szCs w:val="21"/>
                <w:vertAlign w:val="superscript"/>
              </w:rPr>
              <w:t>2</w:t>
            </w:r>
            <w:r>
              <w:rPr>
                <w:rFonts w:ascii="Times New Roman" w:hAnsi="Times New Roman"/>
                <w:kern w:val="0"/>
                <w:sz w:val="24"/>
              </w:rPr>
              <w:t>，</w:t>
            </w:r>
            <w:r>
              <w:rPr>
                <w:rFonts w:ascii="Times New Roman" w:hAnsi="Times New Roman"/>
                <w:color w:val="auto"/>
                <w:kern w:val="0"/>
                <w:sz w:val="24"/>
                <w:highlight w:val="none"/>
              </w:rPr>
              <w:t>本项目临时工程占地导致的植物生物量损失按下式计算。具体计算结果见下表。</w:t>
            </w:r>
          </w:p>
          <w:p w14:paraId="55DEE2FF">
            <w:pPr>
              <w:autoSpaceDE w:val="0"/>
              <w:autoSpaceDN w:val="0"/>
              <w:adjustRightInd w:val="0"/>
              <w:spacing w:line="360" w:lineRule="auto"/>
              <w:jc w:val="center"/>
              <w:rPr>
                <w:rFonts w:ascii="Times New Roman" w:hAnsi="Times New Roman"/>
                <w:color w:val="000000" w:themeColor="text1"/>
                <w:kern w:val="0"/>
                <w:sz w:val="24"/>
                <w:highlight w:val="none"/>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drawing>
                <wp:inline distT="0" distB="0" distL="114300" distR="114300">
                  <wp:extent cx="1266825" cy="351155"/>
                  <wp:effectExtent l="0" t="0" r="952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1266825" cy="351155"/>
                          </a:xfrm>
                          <a:prstGeom prst="rect">
                            <a:avLst/>
                          </a:prstGeom>
                          <a:noFill/>
                          <a:ln>
                            <a:noFill/>
                          </a:ln>
                        </pic:spPr>
                      </pic:pic>
                    </a:graphicData>
                  </a:graphic>
                </wp:inline>
              </w:drawing>
            </w:r>
          </w:p>
          <w:p w14:paraId="6196F6E2">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ascii="Times New Roman" w:hAnsi="Times New Roman"/>
                <w:b/>
                <w:color w:val="000000" w:themeColor="text1"/>
                <w:kern w:val="0"/>
                <w:szCs w:val="21"/>
                <w:highlight w:val="none"/>
                <w14:textFill>
                  <w14:solidFill>
                    <w14:schemeClr w14:val="tx1"/>
                  </w14:solidFill>
                </w14:textFill>
              </w:rPr>
            </w:pPr>
            <w:r>
              <w:rPr>
                <w:rFonts w:ascii="Times New Roman" w:hAnsi="Times New Roman"/>
                <w:b/>
                <w:color w:val="000000" w:themeColor="text1"/>
                <w:kern w:val="0"/>
                <w:szCs w:val="21"/>
                <w:highlight w:val="none"/>
                <w14:textFill>
                  <w14:solidFill>
                    <w14:schemeClr w14:val="tx1"/>
                  </w14:solidFill>
                </w14:textFill>
              </w:rPr>
              <w:t>表4-</w:t>
            </w:r>
            <w:r>
              <w:rPr>
                <w:rFonts w:hint="eastAsia" w:ascii="Times New Roman" w:hAnsi="Times New Roman"/>
                <w:b/>
                <w:color w:val="000000" w:themeColor="text1"/>
                <w:kern w:val="0"/>
                <w:szCs w:val="21"/>
                <w:highlight w:val="none"/>
                <w:lang w:val="en-US" w:eastAsia="zh-CN"/>
                <w14:textFill>
                  <w14:solidFill>
                    <w14:schemeClr w14:val="tx1"/>
                  </w14:solidFill>
                </w14:textFill>
              </w:rPr>
              <w:t xml:space="preserve">7 </w:t>
            </w:r>
            <w:r>
              <w:rPr>
                <w:rFonts w:ascii="Times New Roman" w:hAnsi="Times New Roman"/>
                <w:b/>
                <w:color w:val="000000" w:themeColor="text1"/>
                <w:kern w:val="0"/>
                <w:szCs w:val="21"/>
                <w:highlight w:val="none"/>
                <w14:textFill>
                  <w14:solidFill>
                    <w14:schemeClr w14:val="tx1"/>
                  </w14:solidFill>
                </w14:textFill>
              </w:rPr>
              <w:t xml:space="preserve"> 工程占地生物量损失表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359"/>
              <w:gridCol w:w="1605"/>
              <w:gridCol w:w="2124"/>
              <w:gridCol w:w="1635"/>
            </w:tblGrid>
            <w:tr w14:paraId="32A5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ign w:val="center"/>
                </w:tcPr>
                <w:p w14:paraId="671B96AA">
                  <w:pPr>
                    <w:autoSpaceDE w:val="0"/>
                    <w:autoSpaceDN w:val="0"/>
                    <w:adjustRightInd w:val="0"/>
                    <w:jc w:val="center"/>
                    <w:rPr>
                      <w:rFonts w:ascii="Times New Roman" w:hAnsi="Times New Roman"/>
                      <w:b/>
                      <w:bCs/>
                      <w:color w:val="000000" w:themeColor="text1"/>
                      <w:kern w:val="0"/>
                      <w:szCs w:val="21"/>
                      <w:highlight w:val="none"/>
                      <w14:textFill>
                        <w14:solidFill>
                          <w14:schemeClr w14:val="tx1"/>
                        </w14:solidFill>
                      </w14:textFill>
                    </w:rPr>
                  </w:pPr>
                  <w:r>
                    <w:rPr>
                      <w:rFonts w:ascii="Times New Roman" w:hAnsi="Times New Roman"/>
                      <w:b/>
                      <w:bCs/>
                      <w:color w:val="000000" w:themeColor="text1"/>
                      <w:kern w:val="0"/>
                      <w:szCs w:val="21"/>
                      <w:highlight w:val="none"/>
                      <w14:textFill>
                        <w14:solidFill>
                          <w14:schemeClr w14:val="tx1"/>
                        </w14:solidFill>
                      </w14:textFill>
                    </w:rPr>
                    <w:t>地区</w:t>
                  </w:r>
                </w:p>
              </w:tc>
              <w:tc>
                <w:tcPr>
                  <w:tcW w:w="1359" w:type="dxa"/>
                  <w:noWrap/>
                  <w:vAlign w:val="center"/>
                </w:tcPr>
                <w:p w14:paraId="28F4534B">
                  <w:pPr>
                    <w:autoSpaceDE w:val="0"/>
                    <w:autoSpaceDN w:val="0"/>
                    <w:adjustRightInd w:val="0"/>
                    <w:jc w:val="center"/>
                    <w:rPr>
                      <w:rFonts w:ascii="Times New Roman" w:hAnsi="Times New Roman"/>
                      <w:b/>
                      <w:bCs/>
                      <w:color w:val="000000" w:themeColor="text1"/>
                      <w:kern w:val="0"/>
                      <w:szCs w:val="21"/>
                      <w:highlight w:val="none"/>
                      <w14:textFill>
                        <w14:solidFill>
                          <w14:schemeClr w14:val="tx1"/>
                        </w14:solidFill>
                      </w14:textFill>
                    </w:rPr>
                  </w:pPr>
                  <w:r>
                    <w:rPr>
                      <w:rFonts w:hint="eastAsia" w:ascii="Times New Roman" w:hAnsi="Times New Roman"/>
                      <w:b/>
                      <w:bCs/>
                      <w:color w:val="000000" w:themeColor="text1"/>
                      <w:kern w:val="0"/>
                      <w:szCs w:val="21"/>
                      <w:highlight w:val="none"/>
                      <w14:textFill>
                        <w14:solidFill>
                          <w14:schemeClr w14:val="tx1"/>
                        </w14:solidFill>
                      </w14:textFill>
                    </w:rPr>
                    <w:t>用地</w:t>
                  </w:r>
                  <w:r>
                    <w:rPr>
                      <w:rFonts w:ascii="Times New Roman" w:hAnsi="Times New Roman"/>
                      <w:b/>
                      <w:bCs/>
                      <w:color w:val="000000" w:themeColor="text1"/>
                      <w:kern w:val="0"/>
                      <w:szCs w:val="21"/>
                      <w:highlight w:val="none"/>
                      <w14:textFill>
                        <w14:solidFill>
                          <w14:schemeClr w14:val="tx1"/>
                        </w14:solidFill>
                      </w14:textFill>
                    </w:rPr>
                    <w:t>类型</w:t>
                  </w:r>
                </w:p>
              </w:tc>
              <w:tc>
                <w:tcPr>
                  <w:tcW w:w="1605" w:type="dxa"/>
                  <w:noWrap/>
                  <w:vAlign w:val="center"/>
                </w:tcPr>
                <w:p w14:paraId="4D932FAF">
                  <w:pPr>
                    <w:autoSpaceDE w:val="0"/>
                    <w:autoSpaceDN w:val="0"/>
                    <w:adjustRightInd w:val="0"/>
                    <w:jc w:val="center"/>
                    <w:rPr>
                      <w:rFonts w:ascii="Times New Roman" w:hAnsi="Times New Roman"/>
                      <w:b/>
                      <w:bCs/>
                      <w:color w:val="000000" w:themeColor="text1"/>
                      <w:kern w:val="0"/>
                      <w:szCs w:val="21"/>
                      <w:highlight w:val="none"/>
                      <w14:textFill>
                        <w14:solidFill>
                          <w14:schemeClr w14:val="tx1"/>
                        </w14:solidFill>
                      </w14:textFill>
                    </w:rPr>
                  </w:pPr>
                  <w:r>
                    <w:rPr>
                      <w:rFonts w:ascii="Times New Roman" w:hAnsi="Times New Roman"/>
                      <w:b/>
                      <w:bCs/>
                      <w:color w:val="000000" w:themeColor="text1"/>
                      <w:kern w:val="0"/>
                      <w:szCs w:val="21"/>
                      <w:highlight w:val="none"/>
                      <w14:textFill>
                        <w14:solidFill>
                          <w14:schemeClr w14:val="tx1"/>
                        </w14:solidFill>
                      </w14:textFill>
                    </w:rPr>
                    <w:t>占地面积（h</w:t>
                  </w:r>
                  <w:r>
                    <w:rPr>
                      <w:rFonts w:hint="eastAsia" w:ascii="Times New Roman" w:hAnsi="Times New Roman"/>
                      <w:b/>
                      <w:bCs/>
                      <w:color w:val="000000" w:themeColor="text1"/>
                      <w:kern w:val="0"/>
                      <w:szCs w:val="21"/>
                      <w:highlight w:val="none"/>
                      <w:lang w:val="en-US" w:eastAsia="zh-CN"/>
                      <w14:textFill>
                        <w14:solidFill>
                          <w14:schemeClr w14:val="tx1"/>
                        </w14:solidFill>
                      </w14:textFill>
                    </w:rPr>
                    <w:t>m</w:t>
                  </w:r>
                  <w:r>
                    <w:rPr>
                      <w:rFonts w:hint="eastAsia" w:ascii="Times New Roman" w:hAnsi="Times New Roman"/>
                      <w:b/>
                      <w:bCs/>
                      <w:color w:val="000000" w:themeColor="text1"/>
                      <w:kern w:val="0"/>
                      <w:szCs w:val="21"/>
                      <w:highlight w:val="none"/>
                      <w:vertAlign w:val="superscript"/>
                      <w:lang w:val="en-US" w:eastAsia="zh-CN"/>
                      <w14:textFill>
                        <w14:solidFill>
                          <w14:schemeClr w14:val="tx1"/>
                        </w14:solidFill>
                      </w14:textFill>
                    </w:rPr>
                    <w:t>2</w:t>
                  </w:r>
                  <w:r>
                    <w:rPr>
                      <w:rFonts w:ascii="Times New Roman" w:hAnsi="Times New Roman"/>
                      <w:b/>
                      <w:bCs/>
                      <w:color w:val="000000" w:themeColor="text1"/>
                      <w:kern w:val="0"/>
                      <w:szCs w:val="21"/>
                      <w:highlight w:val="none"/>
                      <w14:textFill>
                        <w14:solidFill>
                          <w14:schemeClr w14:val="tx1"/>
                        </w14:solidFill>
                      </w14:textFill>
                    </w:rPr>
                    <w:t>）</w:t>
                  </w:r>
                </w:p>
              </w:tc>
              <w:tc>
                <w:tcPr>
                  <w:tcW w:w="2124" w:type="dxa"/>
                  <w:noWrap/>
                  <w:vAlign w:val="center"/>
                </w:tcPr>
                <w:p w14:paraId="2B8A4659">
                  <w:pPr>
                    <w:autoSpaceDE w:val="0"/>
                    <w:autoSpaceDN w:val="0"/>
                    <w:adjustRightInd w:val="0"/>
                    <w:jc w:val="center"/>
                    <w:rPr>
                      <w:rFonts w:ascii="Times New Roman" w:hAnsi="Times New Roman"/>
                      <w:b/>
                      <w:bCs/>
                      <w:color w:val="000000" w:themeColor="text1"/>
                      <w:kern w:val="0"/>
                      <w:szCs w:val="21"/>
                      <w:highlight w:val="none"/>
                      <w14:textFill>
                        <w14:solidFill>
                          <w14:schemeClr w14:val="tx1"/>
                        </w14:solidFill>
                      </w14:textFill>
                    </w:rPr>
                  </w:pPr>
                  <w:r>
                    <w:rPr>
                      <w:rFonts w:ascii="Times New Roman" w:hAnsi="Times New Roman"/>
                      <w:b/>
                      <w:bCs/>
                      <w:color w:val="000000" w:themeColor="text1"/>
                      <w:kern w:val="0"/>
                      <w:szCs w:val="21"/>
                      <w:highlight w:val="none"/>
                      <w14:textFill>
                        <w14:solidFill>
                          <w14:schemeClr w14:val="tx1"/>
                        </w14:solidFill>
                      </w14:textFill>
                    </w:rPr>
                    <w:t>单位面积生物量（t/h</w:t>
                  </w:r>
                  <w:r>
                    <w:rPr>
                      <w:rFonts w:hint="eastAsia" w:ascii="Times New Roman" w:hAnsi="Times New Roman"/>
                      <w:b/>
                      <w:bCs/>
                      <w:color w:val="000000" w:themeColor="text1"/>
                      <w:kern w:val="0"/>
                      <w:szCs w:val="21"/>
                      <w:highlight w:val="none"/>
                      <w:lang w:val="en-US" w:eastAsia="zh-CN"/>
                      <w14:textFill>
                        <w14:solidFill>
                          <w14:schemeClr w14:val="tx1"/>
                        </w14:solidFill>
                      </w14:textFill>
                    </w:rPr>
                    <w:t>m</w:t>
                  </w:r>
                  <w:r>
                    <w:rPr>
                      <w:rFonts w:hint="eastAsia" w:ascii="Times New Roman" w:hAnsi="Times New Roman"/>
                      <w:b/>
                      <w:bCs/>
                      <w:color w:val="000000" w:themeColor="text1"/>
                      <w:kern w:val="0"/>
                      <w:szCs w:val="21"/>
                      <w:highlight w:val="none"/>
                      <w:vertAlign w:val="superscript"/>
                      <w:lang w:val="en-US" w:eastAsia="zh-CN"/>
                      <w14:textFill>
                        <w14:solidFill>
                          <w14:schemeClr w14:val="tx1"/>
                        </w14:solidFill>
                      </w14:textFill>
                    </w:rPr>
                    <w:t>2</w:t>
                  </w:r>
                  <w:r>
                    <w:rPr>
                      <w:rFonts w:ascii="Times New Roman" w:hAnsi="Times New Roman"/>
                      <w:b/>
                      <w:bCs/>
                      <w:color w:val="000000" w:themeColor="text1"/>
                      <w:kern w:val="0"/>
                      <w:szCs w:val="21"/>
                      <w:highlight w:val="none"/>
                      <w14:textFill>
                        <w14:solidFill>
                          <w14:schemeClr w14:val="tx1"/>
                        </w14:solidFill>
                      </w14:textFill>
                    </w:rPr>
                    <w:t>）</w:t>
                  </w:r>
                </w:p>
              </w:tc>
              <w:tc>
                <w:tcPr>
                  <w:tcW w:w="1635" w:type="dxa"/>
                  <w:noWrap/>
                  <w:vAlign w:val="center"/>
                </w:tcPr>
                <w:p w14:paraId="55E20CC1">
                  <w:pPr>
                    <w:autoSpaceDE w:val="0"/>
                    <w:autoSpaceDN w:val="0"/>
                    <w:adjustRightInd w:val="0"/>
                    <w:jc w:val="center"/>
                    <w:rPr>
                      <w:rFonts w:ascii="Times New Roman" w:hAnsi="Times New Roman"/>
                      <w:b/>
                      <w:bCs/>
                      <w:color w:val="000000" w:themeColor="text1"/>
                      <w:kern w:val="0"/>
                      <w:szCs w:val="21"/>
                      <w:highlight w:val="none"/>
                      <w14:textFill>
                        <w14:solidFill>
                          <w14:schemeClr w14:val="tx1"/>
                        </w14:solidFill>
                      </w14:textFill>
                    </w:rPr>
                  </w:pPr>
                  <w:r>
                    <w:rPr>
                      <w:rFonts w:ascii="Times New Roman" w:hAnsi="Times New Roman"/>
                      <w:b/>
                      <w:bCs/>
                      <w:color w:val="000000" w:themeColor="text1"/>
                      <w:kern w:val="0"/>
                      <w:szCs w:val="21"/>
                      <w:highlight w:val="none"/>
                      <w14:textFill>
                        <w14:solidFill>
                          <w14:schemeClr w14:val="tx1"/>
                        </w14:solidFill>
                      </w14:textFill>
                    </w:rPr>
                    <w:t>损失量（t）</w:t>
                  </w:r>
                </w:p>
              </w:tc>
            </w:tr>
            <w:tr w14:paraId="7A5C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ign w:val="center"/>
                </w:tcPr>
                <w:p w14:paraId="09D8DECC">
                  <w:pPr>
                    <w:autoSpaceDE w:val="0"/>
                    <w:autoSpaceDN w:val="0"/>
                    <w:adjustRightInd w:val="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3</w:t>
                  </w:r>
                  <w:r>
                    <w:rPr>
                      <w:rFonts w:hint="eastAsia" w:ascii="Times New Roman" w:hAnsi="Times New Roman"/>
                      <w:color w:val="000000" w:themeColor="text1"/>
                      <w:kern w:val="0"/>
                      <w:szCs w:val="21"/>
                      <w:highlight w:val="none"/>
                      <w:lang w:eastAsia="zh-CN"/>
                      <w14:textFill>
                        <w14:solidFill>
                          <w14:schemeClr w14:val="tx1"/>
                        </w14:solidFill>
                      </w14:textFill>
                    </w:rPr>
                    <w:t>个井场</w:t>
                  </w:r>
                </w:p>
              </w:tc>
              <w:tc>
                <w:tcPr>
                  <w:tcW w:w="1359" w:type="dxa"/>
                  <w:noWrap/>
                  <w:vAlign w:val="center"/>
                </w:tcPr>
                <w:p w14:paraId="2CC8AFAF">
                  <w:pPr>
                    <w:autoSpaceDE w:val="0"/>
                    <w:autoSpaceDN w:val="0"/>
                    <w:adjustRightInd w:val="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农用地</w:t>
                  </w:r>
                </w:p>
              </w:tc>
              <w:tc>
                <w:tcPr>
                  <w:tcW w:w="1605" w:type="dxa"/>
                  <w:noWrap/>
                  <w:vAlign w:val="center"/>
                </w:tcPr>
                <w:p w14:paraId="45D35664">
                  <w:pPr>
                    <w:autoSpaceDE w:val="0"/>
                    <w:autoSpaceDN w:val="0"/>
                    <w:adjustRightInd w:val="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0.2229</w:t>
                  </w:r>
                </w:p>
              </w:tc>
              <w:tc>
                <w:tcPr>
                  <w:tcW w:w="2124" w:type="dxa"/>
                  <w:noWrap/>
                  <w:vAlign w:val="center"/>
                </w:tcPr>
                <w:p w14:paraId="54D6C7A3">
                  <w:pPr>
                    <w:autoSpaceDE w:val="0"/>
                    <w:autoSpaceDN w:val="0"/>
                    <w:adjustRightInd w:val="0"/>
                    <w:jc w:val="center"/>
                    <w:rPr>
                      <w:rFonts w:hint="default" w:ascii="Times New Roman" w:hAnsi="Times New Roman"/>
                      <w:color w:val="000000" w:themeColor="text1"/>
                      <w:kern w:val="0"/>
                      <w:szCs w:val="21"/>
                      <w:highlight w:val="none"/>
                      <w:lang w:val="en-US"/>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1.46</w:t>
                  </w:r>
                </w:p>
              </w:tc>
              <w:tc>
                <w:tcPr>
                  <w:tcW w:w="1635" w:type="dxa"/>
                  <w:noWrap/>
                  <w:vAlign w:val="center"/>
                </w:tcPr>
                <w:p w14:paraId="4DBAE0EE">
                  <w:pPr>
                    <w:autoSpaceDE w:val="0"/>
                    <w:autoSpaceDN w:val="0"/>
                    <w:adjustRightInd w:val="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0.3254</w:t>
                  </w:r>
                </w:p>
              </w:tc>
            </w:tr>
            <w:tr w14:paraId="7A1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6" w:type="dxa"/>
                  <w:gridSpan w:val="2"/>
                  <w:noWrap/>
                  <w:vAlign w:val="center"/>
                </w:tcPr>
                <w:p w14:paraId="6D7D9522">
                  <w:pPr>
                    <w:autoSpaceDE w:val="0"/>
                    <w:autoSpaceDN w:val="0"/>
                    <w:adjustRightInd w:val="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合计</w:t>
                  </w:r>
                </w:p>
              </w:tc>
              <w:tc>
                <w:tcPr>
                  <w:tcW w:w="1605" w:type="dxa"/>
                  <w:noWrap/>
                  <w:vAlign w:val="center"/>
                </w:tcPr>
                <w:p w14:paraId="1A2ABC00">
                  <w:pPr>
                    <w:autoSpaceDE w:val="0"/>
                    <w:autoSpaceDN w:val="0"/>
                    <w:adjustRightInd w:val="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c>
                <w:tcPr>
                  <w:tcW w:w="2124" w:type="dxa"/>
                  <w:noWrap/>
                  <w:vAlign w:val="center"/>
                </w:tcPr>
                <w:p w14:paraId="247738A9">
                  <w:pPr>
                    <w:autoSpaceDE w:val="0"/>
                    <w:autoSpaceDN w:val="0"/>
                    <w:adjustRightInd w:val="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c>
                <w:tcPr>
                  <w:tcW w:w="1635" w:type="dxa"/>
                  <w:noWrap/>
                  <w:vAlign w:val="center"/>
                </w:tcPr>
                <w:p w14:paraId="310B39B9">
                  <w:pPr>
                    <w:autoSpaceDE w:val="0"/>
                    <w:autoSpaceDN w:val="0"/>
                    <w:adjustRightInd w:val="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0.3254</w:t>
                  </w:r>
                </w:p>
              </w:tc>
            </w:tr>
          </w:tbl>
          <w:p w14:paraId="05FFC490">
            <w:pPr>
              <w:autoSpaceDE w:val="0"/>
              <w:autoSpaceDN w:val="0"/>
              <w:spacing w:line="360" w:lineRule="auto"/>
              <w:rPr>
                <w:rFonts w:ascii="Times New Roman" w:hAnsi="Times New Roman"/>
                <w:color w:val="auto"/>
                <w:kern w:val="0"/>
                <w:szCs w:val="21"/>
                <w:highlight w:val="none"/>
              </w:rPr>
            </w:pPr>
            <w:r>
              <w:rPr>
                <w:rFonts w:ascii="Times New Roman" w:hAnsi="Times New Roman"/>
                <w:color w:val="000000" w:themeColor="text1"/>
                <w:kern w:val="0"/>
                <w:szCs w:val="21"/>
                <w:highlight w:val="none"/>
                <w14:textFill>
                  <w14:solidFill>
                    <w14:schemeClr w14:val="tx1"/>
                  </w14:solidFill>
                </w14:textFill>
              </w:rPr>
              <w:t>注：农用地生物量参照</w:t>
            </w:r>
            <w:r>
              <w:rPr>
                <w:rFonts w:hint="eastAsia" w:ascii="Times New Roman" w:hAnsi="Times New Roman"/>
                <w:color w:val="000000" w:themeColor="text1"/>
                <w:kern w:val="0"/>
                <w:szCs w:val="21"/>
                <w:highlight w:val="none"/>
                <w14:textFill>
                  <w14:solidFill>
                    <w14:schemeClr w14:val="tx1"/>
                  </w14:solidFill>
                </w14:textFill>
              </w:rPr>
              <w:t>《基于无人机影像的农作物净初级生</w:t>
            </w:r>
            <w:r>
              <w:rPr>
                <w:rFonts w:hint="eastAsia" w:ascii="Times New Roman" w:hAnsi="Times New Roman"/>
                <w:color w:val="auto"/>
                <w:kern w:val="0"/>
                <w:szCs w:val="21"/>
                <w:highlight w:val="none"/>
              </w:rPr>
              <w:t>产力估算》(谢忠元等，2021)</w:t>
            </w:r>
            <w:r>
              <w:rPr>
                <w:rFonts w:ascii="Times New Roman" w:hAnsi="Times New Roman"/>
                <w:color w:val="auto"/>
                <w:kern w:val="0"/>
                <w:szCs w:val="21"/>
                <w:highlight w:val="none"/>
              </w:rPr>
              <w:t>。</w:t>
            </w:r>
          </w:p>
          <w:p w14:paraId="5171F109">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由上表分析可知，施工期项目工程占地导致植物生物量损失约</w:t>
            </w:r>
            <w:r>
              <w:rPr>
                <w:rFonts w:hint="eastAsia" w:ascii="Times New Roman" w:hAnsi="Times New Roman"/>
                <w:color w:val="auto"/>
                <w:kern w:val="0"/>
                <w:sz w:val="24"/>
                <w:highlight w:val="none"/>
                <w:lang w:val="en-US" w:eastAsia="zh-CN"/>
              </w:rPr>
              <w:t>0.376</w:t>
            </w:r>
            <w:r>
              <w:rPr>
                <w:rFonts w:ascii="Times New Roman" w:hAnsi="Times New Roman"/>
                <w:color w:val="auto"/>
                <w:kern w:val="0"/>
                <w:sz w:val="24"/>
                <w:highlight w:val="none"/>
              </w:rPr>
              <w:t>t。本项目占地对项目区植被生物量的影响主要表现为农用地生物量损失。</w:t>
            </w:r>
          </w:p>
          <w:p w14:paraId="35CFC926">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本工程要求对所占农田的耕作层土壤剥离层集中堆放加以保留，待施工结束后用于所占土地的复垦，这将在一定程度上减小对区域土壤生产力的影响。施工期加强管理，严格控制施工面积，采取降低施工噪声、定期洒水以降低扬尘量等措施，基本可以使施工作业对植物的影响控制在较小范围内。而且施工作业仅对沿线植物产生影响，随着施工作业的结束，此种影响也随之消失。所以，工程对评价区植物资源影响不大。</w:t>
            </w:r>
          </w:p>
          <w:p w14:paraId="2E5A6522">
            <w:pPr>
              <w:spacing w:line="360" w:lineRule="auto"/>
              <w:ind w:firstLine="484" w:firstLineChars="202"/>
              <w:rPr>
                <w:rFonts w:ascii="Times New Roman" w:hAnsi="Times New Roman"/>
                <w:bCs/>
                <w:color w:val="auto"/>
                <w:sz w:val="24"/>
                <w:highlight w:val="none"/>
              </w:rPr>
            </w:pPr>
            <w:r>
              <w:rPr>
                <w:rFonts w:ascii="宋体" w:hAnsi="宋体"/>
                <w:bCs/>
                <w:color w:val="auto"/>
                <w:sz w:val="24"/>
                <w:highlight w:val="none"/>
              </w:rPr>
              <w:t>②</w:t>
            </w:r>
            <w:r>
              <w:rPr>
                <w:rFonts w:ascii="Times New Roman" w:hAnsi="宋体"/>
                <w:bCs/>
                <w:color w:val="auto"/>
                <w:sz w:val="24"/>
                <w:highlight w:val="none"/>
              </w:rPr>
              <w:t>对土壤的影响</w:t>
            </w:r>
          </w:p>
          <w:p w14:paraId="698BA38E">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工程对土壤的影响主要有两方面，一是工程排放的污染物对土壤质地性状的影响；二是工程建设期的开挖对土壤结构的破坏。对场地平整产生的剥离表层土应独立集中临时堆放，钻井结束后用于场地复垦回填用土。表层土堆放区应设置截、排水沟等严格的水保措施防止水土流失。通过对井场内排水沟、地表硬化处理和各池体采取防腐防渗处理，钻井废水和钻井泥浆对土壤影响很小，散落的废水和钻井泥浆对井场内小部分区域的土壤产生较严重破坏，但影响范围有限；井场地面采用钢板敷设，有效保护占地原表层土壤。对于被占地农户进行补偿，根据耕地不同作物的市场价格，与损失方协商后进行经济补偿。对于临时占地，钻井工程施工结束后，拆除临时设施，由建设方给予被占地农民经济补偿，委托其恢复地表植被或作物。随着工程施工的结束，生态保护和临时占地的植被恢复措施的进行，有效的保护和恢复措施能保证工程对井场周围的土壤和农作物的影响得到尽快的恢复。通过上述措施，本项目建设对项目所在地土壤环境影响在当地环境可接受范围内。</w:t>
            </w:r>
          </w:p>
          <w:p w14:paraId="68A8E33A">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w:t>
            </w:r>
            <w:r>
              <w:rPr>
                <w:rFonts w:hint="eastAsia" w:ascii="Times New Roman" w:hAnsi="Times New Roman"/>
                <w:bCs/>
                <w:color w:val="auto"/>
                <w:sz w:val="24"/>
                <w:highlight w:val="none"/>
              </w:rPr>
              <w:t>4</w:t>
            </w:r>
            <w:r>
              <w:rPr>
                <w:rFonts w:ascii="Times New Roman" w:hAnsi="Times New Roman"/>
                <w:bCs/>
                <w:color w:val="auto"/>
                <w:sz w:val="24"/>
                <w:highlight w:val="none"/>
              </w:rPr>
              <w:t>）对野生动物影响分析</w:t>
            </w:r>
          </w:p>
          <w:p w14:paraId="37BCAA4F">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拟建项目在施工过程中对野生动物的影响主要表现为工作人员的施工活动对动物栖息地生境的干扰和破坏；施工机械噪声对动物的干扰；会惊吓干扰植被中生活的某些野生动物。由于上述原因的影响，大部分两栖类和兽类迁移它处，远离项目区范围；一部分鸟类和爬行类动物会通过迁移和飞翔来避免项目采掘面下方结构层施工所造成的影响，导致项目区周围环境的动物数量有所减少，但是距离项目区较远的区域中被影响驱赶的动物会相对集中而重新分布，因此本项目对动物种类多样性和种群数量不会产生大的影响，更不会导致动物多样性降低。在工程完工后项目区施工噪声等影响减弱后又会回到原来比较适宜生存和活动的地域。总体上本项目对周围的野生动物有一定的干扰，但是对其生存及种群数量、种类影响很小。</w:t>
            </w:r>
          </w:p>
          <w:p w14:paraId="4E594D85">
            <w:pPr>
              <w:spacing w:line="360" w:lineRule="auto"/>
              <w:ind w:firstLine="484" w:firstLineChars="202"/>
              <w:rPr>
                <w:rFonts w:ascii="Times New Roman" w:hAnsi="Times New Roman"/>
                <w:bCs/>
                <w:color w:val="auto"/>
                <w:sz w:val="24"/>
                <w:highlight w:val="none"/>
              </w:rPr>
            </w:pPr>
            <w:r>
              <w:rPr>
                <w:rFonts w:ascii="Times New Roman" w:hAnsi="Times New Roman"/>
                <w:bCs/>
                <w:color w:val="auto"/>
                <w:sz w:val="24"/>
                <w:highlight w:val="none"/>
              </w:rPr>
              <w:t>此外，施工过程施工区的各种生产活动直接或间接干扰和破坏生态环境，降低地表植被覆盖度，使该区域内野生动物失去部分觅食地、栖息地和活动区域，迫使野生动物向周围迁移，对野生动物的生境产生一定的影响。加之施工吸纳外来人口，使对野生动物的人为干扰增多，造成区域动物种群数量减少。</w:t>
            </w:r>
          </w:p>
          <w:p w14:paraId="67A36771">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w:t>
            </w:r>
            <w:r>
              <w:rPr>
                <w:rFonts w:hint="eastAsia" w:ascii="Times New Roman" w:hAnsi="Times New Roman"/>
                <w:bCs/>
                <w:color w:val="auto"/>
                <w:sz w:val="24"/>
                <w:highlight w:val="none"/>
              </w:rPr>
              <w:t>5</w:t>
            </w:r>
            <w:r>
              <w:rPr>
                <w:rFonts w:ascii="Times New Roman" w:hAnsi="Times New Roman"/>
                <w:bCs/>
                <w:color w:val="auto"/>
                <w:sz w:val="24"/>
                <w:highlight w:val="none"/>
              </w:rPr>
              <w:t>）土地利用格局变化</w:t>
            </w:r>
          </w:p>
          <w:p w14:paraId="7AA73CAF">
            <w:pPr>
              <w:spacing w:line="360" w:lineRule="auto"/>
              <w:ind w:firstLine="480" w:firstLineChars="200"/>
              <w:rPr>
                <w:rFonts w:ascii="Times New Roman" w:hAnsi="Times New Roman"/>
                <w:bCs/>
                <w:color w:val="auto"/>
                <w:sz w:val="24"/>
                <w:highlight w:val="none"/>
              </w:rPr>
            </w:pPr>
            <w:r>
              <w:rPr>
                <w:rFonts w:ascii="Times New Roman" w:hAnsi="Times New Roman"/>
                <w:bCs/>
                <w:sz w:val="24"/>
              </w:rPr>
              <w:t>施工区土地利用类型主要为</w:t>
            </w:r>
            <w:r>
              <w:rPr>
                <w:rFonts w:hint="eastAsia" w:ascii="Times New Roman" w:hAnsi="Times New Roman"/>
                <w:bCs/>
                <w:sz w:val="24"/>
                <w:lang w:val="en-US" w:eastAsia="zh-CN"/>
              </w:rPr>
              <w:t>农用</w:t>
            </w:r>
            <w:r>
              <w:rPr>
                <w:rFonts w:ascii="Times New Roman" w:hAnsi="Times New Roman"/>
                <w:bCs/>
                <w:sz w:val="24"/>
              </w:rPr>
              <w:t>地，</w:t>
            </w:r>
            <w:r>
              <w:rPr>
                <w:rFonts w:ascii="Times New Roman" w:hAnsi="Times New Roman"/>
                <w:bCs/>
                <w:color w:val="auto"/>
                <w:sz w:val="24"/>
                <w:highlight w:val="none"/>
              </w:rPr>
              <w:t>均为临时土地，在施工期工作完毕后可在短时间内</w:t>
            </w:r>
            <w:r>
              <w:rPr>
                <w:rFonts w:hint="eastAsia" w:ascii="Times New Roman" w:hAnsi="Times New Roman"/>
                <w:bCs/>
                <w:color w:val="auto"/>
                <w:sz w:val="24"/>
                <w:highlight w:val="none"/>
              </w:rPr>
              <w:t>进行</w:t>
            </w:r>
            <w:r>
              <w:rPr>
                <w:rFonts w:ascii="Times New Roman" w:hAnsi="Times New Roman"/>
                <w:bCs/>
                <w:color w:val="auto"/>
                <w:sz w:val="24"/>
                <w:highlight w:val="none"/>
              </w:rPr>
              <w:t>复垦。因此，工程对土地利用格局产生的影响甚微。</w:t>
            </w:r>
          </w:p>
          <w:p w14:paraId="30B60801">
            <w:pPr>
              <w:spacing w:line="360" w:lineRule="auto"/>
              <w:rPr>
                <w:rFonts w:ascii="Times New Roman" w:hAnsi="Times New Roman"/>
                <w:color w:val="auto"/>
                <w:sz w:val="24"/>
                <w:highlight w:val="none"/>
              </w:rPr>
            </w:pPr>
            <w:r>
              <w:rPr>
                <w:rFonts w:ascii="Times New Roman" w:hAnsi="Times New Roman"/>
                <w:b/>
                <w:bCs/>
                <w:color w:val="auto"/>
                <w:kern w:val="0"/>
                <w:sz w:val="24"/>
                <w:highlight w:val="none"/>
              </w:rPr>
              <w:t>9、</w:t>
            </w:r>
            <w:r>
              <w:rPr>
                <w:rFonts w:ascii="Times New Roman" w:hAnsi="Times New Roman"/>
                <w:b/>
                <w:color w:val="auto"/>
                <w:sz w:val="24"/>
                <w:highlight w:val="none"/>
              </w:rPr>
              <w:t>环境风险分析</w:t>
            </w:r>
          </w:p>
          <w:p w14:paraId="547E4BBF">
            <w:pPr>
              <w:spacing w:line="360" w:lineRule="auto"/>
              <w:ind w:firstLine="542" w:firstLineChars="226"/>
              <w:rPr>
                <w:rFonts w:ascii="Times New Roman" w:hAnsi="Times New Roman"/>
                <w:color w:val="auto"/>
                <w:sz w:val="24"/>
                <w:highlight w:val="none"/>
              </w:rPr>
            </w:pPr>
            <w:r>
              <w:rPr>
                <w:rFonts w:hint="eastAsia" w:ascii="Times New Roman" w:hAnsi="Times New Roman"/>
                <w:color w:val="auto"/>
                <w:sz w:val="24"/>
                <w:highlight w:val="none"/>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16F2A4F">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b/>
                <w:color w:val="auto"/>
                <w:sz w:val="21"/>
                <w:szCs w:val="21"/>
                <w:highlight w:val="none"/>
              </w:rPr>
            </w:pPr>
            <w:r>
              <w:rPr>
                <w:rFonts w:hint="eastAsia" w:ascii="Times New Roman" w:hAnsi="Times New Roman"/>
                <w:color w:val="auto"/>
                <w:sz w:val="24"/>
                <w:highlight w:val="none"/>
              </w:rPr>
              <w:t>拟建项目使用的原辅材料主要为粘土、水泥、纤维素、腐殖酸等，项目涉及的环境风险物质为设备维修产生的废润滑油，其储存情况见下表</w:t>
            </w:r>
          </w:p>
          <w:p w14:paraId="7D94E3AA">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表4-</w:t>
            </w:r>
            <w:r>
              <w:rPr>
                <w:rFonts w:hint="eastAsia" w:ascii="Times New Roman" w:hAnsi="Times New Roman"/>
                <w:b/>
                <w:color w:val="auto"/>
                <w:sz w:val="21"/>
                <w:szCs w:val="21"/>
                <w:highlight w:val="none"/>
                <w:lang w:val="en-US" w:eastAsia="zh-CN"/>
              </w:rPr>
              <w:t xml:space="preserve">8  </w:t>
            </w:r>
            <w:r>
              <w:rPr>
                <w:rFonts w:ascii="Times New Roman" w:hAnsi="Times New Roman"/>
                <w:b/>
                <w:color w:val="auto"/>
                <w:sz w:val="21"/>
                <w:szCs w:val="21"/>
                <w:highlight w:val="none"/>
              </w:rPr>
              <w:t>本项目化学危险物质在线量及贮存量表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61"/>
              <w:gridCol w:w="1483"/>
              <w:gridCol w:w="34"/>
              <w:gridCol w:w="858"/>
              <w:gridCol w:w="1483"/>
              <w:gridCol w:w="878"/>
              <w:gridCol w:w="1485"/>
            </w:tblGrid>
            <w:tr w14:paraId="4032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ign w:val="center"/>
                </w:tcPr>
                <w:p w14:paraId="1BC3C9B5">
                  <w:pPr>
                    <w:jc w:val="center"/>
                    <w:rPr>
                      <w:rFonts w:ascii="Times New Roman" w:hAnsi="Times New Roman"/>
                      <w:b/>
                      <w:bCs/>
                      <w:color w:val="auto"/>
                      <w:szCs w:val="21"/>
                      <w:highlight w:val="none"/>
                    </w:rPr>
                  </w:pPr>
                  <w:r>
                    <w:rPr>
                      <w:rFonts w:ascii="Times New Roman" w:hAnsi="Times New Roman"/>
                      <w:b/>
                      <w:bCs/>
                      <w:color w:val="auto"/>
                      <w:szCs w:val="21"/>
                      <w:highlight w:val="none"/>
                    </w:rPr>
                    <w:t>序号</w:t>
                  </w:r>
                </w:p>
              </w:tc>
              <w:tc>
                <w:tcPr>
                  <w:tcW w:w="669" w:type="pct"/>
                  <w:noWrap/>
                  <w:vAlign w:val="center"/>
                </w:tcPr>
                <w:p w14:paraId="7100028F">
                  <w:pPr>
                    <w:jc w:val="center"/>
                    <w:rPr>
                      <w:rFonts w:hint="default"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井场编号</w:t>
                  </w:r>
                </w:p>
              </w:tc>
              <w:tc>
                <w:tcPr>
                  <w:tcW w:w="936" w:type="pct"/>
                  <w:noWrap/>
                  <w:vAlign w:val="center"/>
                </w:tcPr>
                <w:p w14:paraId="47E6CD86">
                  <w:pPr>
                    <w:jc w:val="center"/>
                    <w:rPr>
                      <w:rFonts w:ascii="Times New Roman" w:hAnsi="Times New Roman"/>
                      <w:b/>
                      <w:bCs/>
                      <w:color w:val="auto"/>
                      <w:szCs w:val="21"/>
                      <w:highlight w:val="none"/>
                    </w:rPr>
                  </w:pPr>
                  <w:r>
                    <w:rPr>
                      <w:rFonts w:ascii="Times New Roman" w:hAnsi="Times New Roman"/>
                      <w:b/>
                      <w:bCs/>
                      <w:color w:val="auto"/>
                      <w:szCs w:val="21"/>
                      <w:highlight w:val="none"/>
                    </w:rPr>
                    <w:t>危险物质名称</w:t>
                  </w:r>
                </w:p>
              </w:tc>
              <w:tc>
                <w:tcPr>
                  <w:tcW w:w="563" w:type="pct"/>
                  <w:gridSpan w:val="2"/>
                  <w:noWrap/>
                  <w:vAlign w:val="center"/>
                </w:tcPr>
                <w:p w14:paraId="57443AEA">
                  <w:pPr>
                    <w:jc w:val="center"/>
                    <w:rPr>
                      <w:rFonts w:ascii="Times New Roman" w:hAnsi="Times New Roman"/>
                      <w:b/>
                      <w:bCs/>
                      <w:color w:val="auto"/>
                      <w:szCs w:val="21"/>
                      <w:highlight w:val="none"/>
                    </w:rPr>
                  </w:pPr>
                  <w:r>
                    <w:rPr>
                      <w:rFonts w:ascii="Times New Roman" w:hAnsi="Times New Roman"/>
                      <w:b/>
                      <w:bCs/>
                      <w:color w:val="auto"/>
                      <w:szCs w:val="21"/>
                      <w:highlight w:val="none"/>
                    </w:rPr>
                    <w:t>CAS号</w:t>
                  </w:r>
                </w:p>
              </w:tc>
              <w:tc>
                <w:tcPr>
                  <w:tcW w:w="936" w:type="pct"/>
                  <w:noWrap/>
                  <w:vAlign w:val="center"/>
                </w:tcPr>
                <w:p w14:paraId="7F43F88F">
                  <w:pPr>
                    <w:jc w:val="center"/>
                    <w:rPr>
                      <w:rFonts w:ascii="Times New Roman" w:hAnsi="Times New Roman"/>
                      <w:b/>
                      <w:bCs/>
                      <w:color w:val="auto"/>
                      <w:szCs w:val="21"/>
                      <w:highlight w:val="none"/>
                    </w:rPr>
                  </w:pPr>
                  <w:r>
                    <w:rPr>
                      <w:rFonts w:ascii="Times New Roman" w:hAnsi="Times New Roman"/>
                      <w:b/>
                      <w:bCs/>
                      <w:color w:val="auto"/>
                      <w:szCs w:val="21"/>
                      <w:highlight w:val="none"/>
                    </w:rPr>
                    <w:t>最大存在总量</w:t>
                  </w:r>
                </w:p>
                <w:p w14:paraId="4A82AB3B">
                  <w:pPr>
                    <w:jc w:val="center"/>
                    <w:rPr>
                      <w:rFonts w:ascii="Times New Roman" w:hAnsi="Times New Roman"/>
                      <w:b/>
                      <w:bCs/>
                      <w:color w:val="auto"/>
                      <w:szCs w:val="21"/>
                      <w:highlight w:val="none"/>
                    </w:rPr>
                  </w:pPr>
                  <w:r>
                    <w:rPr>
                      <w:rFonts w:ascii="Times New Roman" w:hAnsi="Times New Roman"/>
                      <w:b/>
                      <w:bCs/>
                      <w:color w:val="auto"/>
                      <w:szCs w:val="21"/>
                      <w:highlight w:val="none"/>
                    </w:rPr>
                    <w:t>qn/t</w:t>
                  </w:r>
                </w:p>
              </w:tc>
              <w:tc>
                <w:tcPr>
                  <w:tcW w:w="554" w:type="pct"/>
                  <w:noWrap/>
                  <w:vAlign w:val="center"/>
                </w:tcPr>
                <w:p w14:paraId="12BB4AA9">
                  <w:pPr>
                    <w:jc w:val="center"/>
                    <w:rPr>
                      <w:rFonts w:ascii="Times New Roman" w:hAnsi="Times New Roman"/>
                      <w:b/>
                      <w:bCs/>
                      <w:color w:val="auto"/>
                      <w:szCs w:val="21"/>
                      <w:highlight w:val="none"/>
                    </w:rPr>
                  </w:pPr>
                  <w:r>
                    <w:rPr>
                      <w:rFonts w:ascii="Times New Roman" w:hAnsi="Times New Roman"/>
                      <w:b/>
                      <w:bCs/>
                      <w:color w:val="auto"/>
                      <w:szCs w:val="21"/>
                      <w:highlight w:val="none"/>
                    </w:rPr>
                    <w:t>临界量</w:t>
                  </w:r>
                </w:p>
                <w:p w14:paraId="0FE676C3">
                  <w:pPr>
                    <w:jc w:val="center"/>
                    <w:rPr>
                      <w:rFonts w:ascii="Times New Roman" w:hAnsi="Times New Roman"/>
                      <w:b/>
                      <w:bCs/>
                      <w:color w:val="auto"/>
                      <w:szCs w:val="21"/>
                      <w:highlight w:val="none"/>
                    </w:rPr>
                  </w:pPr>
                  <w:r>
                    <w:rPr>
                      <w:rFonts w:ascii="Times New Roman" w:hAnsi="Times New Roman"/>
                      <w:b/>
                      <w:bCs/>
                      <w:color w:val="auto"/>
                      <w:szCs w:val="21"/>
                      <w:highlight w:val="none"/>
                    </w:rPr>
                    <w:t>Qn/t</w:t>
                  </w:r>
                </w:p>
              </w:tc>
              <w:tc>
                <w:tcPr>
                  <w:tcW w:w="937" w:type="pct"/>
                  <w:noWrap/>
                  <w:vAlign w:val="center"/>
                </w:tcPr>
                <w:p w14:paraId="27245FC2">
                  <w:pPr>
                    <w:jc w:val="center"/>
                    <w:rPr>
                      <w:rFonts w:ascii="Times New Roman" w:hAnsi="Times New Roman"/>
                      <w:b/>
                      <w:bCs/>
                      <w:color w:val="auto"/>
                      <w:szCs w:val="21"/>
                      <w:highlight w:val="none"/>
                    </w:rPr>
                  </w:pPr>
                  <w:r>
                    <w:rPr>
                      <w:rFonts w:ascii="Times New Roman" w:hAnsi="Times New Roman"/>
                      <w:b/>
                      <w:bCs/>
                      <w:color w:val="auto"/>
                      <w:szCs w:val="21"/>
                      <w:highlight w:val="none"/>
                    </w:rPr>
                    <w:t>该种危险物质</w:t>
                  </w:r>
                </w:p>
                <w:p w14:paraId="2C151989">
                  <w:pPr>
                    <w:jc w:val="center"/>
                    <w:rPr>
                      <w:rFonts w:ascii="Times New Roman" w:hAnsi="Times New Roman"/>
                      <w:b/>
                      <w:bCs/>
                      <w:color w:val="auto"/>
                      <w:szCs w:val="21"/>
                      <w:highlight w:val="none"/>
                    </w:rPr>
                  </w:pPr>
                  <w:r>
                    <w:rPr>
                      <w:rFonts w:ascii="Times New Roman" w:hAnsi="Times New Roman"/>
                      <w:b/>
                      <w:bCs/>
                      <w:color w:val="auto"/>
                      <w:szCs w:val="21"/>
                      <w:highlight w:val="none"/>
                    </w:rPr>
                    <w:t>Q值</w:t>
                  </w:r>
                </w:p>
              </w:tc>
            </w:tr>
            <w:tr w14:paraId="5155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ign w:val="center"/>
                </w:tcPr>
                <w:p w14:paraId="3DA90D6C">
                  <w:pPr>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c>
                <w:tcPr>
                  <w:tcW w:w="669" w:type="pct"/>
                  <w:noWrap/>
                  <w:vAlign w:val="center"/>
                </w:tcPr>
                <w:p w14:paraId="5960E04D">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40-B7孔</w:t>
                  </w:r>
                </w:p>
              </w:tc>
              <w:tc>
                <w:tcPr>
                  <w:tcW w:w="936" w:type="pct"/>
                  <w:noWrap/>
                  <w:vAlign w:val="center"/>
                </w:tcPr>
                <w:p w14:paraId="26B6A2CA">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废润滑油</w:t>
                  </w:r>
                </w:p>
              </w:tc>
              <w:tc>
                <w:tcPr>
                  <w:tcW w:w="563" w:type="pct"/>
                  <w:gridSpan w:val="2"/>
                  <w:noWrap/>
                  <w:vAlign w:val="center"/>
                </w:tcPr>
                <w:p w14:paraId="71CDFEA3">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w:t>
                  </w:r>
                </w:p>
              </w:tc>
              <w:tc>
                <w:tcPr>
                  <w:tcW w:w="936" w:type="pct"/>
                  <w:noWrap/>
                  <w:vAlign w:val="center"/>
                </w:tcPr>
                <w:p w14:paraId="3EB91499">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bCs/>
                      <w:color w:val="000000" w:themeColor="text1"/>
                      <w:szCs w:val="21"/>
                      <w:highlight w:val="none"/>
                      <w:lang w:val="en-US" w:eastAsia="zh-CN"/>
                      <w14:textFill>
                        <w14:solidFill>
                          <w14:schemeClr w14:val="tx1"/>
                        </w14:solidFill>
                      </w14:textFill>
                    </w:rPr>
                    <w:t>0.01</w:t>
                  </w:r>
                </w:p>
              </w:tc>
              <w:tc>
                <w:tcPr>
                  <w:tcW w:w="554" w:type="pct"/>
                  <w:noWrap/>
                  <w:vAlign w:val="center"/>
                </w:tcPr>
                <w:p w14:paraId="44B1F12D">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2500</w:t>
                  </w:r>
                </w:p>
              </w:tc>
              <w:tc>
                <w:tcPr>
                  <w:tcW w:w="937" w:type="pct"/>
                  <w:noWrap/>
                  <w:vAlign w:val="center"/>
                </w:tcPr>
                <w:p w14:paraId="3B2FF002">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0.0000</w:t>
                  </w:r>
                  <w:r>
                    <w:rPr>
                      <w:rFonts w:hint="eastAsia" w:ascii="Times New Roman" w:hAnsi="Times New Roman"/>
                      <w:color w:val="000000" w:themeColor="text1"/>
                      <w:szCs w:val="21"/>
                      <w:highlight w:val="none"/>
                      <w:lang w:val="en-US" w:eastAsia="zh-CN"/>
                      <w14:textFill>
                        <w14:solidFill>
                          <w14:schemeClr w14:val="tx1"/>
                        </w14:solidFill>
                      </w14:textFill>
                    </w:rPr>
                    <w:t>04</w:t>
                  </w:r>
                </w:p>
              </w:tc>
            </w:tr>
            <w:tr w14:paraId="2B83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2" w:type="pct"/>
                  <w:gridSpan w:val="7"/>
                  <w:noWrap/>
                  <w:vAlign w:val="center"/>
                </w:tcPr>
                <w:p w14:paraId="70013B30">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项目Q值∑</w:t>
                  </w:r>
                </w:p>
              </w:tc>
              <w:tc>
                <w:tcPr>
                  <w:tcW w:w="937" w:type="pct"/>
                  <w:noWrap/>
                  <w:vAlign w:val="center"/>
                </w:tcPr>
                <w:p w14:paraId="0335CB44">
                  <w:pPr>
                    <w:jc w:val="center"/>
                    <w:rPr>
                      <w:rFonts w:hint="eastAsia" w:ascii="Times New Roman" w:hAnsi="Times New Roman"/>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0.0000</w:t>
                  </w:r>
                  <w:r>
                    <w:rPr>
                      <w:rFonts w:hint="eastAsia" w:ascii="Times New Roman" w:hAnsi="Times New Roman"/>
                      <w:color w:val="000000" w:themeColor="text1"/>
                      <w:szCs w:val="21"/>
                      <w:highlight w:val="none"/>
                      <w:lang w:val="en-US" w:eastAsia="zh-CN"/>
                      <w14:textFill>
                        <w14:solidFill>
                          <w14:schemeClr w14:val="tx1"/>
                        </w14:solidFill>
                      </w14:textFill>
                    </w:rPr>
                    <w:t>04</w:t>
                  </w:r>
                </w:p>
              </w:tc>
            </w:tr>
            <w:tr w14:paraId="095B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ign w:val="center"/>
                </w:tcPr>
                <w:p w14:paraId="657DB0D4">
                  <w:pPr>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2</w:t>
                  </w:r>
                </w:p>
              </w:tc>
              <w:tc>
                <w:tcPr>
                  <w:tcW w:w="669" w:type="pct"/>
                  <w:noWrap/>
                  <w:vAlign w:val="center"/>
                </w:tcPr>
                <w:p w14:paraId="19C96156">
                  <w:pPr>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39-B8孔</w:t>
                  </w:r>
                </w:p>
              </w:tc>
              <w:tc>
                <w:tcPr>
                  <w:tcW w:w="936" w:type="pct"/>
                  <w:shd w:val="clear" w:color="auto" w:fill="auto"/>
                  <w:noWrap/>
                  <w:vAlign w:val="center"/>
                </w:tcPr>
                <w:p w14:paraId="05AAB445">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废润滑油</w:t>
                  </w:r>
                </w:p>
              </w:tc>
              <w:tc>
                <w:tcPr>
                  <w:tcW w:w="563" w:type="pct"/>
                  <w:gridSpan w:val="2"/>
                  <w:shd w:val="clear" w:color="auto" w:fill="auto"/>
                  <w:noWrap/>
                  <w:vAlign w:val="center"/>
                </w:tcPr>
                <w:p w14:paraId="24A7B083">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w:t>
                  </w:r>
                </w:p>
              </w:tc>
              <w:tc>
                <w:tcPr>
                  <w:tcW w:w="936" w:type="pct"/>
                  <w:shd w:val="clear" w:color="auto" w:fill="auto"/>
                  <w:noWrap/>
                  <w:vAlign w:val="center"/>
                </w:tcPr>
                <w:p w14:paraId="016E203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bCs/>
                      <w:color w:val="000000" w:themeColor="text1"/>
                      <w:szCs w:val="21"/>
                      <w:highlight w:val="none"/>
                      <w:lang w:val="en-US" w:eastAsia="zh-CN"/>
                      <w14:textFill>
                        <w14:solidFill>
                          <w14:schemeClr w14:val="tx1"/>
                        </w14:solidFill>
                      </w14:textFill>
                    </w:rPr>
                    <w:t>0.01</w:t>
                  </w:r>
                </w:p>
              </w:tc>
              <w:tc>
                <w:tcPr>
                  <w:tcW w:w="554" w:type="pct"/>
                  <w:shd w:val="clear" w:color="auto" w:fill="auto"/>
                  <w:noWrap/>
                  <w:vAlign w:val="center"/>
                </w:tcPr>
                <w:p w14:paraId="75B95C70">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2500</w:t>
                  </w:r>
                </w:p>
              </w:tc>
              <w:tc>
                <w:tcPr>
                  <w:tcW w:w="937" w:type="pct"/>
                  <w:noWrap/>
                  <w:vAlign w:val="center"/>
                </w:tcPr>
                <w:p w14:paraId="2C013163">
                  <w:pPr>
                    <w:jc w:val="center"/>
                    <w:rPr>
                      <w:rFonts w:hint="eastAsia" w:ascii="Times New Roman" w:hAnsi="Times New Roman"/>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0.0000</w:t>
                  </w:r>
                  <w:r>
                    <w:rPr>
                      <w:rFonts w:hint="eastAsia" w:ascii="Times New Roman" w:hAnsi="Times New Roman"/>
                      <w:color w:val="000000" w:themeColor="text1"/>
                      <w:szCs w:val="21"/>
                      <w:highlight w:val="none"/>
                      <w:lang w:val="en-US" w:eastAsia="zh-CN"/>
                      <w14:textFill>
                        <w14:solidFill>
                          <w14:schemeClr w14:val="tx1"/>
                        </w14:solidFill>
                      </w14:textFill>
                    </w:rPr>
                    <w:t>04</w:t>
                  </w:r>
                </w:p>
              </w:tc>
            </w:tr>
            <w:tr w14:paraId="0C79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2" w:type="pct"/>
                  <w:gridSpan w:val="7"/>
                  <w:shd w:val="clear" w:color="auto" w:fill="auto"/>
                  <w:noWrap/>
                  <w:vAlign w:val="center"/>
                </w:tcPr>
                <w:p w14:paraId="71F8B549">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项目Q值∑</w:t>
                  </w:r>
                </w:p>
              </w:tc>
              <w:tc>
                <w:tcPr>
                  <w:tcW w:w="937" w:type="pct"/>
                  <w:shd w:val="clear" w:color="auto" w:fill="auto"/>
                  <w:noWrap/>
                  <w:vAlign w:val="center"/>
                </w:tcPr>
                <w:p w14:paraId="18F39B3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0.0000</w:t>
                  </w:r>
                  <w:r>
                    <w:rPr>
                      <w:rFonts w:hint="eastAsia" w:ascii="Times New Roman" w:hAnsi="Times New Roman"/>
                      <w:color w:val="000000" w:themeColor="text1"/>
                      <w:szCs w:val="21"/>
                      <w:highlight w:val="none"/>
                      <w:lang w:val="en-US" w:eastAsia="zh-CN"/>
                      <w14:textFill>
                        <w14:solidFill>
                          <w14:schemeClr w14:val="tx1"/>
                        </w14:solidFill>
                      </w14:textFill>
                    </w:rPr>
                    <w:t>04</w:t>
                  </w:r>
                </w:p>
              </w:tc>
            </w:tr>
            <w:tr w14:paraId="2637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shd w:val="clear" w:color="auto" w:fill="auto"/>
                  <w:noWrap/>
                  <w:vAlign w:val="center"/>
                </w:tcPr>
                <w:p w14:paraId="7EC1538A">
                  <w:pPr>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3</w:t>
                  </w:r>
                </w:p>
              </w:tc>
              <w:tc>
                <w:tcPr>
                  <w:tcW w:w="669" w:type="pct"/>
                  <w:shd w:val="clear" w:color="auto" w:fill="auto"/>
                  <w:noWrap/>
                  <w:vAlign w:val="center"/>
                </w:tcPr>
                <w:p w14:paraId="63AB3C14">
                  <w:pPr>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奥灰-1孔</w:t>
                  </w:r>
                </w:p>
              </w:tc>
              <w:tc>
                <w:tcPr>
                  <w:tcW w:w="957" w:type="pct"/>
                  <w:gridSpan w:val="2"/>
                  <w:shd w:val="clear" w:color="auto" w:fill="auto"/>
                  <w:noWrap/>
                  <w:vAlign w:val="center"/>
                </w:tcPr>
                <w:p w14:paraId="490464CD">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废润滑油</w:t>
                  </w:r>
                </w:p>
              </w:tc>
              <w:tc>
                <w:tcPr>
                  <w:tcW w:w="541" w:type="pct"/>
                  <w:shd w:val="clear" w:color="auto" w:fill="auto"/>
                  <w:noWrap/>
                  <w:vAlign w:val="center"/>
                </w:tcPr>
                <w:p w14:paraId="25FF743C">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w:t>
                  </w:r>
                </w:p>
              </w:tc>
              <w:tc>
                <w:tcPr>
                  <w:tcW w:w="936" w:type="pct"/>
                  <w:shd w:val="clear" w:color="auto" w:fill="auto"/>
                  <w:noWrap/>
                  <w:vAlign w:val="center"/>
                </w:tcPr>
                <w:p w14:paraId="57D1520F">
                  <w:pPr>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bCs/>
                      <w:color w:val="000000" w:themeColor="text1"/>
                      <w:szCs w:val="21"/>
                      <w:highlight w:val="none"/>
                      <w:lang w:val="en-US" w:eastAsia="zh-CN"/>
                      <w14:textFill>
                        <w14:solidFill>
                          <w14:schemeClr w14:val="tx1"/>
                        </w14:solidFill>
                      </w14:textFill>
                    </w:rPr>
                    <w:t>0.01</w:t>
                  </w:r>
                </w:p>
              </w:tc>
              <w:tc>
                <w:tcPr>
                  <w:tcW w:w="554" w:type="pct"/>
                  <w:shd w:val="clear" w:color="auto" w:fill="auto"/>
                  <w:noWrap/>
                  <w:vAlign w:val="center"/>
                </w:tcPr>
                <w:p w14:paraId="7F29207B">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2500</w:t>
                  </w:r>
                </w:p>
              </w:tc>
              <w:tc>
                <w:tcPr>
                  <w:tcW w:w="937" w:type="pct"/>
                  <w:shd w:val="clear" w:color="auto" w:fill="auto"/>
                  <w:noWrap/>
                  <w:vAlign w:val="center"/>
                </w:tcPr>
                <w:p w14:paraId="32F20297">
                  <w:pPr>
                    <w:jc w:val="center"/>
                    <w:rPr>
                      <w:rFonts w:hint="eastAsia" w:ascii="Times New Roman" w:hAnsi="Times New Roman"/>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0.0000</w:t>
                  </w:r>
                  <w:r>
                    <w:rPr>
                      <w:rFonts w:hint="eastAsia" w:ascii="Times New Roman" w:hAnsi="Times New Roman"/>
                      <w:color w:val="000000" w:themeColor="text1"/>
                      <w:szCs w:val="21"/>
                      <w:highlight w:val="none"/>
                      <w:lang w:val="en-US" w:eastAsia="zh-CN"/>
                      <w14:textFill>
                        <w14:solidFill>
                          <w14:schemeClr w14:val="tx1"/>
                        </w14:solidFill>
                      </w14:textFill>
                    </w:rPr>
                    <w:t>04</w:t>
                  </w:r>
                </w:p>
              </w:tc>
            </w:tr>
            <w:tr w14:paraId="2802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2" w:type="pct"/>
                  <w:gridSpan w:val="7"/>
                  <w:shd w:val="clear" w:color="auto" w:fill="auto"/>
                  <w:noWrap/>
                  <w:vAlign w:val="center"/>
                </w:tcPr>
                <w:p w14:paraId="4E799D18">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项目Q值∑</w:t>
                  </w:r>
                </w:p>
              </w:tc>
              <w:tc>
                <w:tcPr>
                  <w:tcW w:w="937" w:type="pct"/>
                  <w:shd w:val="clear" w:color="auto" w:fill="auto"/>
                  <w:noWrap/>
                  <w:vAlign w:val="center"/>
                </w:tcPr>
                <w:p w14:paraId="24533DF4">
                  <w:pPr>
                    <w:jc w:val="center"/>
                    <w:rPr>
                      <w:rFonts w:hint="eastAsia" w:ascii="Times New Roman" w:hAnsi="Times New Roman"/>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eastAsia="zh-CN"/>
                      <w14:textFill>
                        <w14:solidFill>
                          <w14:schemeClr w14:val="tx1"/>
                        </w14:solidFill>
                      </w14:textFill>
                    </w:rPr>
                    <w:t>0.0000</w:t>
                  </w:r>
                  <w:r>
                    <w:rPr>
                      <w:rFonts w:hint="eastAsia" w:ascii="Times New Roman" w:hAnsi="Times New Roman"/>
                      <w:color w:val="000000" w:themeColor="text1"/>
                      <w:szCs w:val="21"/>
                      <w:highlight w:val="none"/>
                      <w:lang w:val="en-US" w:eastAsia="zh-CN"/>
                      <w14:textFill>
                        <w14:solidFill>
                          <w14:schemeClr w14:val="tx1"/>
                        </w14:solidFill>
                      </w14:textFill>
                    </w:rPr>
                    <w:t>04</w:t>
                  </w:r>
                </w:p>
              </w:tc>
            </w:tr>
          </w:tbl>
          <w:p w14:paraId="76BD170E">
            <w:pPr>
              <w:spacing w:line="360" w:lineRule="auto"/>
              <w:ind w:firstLine="480" w:firstLineChars="200"/>
              <w:rPr>
                <w:rFonts w:ascii="Times New Roman" w:hAnsi="Times New Roman"/>
                <w:color w:val="auto"/>
                <w:sz w:val="24"/>
                <w:highlight w:val="none"/>
              </w:rPr>
            </w:pPr>
            <w:r>
              <w:rPr>
                <w:rFonts w:ascii="Times New Roman" w:hAnsi="Times New Roman"/>
                <w:color w:val="000000" w:themeColor="text1"/>
                <w:sz w:val="24"/>
                <w:highlight w:val="none"/>
                <w14:textFill>
                  <w14:solidFill>
                    <w14:schemeClr w14:val="tx1"/>
                  </w14:solidFill>
                </w14:textFill>
              </w:rPr>
              <w:t>评价工作等级划分见下表。</w:t>
            </w:r>
          </w:p>
          <w:p w14:paraId="1B243434">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表4-</w:t>
            </w:r>
            <w:r>
              <w:rPr>
                <w:rFonts w:hint="eastAsia" w:ascii="Times New Roman" w:hAnsi="Times New Roman"/>
                <w:b/>
                <w:color w:val="auto"/>
                <w:sz w:val="21"/>
                <w:szCs w:val="21"/>
                <w:highlight w:val="none"/>
                <w:lang w:val="en-US" w:eastAsia="zh-CN"/>
              </w:rPr>
              <w:t>9</w:t>
            </w:r>
            <w:r>
              <w:rPr>
                <w:rFonts w:hint="eastAsia" w:ascii="Times New Roman" w:hAnsi="Times New Roman"/>
                <w:b/>
                <w:color w:val="auto"/>
                <w:sz w:val="21"/>
                <w:szCs w:val="21"/>
                <w:highlight w:val="none"/>
              </w:rPr>
              <w:t xml:space="preserve"> </w:t>
            </w:r>
            <w:r>
              <w:rPr>
                <w:rFonts w:ascii="Times New Roman" w:hAnsi="Times New Roman"/>
                <w:b/>
                <w:color w:val="auto"/>
                <w:sz w:val="21"/>
                <w:szCs w:val="21"/>
                <w:highlight w:val="none"/>
              </w:rPr>
              <w:t xml:space="preserve"> 评价工作等级划分</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669"/>
              <w:gridCol w:w="1585"/>
              <w:gridCol w:w="1585"/>
              <w:gridCol w:w="1586"/>
            </w:tblGrid>
            <w:tr w14:paraId="7D709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ign w:val="center"/>
                </w:tcPr>
                <w:p w14:paraId="45566740">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环境风险潜势</w:t>
                  </w: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5135BC4A">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Ⅳ/Ⅳ</w:t>
                  </w:r>
                  <w:r>
                    <w:rPr>
                      <w:rFonts w:ascii="Times New Roman" w:hAnsi="Times New Roman"/>
                      <w:b/>
                      <w:bCs/>
                      <w:color w:val="auto"/>
                      <w:szCs w:val="21"/>
                      <w:highlight w:val="none"/>
                      <w:vertAlign w:val="superscript"/>
                    </w:rPr>
                    <w:t>+</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42483CBA">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Ⅲ</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4F446B2B">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Ⅱ</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2F2225E1">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Ⅰ</w:t>
                  </w:r>
                </w:p>
              </w:tc>
            </w:tr>
            <w:tr w14:paraId="1EDA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ign w:val="center"/>
                </w:tcPr>
                <w:p w14:paraId="61D086B5">
                  <w:pPr>
                    <w:snapToGrid w:val="0"/>
                    <w:jc w:val="center"/>
                    <w:rPr>
                      <w:rFonts w:ascii="Times New Roman" w:hAnsi="Times New Roman"/>
                      <w:color w:val="auto"/>
                      <w:szCs w:val="21"/>
                      <w:highlight w:val="none"/>
                    </w:rPr>
                  </w:pPr>
                  <w:r>
                    <w:rPr>
                      <w:rFonts w:ascii="Times New Roman" w:hAnsi="Times New Roman"/>
                      <w:color w:val="auto"/>
                      <w:szCs w:val="21"/>
                      <w:highlight w:val="none"/>
                    </w:rPr>
                    <w:t>评价工作等级</w:t>
                  </w: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2FADEDB2">
                  <w:pPr>
                    <w:snapToGrid w:val="0"/>
                    <w:jc w:val="center"/>
                    <w:rPr>
                      <w:rFonts w:ascii="Times New Roman" w:hAnsi="Times New Roman"/>
                      <w:color w:val="auto"/>
                      <w:szCs w:val="21"/>
                      <w:highlight w:val="none"/>
                    </w:rPr>
                  </w:pPr>
                  <w:r>
                    <w:rPr>
                      <w:rFonts w:ascii="Times New Roman" w:hAnsi="Times New Roman"/>
                      <w:color w:val="auto"/>
                      <w:szCs w:val="21"/>
                      <w:highlight w:val="none"/>
                    </w:rPr>
                    <w:t>一</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0AE8A264">
                  <w:pPr>
                    <w:snapToGrid w:val="0"/>
                    <w:jc w:val="center"/>
                    <w:rPr>
                      <w:rFonts w:ascii="Times New Roman" w:hAnsi="Times New Roman"/>
                      <w:color w:val="auto"/>
                      <w:szCs w:val="21"/>
                      <w:highlight w:val="none"/>
                    </w:rPr>
                  </w:pPr>
                  <w:r>
                    <w:rPr>
                      <w:rFonts w:ascii="Times New Roman" w:hAnsi="Times New Roman"/>
                      <w:color w:val="auto"/>
                      <w:szCs w:val="21"/>
                      <w:highlight w:val="none"/>
                    </w:rPr>
                    <w:t>二</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10B372F4">
                  <w:pPr>
                    <w:snapToGrid w:val="0"/>
                    <w:jc w:val="center"/>
                    <w:rPr>
                      <w:rFonts w:ascii="Times New Roman" w:hAnsi="Times New Roman"/>
                      <w:color w:val="auto"/>
                      <w:szCs w:val="21"/>
                      <w:highlight w:val="none"/>
                    </w:rPr>
                  </w:pPr>
                  <w:r>
                    <w:rPr>
                      <w:rFonts w:ascii="Times New Roman" w:hAnsi="Times New Roman"/>
                      <w:color w:val="auto"/>
                      <w:szCs w:val="21"/>
                      <w:highlight w:val="none"/>
                    </w:rPr>
                    <w:t>三</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74D410BF">
                  <w:pPr>
                    <w:snapToGrid w:val="0"/>
                    <w:jc w:val="center"/>
                    <w:rPr>
                      <w:rFonts w:ascii="Times New Roman" w:hAnsi="Times New Roman"/>
                      <w:color w:val="auto"/>
                      <w:szCs w:val="21"/>
                      <w:highlight w:val="none"/>
                    </w:rPr>
                  </w:pPr>
                  <w:r>
                    <w:rPr>
                      <w:rFonts w:ascii="Times New Roman" w:hAnsi="Times New Roman"/>
                      <w:color w:val="auto"/>
                      <w:szCs w:val="21"/>
                      <w:highlight w:val="none"/>
                    </w:rPr>
                    <w:t>简单分析</w:t>
                  </w:r>
                  <w:r>
                    <w:rPr>
                      <w:rFonts w:ascii="Times New Roman" w:hAnsi="Times New Roman"/>
                      <w:color w:val="auto"/>
                      <w:szCs w:val="21"/>
                      <w:highlight w:val="none"/>
                      <w:vertAlign w:val="superscript"/>
                    </w:rPr>
                    <w:t>a</w:t>
                  </w:r>
                </w:p>
              </w:tc>
            </w:tr>
            <w:tr w14:paraId="1F4EE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20" w:type="dxa"/>
                  <w:gridSpan w:val="5"/>
                  <w:tcBorders>
                    <w:top w:val="single" w:color="000000" w:sz="4" w:space="0"/>
                    <w:left w:val="single" w:color="000000" w:sz="4" w:space="0"/>
                    <w:bottom w:val="single" w:color="000000" w:sz="4" w:space="0"/>
                    <w:right w:val="single" w:color="000000" w:sz="4" w:space="0"/>
                  </w:tcBorders>
                  <w:noWrap/>
                  <w:vAlign w:val="center"/>
                </w:tcPr>
                <w:p w14:paraId="70E68A57">
                  <w:pPr>
                    <w:snapToGrid w:val="0"/>
                    <w:jc w:val="left"/>
                    <w:rPr>
                      <w:rFonts w:ascii="Times New Roman" w:hAnsi="Times New Roman"/>
                      <w:color w:val="auto"/>
                      <w:sz w:val="18"/>
                      <w:szCs w:val="18"/>
                      <w:highlight w:val="none"/>
                    </w:rPr>
                  </w:pPr>
                  <w:r>
                    <w:rPr>
                      <w:rFonts w:ascii="Times New Roman" w:hAnsi="Times New Roman"/>
                      <w:color w:val="auto"/>
                      <w:sz w:val="18"/>
                      <w:szCs w:val="18"/>
                      <w:highlight w:val="none"/>
                    </w:rPr>
                    <w:t>a是相对于详细评价工作内容而言，在描述危险物质、环境影响途径、环境危害后果、风险防范措施等方面给出定性的说明。</w:t>
                  </w:r>
                </w:p>
              </w:tc>
            </w:tr>
          </w:tbl>
          <w:p w14:paraId="4125C9A6">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根据《建设项目环境风险评价技术导则》（HJ169-2018）相关规定，本项目风险潜势为Ⅰ，</w:t>
            </w:r>
            <w:r>
              <w:rPr>
                <w:rFonts w:hint="eastAsia" w:ascii="Times New Roman" w:hAnsi="Times New Roman"/>
                <w:color w:val="auto"/>
                <w:sz w:val="24"/>
                <w:highlight w:val="none"/>
                <w:lang w:val="en-US" w:eastAsia="zh-CN"/>
              </w:rPr>
              <w:t>各个井场</w:t>
            </w:r>
            <w:r>
              <w:rPr>
                <w:rFonts w:ascii="Times New Roman" w:hAnsi="Times New Roman"/>
                <w:color w:val="auto"/>
                <w:sz w:val="24"/>
                <w:highlight w:val="none"/>
              </w:rPr>
              <w:t>评价等级</w:t>
            </w:r>
            <w:r>
              <w:rPr>
                <w:rFonts w:hint="eastAsia" w:ascii="Times New Roman" w:hAnsi="Times New Roman"/>
                <w:color w:val="auto"/>
                <w:sz w:val="24"/>
                <w:highlight w:val="none"/>
                <w:lang w:val="en-US" w:eastAsia="zh-CN"/>
              </w:rPr>
              <w:t>均</w:t>
            </w:r>
            <w:r>
              <w:rPr>
                <w:rFonts w:ascii="Times New Roman" w:hAnsi="Times New Roman"/>
                <w:color w:val="auto"/>
                <w:sz w:val="24"/>
                <w:highlight w:val="none"/>
              </w:rPr>
              <w:t>为简单分析。</w:t>
            </w:r>
          </w:p>
          <w:p w14:paraId="07DFFA5C">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本项目施工期间可能存在的环境风险为危险废物（废润滑油）泄漏，项目危废</w:t>
            </w:r>
            <w:r>
              <w:rPr>
                <w:rFonts w:hint="eastAsia" w:ascii="Times New Roman" w:hAnsi="Times New Roman"/>
                <w:color w:val="auto"/>
                <w:sz w:val="24"/>
                <w:highlight w:val="none"/>
                <w:lang w:val="en-US" w:eastAsia="zh-CN"/>
              </w:rPr>
              <w:t>暂存于各井场</w:t>
            </w:r>
            <w:r>
              <w:rPr>
                <w:rFonts w:hint="eastAsia" w:ascii="Times New Roman" w:hAnsi="Times New Roman"/>
                <w:color w:val="auto"/>
                <w:sz w:val="24"/>
                <w:highlight w:val="none"/>
                <w:lang w:eastAsia="zh-CN"/>
              </w:rPr>
              <w:t>危废暂存间</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危废暂存间</w:t>
            </w:r>
            <w:r>
              <w:rPr>
                <w:rFonts w:hint="eastAsia" w:ascii="Times New Roman" w:hAnsi="Times New Roman"/>
                <w:color w:val="auto"/>
                <w:sz w:val="24"/>
                <w:highlight w:val="none"/>
              </w:rPr>
              <w:t>建设</w:t>
            </w:r>
            <w:r>
              <w:rPr>
                <w:rFonts w:hint="eastAsia" w:ascii="Times New Roman" w:hAnsi="Times New Roman"/>
                <w:color w:val="auto"/>
                <w:sz w:val="24"/>
                <w:highlight w:val="none"/>
                <w:lang w:val="en-US" w:eastAsia="zh-CN"/>
              </w:rPr>
              <w:t>应</w:t>
            </w:r>
            <w:r>
              <w:rPr>
                <w:rFonts w:hint="eastAsia" w:ascii="Times New Roman" w:hAnsi="Times New Roman"/>
                <w:color w:val="auto"/>
                <w:sz w:val="24"/>
                <w:highlight w:val="none"/>
              </w:rPr>
              <w:t>满足</w:t>
            </w:r>
            <w:r>
              <w:rPr>
                <w:rFonts w:hint="eastAsia" w:ascii="Times New Roman" w:hAnsi="Times New Roman"/>
                <w:color w:val="auto"/>
                <w:sz w:val="24"/>
                <w:highlight w:val="none"/>
                <w:lang w:val="en-US" w:eastAsia="zh-CN"/>
              </w:rPr>
              <w:t>防雨、防渗</w:t>
            </w:r>
            <w:r>
              <w:rPr>
                <w:rFonts w:hint="eastAsia" w:ascii="Times New Roman" w:hAnsi="Times New Roman"/>
                <w:color w:val="auto"/>
                <w:sz w:val="24"/>
                <w:highlight w:val="none"/>
              </w:rPr>
              <w:t>要求，项目发生危废泄漏的可能性很小，即使发生少量泄漏也能进行有效收集，不会对周边环境产生影响。项目施工竖井钻孔过程中下入套管，并用水泥固结牢固，使用的水泥及钻井泥浆均不属于环境风险物质，且浆液输送采用密闭的管道进行输送，不会发生冒浆跑浆事件。</w:t>
            </w:r>
          </w:p>
          <w:p w14:paraId="300082D9">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建设单位在施工时还应着重做好以下措施，防范环境风险：</w:t>
            </w:r>
          </w:p>
          <w:p w14:paraId="5DCB72B0">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建立健全管理机制和机构，全面落实安全生产责任制，并严格执行。补充和完善现有的安全管理制度、岗位安全操作规程和作业安全规程。严格执行安全监督检查制度。认真做好用油设备的日查、周查、月查安全检查记录，对发现的异常情况安全隐患必须及时报告并在符合安全条件的情况下立即整改。</w:t>
            </w:r>
          </w:p>
          <w:p w14:paraId="3C3167E9">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（2）加强对职工的安全、环保、事故应急处理、消防、个人安全防护知识和职工操作技能的教育培训工作。实行全员培训，定期考核、持证上岗。</w:t>
            </w:r>
          </w:p>
          <w:p w14:paraId="2AE5A2A4">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（3）严格危废管理，规范收集，及时处置，尽量减少危废在施工场地的暂存时间。</w:t>
            </w:r>
          </w:p>
          <w:p w14:paraId="40A1FB05">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（4）为防止钻井过程中可能发生的</w:t>
            </w:r>
            <w:r>
              <w:rPr>
                <w:rFonts w:hint="eastAsia" w:ascii="Times New Roman" w:hAnsi="Times New Roman"/>
                <w:color w:val="auto"/>
                <w:sz w:val="24"/>
                <w:highlight w:val="none"/>
                <w:lang w:val="en-US" w:eastAsia="zh-CN"/>
              </w:rPr>
              <w:t>煤</w:t>
            </w:r>
            <w:r>
              <w:rPr>
                <w:rFonts w:hint="eastAsia" w:ascii="Times New Roman" w:hAnsi="Times New Roman"/>
                <w:color w:val="auto"/>
                <w:sz w:val="24"/>
                <w:highlight w:val="none"/>
              </w:rPr>
              <w:t>气溢出，在钻井井口需设置甲烷气体监测设备，并在</w:t>
            </w:r>
            <w:r>
              <w:rPr>
                <w:rFonts w:hint="eastAsia" w:ascii="Times New Roman" w:hAnsi="Times New Roman"/>
                <w:color w:val="auto"/>
                <w:sz w:val="24"/>
                <w:highlight w:val="none"/>
                <w:lang w:val="en-US" w:eastAsia="zh-CN"/>
              </w:rPr>
              <w:t>井场内</w:t>
            </w:r>
            <w:r>
              <w:rPr>
                <w:rFonts w:hint="eastAsia" w:ascii="Times New Roman" w:hAnsi="Times New Roman"/>
                <w:color w:val="auto"/>
                <w:sz w:val="24"/>
                <w:highlight w:val="none"/>
              </w:rPr>
              <w:t>设置灭火器材。严格管理火种，划定禁火区，严禁携带火种进入禁火区内。</w:t>
            </w:r>
          </w:p>
          <w:p w14:paraId="7A0253F6">
            <w:pPr>
              <w:pStyle w:val="46"/>
              <w:ind w:firstLine="480"/>
              <w:jc w:val="both"/>
              <w:rPr>
                <w:rFonts w:ascii="Times New Roman" w:hAnsi="Times New Roman"/>
                <w:b/>
                <w:color w:val="auto"/>
                <w:sz w:val="21"/>
                <w:szCs w:val="21"/>
                <w:highlight w:val="none"/>
                <w:lang w:eastAsia="zh-CN"/>
              </w:rPr>
            </w:pPr>
            <w:r>
              <w:rPr>
                <w:rFonts w:ascii="Times New Roman" w:hAnsi="Times New Roman"/>
                <w:color w:val="auto"/>
                <w:sz w:val="24"/>
                <w:szCs w:val="24"/>
                <w:highlight w:val="none"/>
                <w:lang w:eastAsia="zh-CN"/>
              </w:rPr>
              <w:t>本工程环境风险简单分析表见下表。</w:t>
            </w:r>
          </w:p>
          <w:p w14:paraId="02A12289">
            <w:pPr>
              <w:pStyle w:val="31"/>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b/>
                <w:color w:val="auto"/>
                <w:sz w:val="21"/>
                <w:szCs w:val="21"/>
                <w:highlight w:val="none"/>
                <w:lang w:eastAsia="zh-CN"/>
              </w:rPr>
            </w:pPr>
            <w:r>
              <w:rPr>
                <w:rFonts w:hint="default" w:ascii="Times New Roman" w:hAnsi="Times New Roman"/>
                <w:b/>
                <w:color w:val="auto"/>
                <w:sz w:val="21"/>
                <w:szCs w:val="21"/>
                <w:highlight w:val="none"/>
                <w:lang w:eastAsia="zh-CN"/>
              </w:rPr>
              <w:t>表4-</w:t>
            </w:r>
            <w:r>
              <w:rPr>
                <w:rFonts w:ascii="Times New Roman" w:hAnsi="Times New Roman"/>
                <w:b/>
                <w:color w:val="auto"/>
                <w:sz w:val="21"/>
                <w:szCs w:val="21"/>
                <w:highlight w:val="none"/>
                <w:lang w:eastAsia="zh-CN"/>
              </w:rPr>
              <w:t>1</w:t>
            </w:r>
            <w:r>
              <w:rPr>
                <w:rFonts w:hint="eastAsia" w:ascii="Times New Roman" w:hAnsi="Times New Roman"/>
                <w:b/>
                <w:color w:val="auto"/>
                <w:sz w:val="21"/>
                <w:szCs w:val="21"/>
                <w:highlight w:val="none"/>
                <w:lang w:val="en-US" w:eastAsia="zh-CN"/>
              </w:rPr>
              <w:t xml:space="preserve">0  </w:t>
            </w:r>
            <w:r>
              <w:rPr>
                <w:rFonts w:hint="default" w:ascii="Times New Roman" w:hAnsi="Times New Roman"/>
                <w:b/>
                <w:color w:val="auto"/>
                <w:sz w:val="21"/>
                <w:szCs w:val="21"/>
                <w:highlight w:val="none"/>
                <w:lang w:eastAsia="zh-CN"/>
              </w:rPr>
              <w:t>建设项目环境风险简单分析内容表</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0"/>
              <w:gridCol w:w="1411"/>
              <w:gridCol w:w="1407"/>
              <w:gridCol w:w="1278"/>
              <w:gridCol w:w="1272"/>
              <w:gridCol w:w="1152"/>
            </w:tblGrid>
            <w:tr w14:paraId="54AC1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ign w:val="center"/>
                </w:tcPr>
                <w:p w14:paraId="2C3457EB">
                  <w:pPr>
                    <w:jc w:val="center"/>
                    <w:rPr>
                      <w:rFonts w:ascii="Times New Roman" w:hAnsi="Times New Roman"/>
                      <w:b/>
                      <w:bCs/>
                      <w:color w:val="auto"/>
                      <w:szCs w:val="21"/>
                      <w:highlight w:val="none"/>
                    </w:rPr>
                  </w:pPr>
                  <w:r>
                    <w:rPr>
                      <w:rFonts w:ascii="Times New Roman" w:hAnsi="Times New Roman"/>
                      <w:b/>
                      <w:bCs/>
                      <w:color w:val="auto"/>
                      <w:szCs w:val="21"/>
                      <w:highlight w:val="none"/>
                    </w:rPr>
                    <w:t>建设项目名称</w:t>
                  </w:r>
                </w:p>
              </w:tc>
              <w:tc>
                <w:tcPr>
                  <w:tcW w:w="6520" w:type="dxa"/>
                  <w:gridSpan w:val="5"/>
                  <w:tcBorders>
                    <w:top w:val="single" w:color="000000" w:sz="4" w:space="0"/>
                    <w:left w:val="single" w:color="000000" w:sz="4" w:space="0"/>
                    <w:bottom w:val="single" w:color="000000" w:sz="4" w:space="0"/>
                    <w:right w:val="single" w:color="000000" w:sz="4" w:space="0"/>
                  </w:tcBorders>
                  <w:noWrap/>
                  <w:vAlign w:val="center"/>
                </w:tcPr>
                <w:p w14:paraId="0F8D2B64">
                  <w:pPr>
                    <w:jc w:val="center"/>
                    <w:rPr>
                      <w:rFonts w:hint="eastAsia" w:ascii="Times New Roman" w:hAnsi="Times New Roman" w:eastAsia="宋体"/>
                      <w:b/>
                      <w:bCs/>
                      <w:color w:val="auto"/>
                      <w:szCs w:val="21"/>
                      <w:highlight w:val="none"/>
                      <w:lang w:eastAsia="zh-CN"/>
                    </w:rPr>
                  </w:pPr>
                  <w:r>
                    <w:rPr>
                      <w:rFonts w:hint="eastAsia" w:ascii="Times New Roman" w:hAnsi="Times New Roman"/>
                      <w:b/>
                      <w:bCs/>
                      <w:color w:val="auto"/>
                      <w:szCs w:val="21"/>
                      <w:highlight w:val="none"/>
                      <w:lang w:eastAsia="zh-CN"/>
                    </w:rPr>
                    <w:t>朱集西矿地面补勘钻孔及奥灰长观孔项目</w:t>
                  </w:r>
                </w:p>
              </w:tc>
            </w:tr>
            <w:tr w14:paraId="45C51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ign w:val="center"/>
                </w:tcPr>
                <w:p w14:paraId="3EC0137C">
                  <w:pPr>
                    <w:jc w:val="center"/>
                    <w:rPr>
                      <w:rFonts w:ascii="Times New Roman" w:hAnsi="Times New Roman"/>
                      <w:color w:val="auto"/>
                      <w:szCs w:val="21"/>
                      <w:highlight w:val="none"/>
                    </w:rPr>
                  </w:pPr>
                  <w:r>
                    <w:rPr>
                      <w:rFonts w:ascii="Times New Roman" w:hAnsi="Times New Roman"/>
                      <w:color w:val="auto"/>
                      <w:szCs w:val="21"/>
                      <w:highlight w:val="none"/>
                    </w:rPr>
                    <w:t>建设地点</w:t>
                  </w:r>
                </w:p>
              </w:tc>
              <w:tc>
                <w:tcPr>
                  <w:tcW w:w="1411" w:type="dxa"/>
                  <w:tcBorders>
                    <w:top w:val="single" w:color="000000" w:sz="4" w:space="0"/>
                    <w:left w:val="single" w:color="000000" w:sz="4" w:space="0"/>
                    <w:bottom w:val="single" w:color="000000" w:sz="4" w:space="0"/>
                    <w:right w:val="single" w:color="000000" w:sz="4" w:space="0"/>
                  </w:tcBorders>
                  <w:noWrap/>
                  <w:vAlign w:val="center"/>
                </w:tcPr>
                <w:p w14:paraId="0CDE8FAF">
                  <w:pPr>
                    <w:jc w:val="center"/>
                    <w:rPr>
                      <w:rFonts w:ascii="Times New Roman" w:hAnsi="Times New Roman"/>
                      <w:color w:val="auto"/>
                      <w:szCs w:val="21"/>
                      <w:highlight w:val="none"/>
                    </w:rPr>
                  </w:pPr>
                  <w:r>
                    <w:rPr>
                      <w:rFonts w:ascii="Times New Roman" w:hAnsi="Times New Roman"/>
                      <w:color w:val="auto"/>
                      <w:szCs w:val="21"/>
                      <w:highlight w:val="none"/>
                    </w:rPr>
                    <w:t>（安徽）省</w:t>
                  </w: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637BFF40">
                  <w:pPr>
                    <w:jc w:val="center"/>
                    <w:rPr>
                      <w:rFonts w:ascii="Times New Roman" w:hAnsi="Times New Roman"/>
                      <w:color w:val="auto"/>
                      <w:szCs w:val="21"/>
                      <w:highlight w:val="none"/>
                    </w:rPr>
                  </w:pPr>
                  <w:r>
                    <w:rPr>
                      <w:rFonts w:ascii="Times New Roman" w:hAnsi="Times New Roman"/>
                      <w:color w:val="auto"/>
                      <w:szCs w:val="21"/>
                      <w:highlight w:val="none"/>
                    </w:rPr>
                    <w:t>（淮南）市</w:t>
                  </w:r>
                </w:p>
              </w:tc>
              <w:tc>
                <w:tcPr>
                  <w:tcW w:w="1278" w:type="dxa"/>
                  <w:tcBorders>
                    <w:top w:val="single" w:color="000000" w:sz="4" w:space="0"/>
                    <w:left w:val="single" w:color="000000" w:sz="4" w:space="0"/>
                    <w:bottom w:val="single" w:color="000000" w:sz="4" w:space="0"/>
                    <w:right w:val="single" w:color="000000" w:sz="4" w:space="0"/>
                  </w:tcBorders>
                  <w:noWrap/>
                  <w:vAlign w:val="center"/>
                </w:tcPr>
                <w:p w14:paraId="26DE49EE">
                  <w:pPr>
                    <w:jc w:val="center"/>
                    <w:rPr>
                      <w:rFonts w:ascii="Times New Roman" w:hAnsi="Times New Roman"/>
                      <w:color w:val="auto"/>
                      <w:szCs w:val="21"/>
                      <w:highlight w:val="none"/>
                    </w:rPr>
                  </w:pPr>
                  <w:r>
                    <w:rPr>
                      <w:rFonts w:ascii="Times New Roman" w:hAnsi="Times New Roman"/>
                      <w:color w:val="auto"/>
                      <w:szCs w:val="21"/>
                      <w:highlight w:val="none"/>
                    </w:rPr>
                    <w:t>（潘集）区</w:t>
                  </w:r>
                </w:p>
              </w:tc>
              <w:tc>
                <w:tcPr>
                  <w:tcW w:w="1272" w:type="dxa"/>
                  <w:tcBorders>
                    <w:top w:val="single" w:color="000000" w:sz="4" w:space="0"/>
                    <w:left w:val="single" w:color="000000" w:sz="4" w:space="0"/>
                    <w:bottom w:val="single" w:color="000000" w:sz="4" w:space="0"/>
                    <w:right w:val="single" w:color="000000" w:sz="4" w:space="0"/>
                  </w:tcBorders>
                  <w:noWrap/>
                  <w:vAlign w:val="center"/>
                </w:tcPr>
                <w:p w14:paraId="3E820159">
                  <w:pPr>
                    <w:jc w:val="center"/>
                    <w:rPr>
                      <w:rFonts w:ascii="Times New Roman" w:hAnsi="Times New Roman"/>
                      <w:color w:val="auto"/>
                      <w:szCs w:val="21"/>
                      <w:highlight w:val="none"/>
                    </w:rPr>
                  </w:pP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w:t>
                  </w:r>
                  <w:r>
                    <w:rPr>
                      <w:rFonts w:ascii="Times New Roman" w:hAnsi="Times New Roman"/>
                      <w:color w:val="auto"/>
                      <w:szCs w:val="21"/>
                      <w:highlight w:val="none"/>
                    </w:rPr>
                    <w:t>）县</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70A7BC80">
                  <w:pPr>
                    <w:jc w:val="center"/>
                    <w:rPr>
                      <w:rFonts w:ascii="Times New Roman" w:hAnsi="Times New Roman"/>
                      <w:color w:val="auto"/>
                      <w:szCs w:val="21"/>
                      <w:highlight w:val="none"/>
                    </w:rPr>
                  </w:pP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w:t>
                  </w:r>
                  <w:r>
                    <w:rPr>
                      <w:rFonts w:ascii="Times New Roman" w:hAnsi="Times New Roman"/>
                      <w:color w:val="auto"/>
                      <w:szCs w:val="21"/>
                      <w:highlight w:val="none"/>
                    </w:rPr>
                    <w:t>）园区</w:t>
                  </w:r>
                </w:p>
              </w:tc>
            </w:tr>
            <w:tr w14:paraId="571C4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ign w:val="center"/>
                </w:tcPr>
                <w:p w14:paraId="57420FEB">
                  <w:pPr>
                    <w:jc w:val="center"/>
                    <w:rPr>
                      <w:rFonts w:ascii="Times New Roman" w:hAnsi="Times New Roman"/>
                      <w:color w:val="auto"/>
                      <w:szCs w:val="21"/>
                      <w:highlight w:val="none"/>
                    </w:rPr>
                  </w:pPr>
                  <w:r>
                    <w:rPr>
                      <w:rFonts w:ascii="Times New Roman" w:hAnsi="Times New Roman"/>
                      <w:color w:val="auto"/>
                      <w:szCs w:val="21"/>
                      <w:highlight w:val="none"/>
                    </w:rPr>
                    <w:t>主要危险物质及分布</w:t>
                  </w:r>
                </w:p>
              </w:tc>
              <w:tc>
                <w:tcPr>
                  <w:tcW w:w="6520" w:type="dxa"/>
                  <w:gridSpan w:val="5"/>
                  <w:tcBorders>
                    <w:top w:val="single" w:color="000000" w:sz="4" w:space="0"/>
                    <w:left w:val="single" w:color="000000" w:sz="4" w:space="0"/>
                    <w:bottom w:val="single" w:color="000000" w:sz="4" w:space="0"/>
                    <w:right w:val="single" w:color="000000" w:sz="4" w:space="0"/>
                  </w:tcBorders>
                  <w:noWrap/>
                  <w:vAlign w:val="center"/>
                </w:tcPr>
                <w:p w14:paraId="2570F001">
                  <w:pPr>
                    <w:jc w:val="left"/>
                    <w:rPr>
                      <w:rFonts w:ascii="Times New Roman" w:hAnsi="Times New Roman"/>
                      <w:color w:val="auto"/>
                      <w:szCs w:val="21"/>
                      <w:highlight w:val="none"/>
                    </w:rPr>
                  </w:pPr>
                  <w:r>
                    <w:rPr>
                      <w:rFonts w:ascii="Times New Roman" w:hAnsi="Times New Roman"/>
                      <w:color w:val="auto"/>
                      <w:szCs w:val="21"/>
                      <w:highlight w:val="none"/>
                    </w:rPr>
                    <w:t>本工程施工期涉及的危险物质主要为废润滑油</w:t>
                  </w:r>
                  <w:r>
                    <w:rPr>
                      <w:rFonts w:hint="eastAsia" w:ascii="Times New Roman" w:hAnsi="Times New Roman"/>
                      <w:color w:val="auto"/>
                      <w:szCs w:val="21"/>
                      <w:highlight w:val="none"/>
                    </w:rPr>
                    <w:t>及</w:t>
                  </w:r>
                  <w:r>
                    <w:rPr>
                      <w:rFonts w:ascii="Times New Roman" w:hAnsi="Times New Roman"/>
                      <w:color w:val="auto"/>
                      <w:szCs w:val="21"/>
                      <w:highlight w:val="none"/>
                    </w:rPr>
                    <w:t>钻井过程中可能发生的甲烷气体溢出</w:t>
                  </w:r>
                </w:p>
              </w:tc>
            </w:tr>
            <w:tr w14:paraId="29315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6" w:hRule="atLeast"/>
              </w:trPr>
              <w:tc>
                <w:tcPr>
                  <w:tcW w:w="1400" w:type="dxa"/>
                  <w:tcBorders>
                    <w:top w:val="single" w:color="000000" w:sz="4" w:space="0"/>
                    <w:left w:val="single" w:color="000000" w:sz="4" w:space="0"/>
                    <w:bottom w:val="single" w:color="000000" w:sz="4" w:space="0"/>
                    <w:right w:val="single" w:color="000000" w:sz="4" w:space="0"/>
                  </w:tcBorders>
                  <w:noWrap/>
                  <w:vAlign w:val="center"/>
                </w:tcPr>
                <w:p w14:paraId="5BD7B6A0">
                  <w:pPr>
                    <w:jc w:val="center"/>
                    <w:rPr>
                      <w:rFonts w:ascii="Times New Roman" w:hAnsi="Times New Roman"/>
                      <w:color w:val="auto"/>
                      <w:szCs w:val="21"/>
                      <w:highlight w:val="none"/>
                    </w:rPr>
                  </w:pPr>
                  <w:r>
                    <w:rPr>
                      <w:rFonts w:ascii="Times New Roman" w:hAnsi="Times New Roman"/>
                      <w:color w:val="auto"/>
                      <w:szCs w:val="21"/>
                      <w:highlight w:val="none"/>
                    </w:rPr>
                    <w:t>环境影响途径及危害后果（大气、地表水、地下水等）</w:t>
                  </w:r>
                </w:p>
              </w:tc>
              <w:tc>
                <w:tcPr>
                  <w:tcW w:w="6520" w:type="dxa"/>
                  <w:gridSpan w:val="5"/>
                  <w:tcBorders>
                    <w:top w:val="single" w:color="000000" w:sz="4" w:space="0"/>
                    <w:left w:val="single" w:color="000000" w:sz="4" w:space="0"/>
                    <w:bottom w:val="single" w:color="000000" w:sz="4" w:space="0"/>
                    <w:right w:val="single" w:color="000000" w:sz="4" w:space="0"/>
                  </w:tcBorders>
                  <w:noWrap/>
                  <w:vAlign w:val="center"/>
                </w:tcPr>
                <w:p w14:paraId="028CE4A6">
                  <w:pPr>
                    <w:jc w:val="left"/>
                    <w:rPr>
                      <w:rFonts w:ascii="Times New Roman" w:hAnsi="Times New Roman"/>
                      <w:color w:val="auto"/>
                      <w:szCs w:val="21"/>
                      <w:highlight w:val="none"/>
                    </w:rPr>
                  </w:pPr>
                  <w:r>
                    <w:rPr>
                      <w:rFonts w:ascii="Times New Roman" w:hAnsi="Times New Roman"/>
                      <w:color w:val="auto"/>
                      <w:szCs w:val="21"/>
                      <w:highlight w:val="none"/>
                    </w:rPr>
                    <w:t>本工程风险源主要为危险物质泄漏。</w:t>
                  </w:r>
                  <w:r>
                    <w:rPr>
                      <w:rFonts w:hint="eastAsia" w:ascii="Times New Roman" w:hAnsi="Times New Roman"/>
                      <w:color w:val="auto"/>
                      <w:szCs w:val="21"/>
                      <w:highlight w:val="none"/>
                    </w:rPr>
                    <w:t>废润滑油如不采取防滴漏、泄露等措施，可能会导致废润滑油泄露，对周边环境造成污染</w:t>
                  </w:r>
                  <w:r>
                    <w:rPr>
                      <w:rFonts w:ascii="Times New Roman" w:hAnsi="Times New Roman"/>
                      <w:color w:val="auto"/>
                      <w:szCs w:val="21"/>
                      <w:highlight w:val="none"/>
                    </w:rPr>
                    <w:t>。钻井过程中可能发生的甲烷气体溢出可能引起火灾爆炸</w:t>
                  </w:r>
                  <w:r>
                    <w:rPr>
                      <w:rFonts w:hint="eastAsia" w:ascii="Times New Roman" w:hAnsi="Times New Roman"/>
                      <w:color w:val="auto"/>
                      <w:szCs w:val="21"/>
                      <w:highlight w:val="none"/>
                    </w:rPr>
                    <w:t>。</w:t>
                  </w:r>
                </w:p>
              </w:tc>
            </w:tr>
            <w:tr w14:paraId="7B14D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1400" w:type="dxa"/>
                  <w:tcBorders>
                    <w:top w:val="single" w:color="000000" w:sz="4" w:space="0"/>
                    <w:left w:val="single" w:color="000000" w:sz="4" w:space="0"/>
                    <w:bottom w:val="single" w:color="auto" w:sz="4" w:space="0"/>
                    <w:right w:val="single" w:color="000000" w:sz="4" w:space="0"/>
                  </w:tcBorders>
                  <w:noWrap/>
                  <w:vAlign w:val="center"/>
                </w:tcPr>
                <w:p w14:paraId="48495C76">
                  <w:pPr>
                    <w:jc w:val="center"/>
                    <w:rPr>
                      <w:rFonts w:ascii="Times New Roman" w:hAnsi="Times New Roman"/>
                      <w:color w:val="auto"/>
                      <w:szCs w:val="21"/>
                      <w:highlight w:val="none"/>
                    </w:rPr>
                  </w:pPr>
                  <w:r>
                    <w:rPr>
                      <w:rFonts w:ascii="Times New Roman" w:hAnsi="Times New Roman"/>
                      <w:color w:val="auto"/>
                      <w:szCs w:val="21"/>
                      <w:highlight w:val="none"/>
                    </w:rPr>
                    <w:t>风险防范措施要求</w:t>
                  </w:r>
                </w:p>
              </w:tc>
              <w:tc>
                <w:tcPr>
                  <w:tcW w:w="6520" w:type="dxa"/>
                  <w:gridSpan w:val="5"/>
                  <w:tcBorders>
                    <w:top w:val="single" w:color="000000" w:sz="4" w:space="0"/>
                    <w:left w:val="single" w:color="000000" w:sz="4" w:space="0"/>
                    <w:bottom w:val="single" w:color="auto" w:sz="4" w:space="0"/>
                    <w:right w:val="single" w:color="000000" w:sz="4" w:space="0"/>
                  </w:tcBorders>
                  <w:noWrap/>
                  <w:vAlign w:val="center"/>
                </w:tcPr>
                <w:p w14:paraId="7DD2E167">
                  <w:pPr>
                    <w:rPr>
                      <w:rFonts w:ascii="Times New Roman" w:hAnsi="Times New Roman"/>
                      <w:color w:val="auto"/>
                      <w:szCs w:val="21"/>
                      <w:highlight w:val="none"/>
                    </w:rPr>
                  </w:pPr>
                  <w:r>
                    <w:rPr>
                      <w:rFonts w:ascii="Times New Roman" w:hAnsi="Times New Roman"/>
                      <w:color w:val="auto"/>
                      <w:szCs w:val="21"/>
                      <w:highlight w:val="none"/>
                    </w:rPr>
                    <w:t>1.发生事故时，应及时组织人群转移。</w:t>
                  </w:r>
                </w:p>
                <w:p w14:paraId="1A3327FF">
                  <w:pPr>
                    <w:rPr>
                      <w:rFonts w:ascii="Times New Roman" w:hAnsi="Times New Roman"/>
                      <w:color w:val="auto"/>
                      <w:szCs w:val="21"/>
                      <w:highlight w:val="none"/>
                    </w:rPr>
                  </w:pPr>
                  <w:r>
                    <w:rPr>
                      <w:rFonts w:ascii="Times New Roman" w:hAnsi="Times New Roman"/>
                      <w:color w:val="auto"/>
                      <w:szCs w:val="21"/>
                      <w:highlight w:val="none"/>
                    </w:rPr>
                    <w:t xml:space="preserve">2.各井场场地按相关要求规定进行防渗措施。 </w:t>
                  </w:r>
                </w:p>
                <w:p w14:paraId="6278F107">
                  <w:pPr>
                    <w:pStyle w:val="31"/>
                    <w:rPr>
                      <w:color w:val="auto"/>
                      <w:sz w:val="21"/>
                      <w:szCs w:val="21"/>
                      <w:highlight w:val="none"/>
                    </w:rPr>
                  </w:pPr>
                  <w:r>
                    <w:rPr>
                      <w:rFonts w:hint="eastAsia" w:ascii="Times New Roman" w:hAnsi="Times New Roman"/>
                      <w:color w:val="auto"/>
                      <w:kern w:val="2"/>
                      <w:sz w:val="21"/>
                      <w:szCs w:val="21"/>
                      <w:highlight w:val="none"/>
                    </w:rPr>
                    <w:t>3.</w:t>
                  </w:r>
                  <w:r>
                    <w:rPr>
                      <w:rFonts w:ascii="Times New Roman" w:hAnsi="Times New Roman"/>
                      <w:color w:val="auto"/>
                      <w:kern w:val="2"/>
                      <w:sz w:val="21"/>
                      <w:szCs w:val="21"/>
                      <w:highlight w:val="none"/>
                    </w:rPr>
                    <w:t>为防止钻井过程中可能发生的</w:t>
                  </w:r>
                  <w:r>
                    <w:rPr>
                      <w:rFonts w:hint="eastAsia" w:ascii="Times New Roman" w:hAnsi="Times New Roman"/>
                      <w:color w:val="auto"/>
                      <w:kern w:val="2"/>
                      <w:sz w:val="21"/>
                      <w:szCs w:val="21"/>
                      <w:highlight w:val="none"/>
                      <w:lang w:val="en-US" w:eastAsia="zh-CN"/>
                    </w:rPr>
                    <w:t>煤气</w:t>
                  </w:r>
                  <w:r>
                    <w:rPr>
                      <w:rFonts w:ascii="Times New Roman" w:hAnsi="Times New Roman"/>
                      <w:color w:val="auto"/>
                      <w:kern w:val="2"/>
                      <w:sz w:val="21"/>
                      <w:szCs w:val="21"/>
                      <w:highlight w:val="none"/>
                    </w:rPr>
                    <w:t>溢出</w:t>
                  </w:r>
                  <w:r>
                    <w:rPr>
                      <w:rFonts w:hint="eastAsia" w:ascii="Times New Roman" w:hAnsi="Times New Roman"/>
                      <w:color w:val="auto"/>
                      <w:kern w:val="2"/>
                      <w:sz w:val="21"/>
                      <w:szCs w:val="21"/>
                      <w:highlight w:val="none"/>
                    </w:rPr>
                    <w:t>，在</w:t>
                  </w:r>
                  <w:r>
                    <w:rPr>
                      <w:rFonts w:ascii="Times New Roman" w:hAnsi="Times New Roman"/>
                      <w:color w:val="auto"/>
                      <w:kern w:val="2"/>
                      <w:sz w:val="21"/>
                      <w:szCs w:val="21"/>
                      <w:highlight w:val="none"/>
                    </w:rPr>
                    <w:t>钻井井口需设置甲烷气体监测设备</w:t>
                  </w:r>
                  <w:r>
                    <w:rPr>
                      <w:rFonts w:hint="eastAsia" w:ascii="Times New Roman" w:hAnsi="Times New Roman"/>
                      <w:color w:val="auto"/>
                      <w:kern w:val="2"/>
                      <w:sz w:val="21"/>
                      <w:szCs w:val="21"/>
                      <w:highlight w:val="none"/>
                    </w:rPr>
                    <w:t>，</w:t>
                  </w:r>
                  <w:r>
                    <w:rPr>
                      <w:rFonts w:ascii="Times New Roman" w:hAnsi="Times New Roman"/>
                      <w:color w:val="auto"/>
                      <w:kern w:val="2"/>
                      <w:sz w:val="21"/>
                      <w:szCs w:val="21"/>
                      <w:highlight w:val="none"/>
                    </w:rPr>
                    <w:t>并在钻井平台设置灭火器材。严格管理火种，划定禁火区，严禁携带火种进入禁火区内</w:t>
                  </w:r>
                  <w:r>
                    <w:rPr>
                      <w:rFonts w:hint="eastAsia" w:ascii="Times New Roman" w:hAnsi="Times New Roman"/>
                      <w:color w:val="auto"/>
                      <w:kern w:val="2"/>
                      <w:sz w:val="21"/>
                      <w:szCs w:val="21"/>
                      <w:highlight w:val="none"/>
                    </w:rPr>
                    <w:t>。</w:t>
                  </w:r>
                </w:p>
              </w:tc>
            </w:tr>
          </w:tbl>
          <w:p w14:paraId="55B3AFC4">
            <w:pPr>
              <w:pStyle w:val="6"/>
              <w:spacing w:line="360" w:lineRule="auto"/>
              <w:ind w:firstLine="482"/>
              <w:rPr>
                <w:rFonts w:ascii="Times New Roman" w:hAnsi="Times New Roman"/>
                <w:b/>
                <w:bCs/>
                <w:color w:val="auto"/>
                <w:sz w:val="24"/>
                <w:highlight w:val="none"/>
              </w:rPr>
            </w:pPr>
            <w:r>
              <w:rPr>
                <w:rFonts w:ascii="Times New Roman" w:hAnsi="Times New Roman"/>
                <w:b/>
                <w:bCs/>
                <w:color w:val="auto"/>
                <w:kern w:val="0"/>
                <w:sz w:val="24"/>
                <w:highlight w:val="none"/>
              </w:rPr>
              <w:t>10、</w:t>
            </w:r>
            <w:r>
              <w:rPr>
                <w:rFonts w:ascii="Times New Roman" w:hAnsi="Times New Roman"/>
                <w:b/>
                <w:bCs/>
                <w:color w:val="auto"/>
                <w:sz w:val="24"/>
                <w:highlight w:val="none"/>
              </w:rPr>
              <w:t>临时道路恢复措施</w:t>
            </w:r>
          </w:p>
          <w:p w14:paraId="59C7D054">
            <w:pPr>
              <w:spacing w:line="360" w:lineRule="auto"/>
              <w:ind w:firstLine="480" w:firstLineChars="200"/>
              <w:rPr>
                <w:rFonts w:hint="eastAsia" w:ascii="Times New Roman" w:hAnsi="Times New Roman" w:eastAsia="宋体"/>
                <w:bCs/>
                <w:color w:val="auto"/>
                <w:szCs w:val="21"/>
                <w:highlight w:val="none"/>
                <w:lang w:eastAsia="zh-CN"/>
              </w:rPr>
            </w:pPr>
            <w:r>
              <w:rPr>
                <w:rFonts w:ascii="Times New Roman" w:hAnsi="Times New Roman"/>
                <w:sz w:val="24"/>
              </w:rPr>
              <w:t>施工结束后，新增施工区道路恢复原有地貌</w:t>
            </w:r>
            <w:r>
              <w:rPr>
                <w:rFonts w:hint="eastAsia" w:ascii="Times New Roman" w:hAnsi="Times New Roman"/>
                <w:sz w:val="24"/>
                <w:lang w:eastAsia="zh-CN"/>
              </w:rPr>
              <w:t>。</w:t>
            </w:r>
          </w:p>
        </w:tc>
      </w:tr>
      <w:tr w14:paraId="31C33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5" w:hRule="atLeast"/>
          <w:jc w:val="center"/>
        </w:trPr>
        <w:tc>
          <w:tcPr>
            <w:tcW w:w="456" w:type="dxa"/>
            <w:noWrap/>
            <w:tcMar>
              <w:left w:w="28" w:type="dxa"/>
              <w:right w:w="28" w:type="dxa"/>
            </w:tcMar>
            <w:vAlign w:val="center"/>
          </w:tcPr>
          <w:p w14:paraId="32121AAE">
            <w:pPr>
              <w:pStyle w:val="21"/>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hAnsi="Times New Roman"/>
                <w:bCs/>
                <w:color w:val="auto"/>
                <w:spacing w:val="10"/>
                <w:kern w:val="2"/>
                <w:szCs w:val="24"/>
                <w:highlight w:val="none"/>
              </w:rPr>
              <w:t>运营期生态环境影响分析</w:t>
            </w:r>
          </w:p>
        </w:tc>
        <w:tc>
          <w:tcPr>
            <w:tcW w:w="8146" w:type="dxa"/>
            <w:noWrap/>
          </w:tcPr>
          <w:p w14:paraId="152FD0F2">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本项目施工期结束后，将拆除施工现场其它建筑物后并恢复施工占地土地利用类型。因此，本项目的生态环境的影响主要表现在施工期，不涉及运营期生态环境影响。</w:t>
            </w:r>
          </w:p>
        </w:tc>
      </w:tr>
      <w:tr w14:paraId="6BB6B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56" w:type="dxa"/>
            <w:noWrap/>
            <w:vAlign w:val="center"/>
          </w:tcPr>
          <w:p w14:paraId="08C1812F">
            <w:pPr>
              <w:pStyle w:val="21"/>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hAnsi="Times New Roman"/>
                <w:bCs/>
                <w:color w:val="auto"/>
                <w:kern w:val="2"/>
                <w:szCs w:val="24"/>
                <w:highlight w:val="none"/>
              </w:rPr>
              <w:t>选址选线环境合理性分析</w:t>
            </w:r>
          </w:p>
        </w:tc>
        <w:tc>
          <w:tcPr>
            <w:tcW w:w="8146" w:type="dxa"/>
            <w:noWrap/>
          </w:tcPr>
          <w:p w14:paraId="02714125">
            <w:pPr>
              <w:spacing w:line="360" w:lineRule="auto"/>
              <w:ind w:firstLine="480" w:firstLineChars="200"/>
              <w:rPr>
                <w:rFonts w:ascii="Times New Roman" w:hAnsi="Times New Roman"/>
                <w:sz w:val="24"/>
              </w:rPr>
            </w:pPr>
            <w:r>
              <w:rPr>
                <w:rFonts w:ascii="Times New Roman" w:hAnsi="Times New Roman"/>
                <w:sz w:val="24"/>
                <w:highlight w:val="none"/>
              </w:rPr>
              <w:t>项目临时用地面积为</w:t>
            </w:r>
            <w:r>
              <w:rPr>
                <w:rFonts w:hint="eastAsia" w:ascii="Times New Roman" w:hAnsi="Times New Roman"/>
                <w:sz w:val="24"/>
                <w:highlight w:val="none"/>
                <w:lang w:eastAsia="zh-CN"/>
              </w:rPr>
              <w:t>2949</w:t>
            </w:r>
            <w:r>
              <w:rPr>
                <w:rFonts w:ascii="Times New Roman" w:hAnsi="Times New Roman"/>
                <w:sz w:val="24"/>
                <w:highlight w:val="none"/>
              </w:rPr>
              <w:t>m</w:t>
            </w:r>
            <w:r>
              <w:rPr>
                <w:rFonts w:ascii="Times New Roman" w:hAnsi="Times New Roman"/>
                <w:sz w:val="24"/>
                <w:highlight w:val="none"/>
                <w:vertAlign w:val="superscript"/>
              </w:rPr>
              <w:t>2</w:t>
            </w:r>
            <w:r>
              <w:rPr>
                <w:rFonts w:ascii="Times New Roman" w:hAnsi="Times New Roman"/>
                <w:sz w:val="24"/>
                <w:highlight w:val="none"/>
              </w:rPr>
              <w:t>。根</w:t>
            </w:r>
            <w:r>
              <w:rPr>
                <w:rFonts w:ascii="Times New Roman" w:hAnsi="Times New Roman"/>
                <w:sz w:val="24"/>
              </w:rPr>
              <w:t>据《土地复垦条例》和《土地复垦条例实施办法》中有关要求，是指对生产建设活动和自然灾害损毁的土地，采取整治措施，使其达到可供利用状态的活动。按照</w:t>
            </w:r>
            <w:r>
              <w:rPr>
                <w:rFonts w:hint="eastAsia" w:ascii="Times New Roman" w:hAnsi="Times New Roman"/>
                <w:sz w:val="24"/>
                <w:lang w:eastAsia="zh-CN"/>
              </w:rPr>
              <w:t>“</w:t>
            </w:r>
            <w:r>
              <w:rPr>
                <w:rFonts w:ascii="Times New Roman" w:hAnsi="Times New Roman"/>
                <w:sz w:val="24"/>
              </w:rPr>
              <w:t>谁损毁，谁复垦</w:t>
            </w:r>
            <w:r>
              <w:rPr>
                <w:rFonts w:hint="eastAsia" w:ascii="Times New Roman" w:hAnsi="Times New Roman"/>
                <w:sz w:val="24"/>
                <w:lang w:eastAsia="zh-CN"/>
              </w:rPr>
              <w:t>”</w:t>
            </w:r>
            <w:r>
              <w:rPr>
                <w:rFonts w:ascii="Times New Roman" w:hAnsi="Times New Roman"/>
                <w:sz w:val="24"/>
              </w:rPr>
              <w:t>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4DDCEB6D">
            <w:pPr>
              <w:spacing w:line="360" w:lineRule="auto"/>
              <w:ind w:firstLine="480" w:firstLineChars="200"/>
              <w:rPr>
                <w:rFonts w:ascii="Times New Roman" w:hAnsi="Times New Roman"/>
                <w:sz w:val="24"/>
              </w:rPr>
            </w:pPr>
            <w:r>
              <w:rPr>
                <w:rFonts w:hint="eastAsia" w:ascii="Times New Roman" w:hAnsi="Times New Roman"/>
                <w:kern w:val="0"/>
                <w:sz w:val="24"/>
              </w:rPr>
              <w:t>根据工程设计规划，对采矿权平面范围内深部煤炭资源进行补充勘探需在设计的范围之内，探查工程设计钻孔目的与任务明确，针对性强，设计钻孔位置不可移动，因此，钻孔在选址时不可避让基本农田。</w:t>
            </w:r>
          </w:p>
          <w:p w14:paraId="2F409D47">
            <w:pPr>
              <w:spacing w:line="360" w:lineRule="auto"/>
              <w:ind w:firstLine="480" w:firstLineChars="200"/>
              <w:rPr>
                <w:rFonts w:ascii="Times New Roman" w:hAnsi="Times New Roman"/>
                <w:sz w:val="24"/>
              </w:rPr>
            </w:pPr>
            <w:r>
              <w:rPr>
                <w:rFonts w:ascii="Times New Roman" w:hAnsi="Times New Roman"/>
                <w:sz w:val="24"/>
              </w:rPr>
              <w:t>项目施工期采取有效的污染防治措施后，污染物均达标排放，对周围环境影响较小；</w:t>
            </w:r>
            <w:r>
              <w:rPr>
                <w:rFonts w:ascii="Times New Roman" w:hAnsi="Times New Roman"/>
                <w:kern w:val="0"/>
                <w:sz w:val="24"/>
              </w:rPr>
              <w:t>项目周围1km范围内没有历史文物古迹、风景名胜区及重要生态功能区；项目区域具有水、电及交通便利等有利条件。综上所述，</w:t>
            </w:r>
            <w:r>
              <w:rPr>
                <w:rFonts w:ascii="Times New Roman" w:hAnsi="Times New Roman"/>
                <w:sz w:val="24"/>
              </w:rPr>
              <w:t>本项目选</w:t>
            </w:r>
            <w:r>
              <w:rPr>
                <w:rFonts w:ascii="Times New Roman" w:hAnsi="Times New Roman"/>
                <w:kern w:val="0"/>
                <w:sz w:val="24"/>
              </w:rPr>
              <w:t>址基本合理可行</w:t>
            </w:r>
            <w:r>
              <w:rPr>
                <w:rFonts w:ascii="Times New Roman" w:hAnsi="Times New Roman"/>
                <w:sz w:val="24"/>
              </w:rPr>
              <w:t>。</w:t>
            </w:r>
          </w:p>
          <w:p w14:paraId="5CDE6DC1">
            <w:pPr>
              <w:spacing w:line="360" w:lineRule="auto"/>
              <w:ind w:firstLine="480" w:firstLineChars="200"/>
              <w:rPr>
                <w:rFonts w:ascii="Times New Roman" w:hAnsi="Times New Roman"/>
                <w:sz w:val="24"/>
              </w:rPr>
            </w:pPr>
            <w:r>
              <w:rPr>
                <w:rFonts w:ascii="Times New Roman" w:hAnsi="Times New Roman"/>
                <w:sz w:val="24"/>
              </w:rPr>
              <w:t>1、生态敏感性分析</w:t>
            </w:r>
          </w:p>
          <w:p w14:paraId="5C257175">
            <w:pPr>
              <w:spacing w:line="360" w:lineRule="auto"/>
              <w:ind w:firstLine="480" w:firstLineChars="200"/>
              <w:rPr>
                <w:rFonts w:ascii="Times New Roman" w:hAnsi="Times New Roman"/>
                <w:sz w:val="24"/>
              </w:rPr>
            </w:pPr>
            <w:r>
              <w:rPr>
                <w:rFonts w:ascii="Times New Roman" w:hAnsi="Times New Roman"/>
                <w:sz w:val="24"/>
              </w:rPr>
              <w:t>项目位于农村地区，占地类型主要为农田，种植适时农作物，评价范围内不涉及自然保护区、森林公园、地质公园、风景名胜区、文物古迹保护区、集中式饮用水源保护区等环境敏感区；不在《安徽省生态功能区划》禁止开发区、重点保护区范围内，生态环境总体不敏感。</w:t>
            </w:r>
          </w:p>
          <w:p w14:paraId="237E885F">
            <w:pPr>
              <w:spacing w:line="360" w:lineRule="auto"/>
              <w:ind w:firstLine="480" w:firstLineChars="200"/>
              <w:rPr>
                <w:rFonts w:ascii="Times New Roman" w:hAnsi="Times New Roman"/>
                <w:sz w:val="24"/>
              </w:rPr>
            </w:pPr>
            <w:r>
              <w:rPr>
                <w:rFonts w:ascii="Times New Roman" w:hAnsi="Times New Roman"/>
                <w:sz w:val="24"/>
              </w:rPr>
              <w:t>2、项目用地可行性分析</w:t>
            </w:r>
          </w:p>
          <w:p w14:paraId="48426972">
            <w:pPr>
              <w:spacing w:line="360" w:lineRule="auto"/>
              <w:ind w:firstLine="480" w:firstLineChars="200"/>
              <w:rPr>
                <w:rFonts w:ascii="Times New Roman" w:hAnsi="Times New Roman"/>
                <w:sz w:val="24"/>
              </w:rPr>
            </w:pPr>
            <w:r>
              <w:rPr>
                <w:rFonts w:ascii="Times New Roman" w:hAnsi="Times New Roman"/>
                <w:sz w:val="24"/>
              </w:rPr>
              <w:t>本项目属于</w:t>
            </w:r>
            <w:r>
              <w:rPr>
                <w:rFonts w:hint="eastAsia" w:ascii="Times New Roman" w:hAnsi="Times New Roman"/>
                <w:sz w:val="24"/>
              </w:rPr>
              <w:t>四十六、专业技术服务业99中的陆地矿产资源地质勘查（含油气资源勘探）；二氧化碳地质封存中其他</w:t>
            </w:r>
            <w:r>
              <w:rPr>
                <w:rFonts w:ascii="Times New Roman" w:hAnsi="Times New Roman"/>
                <w:sz w:val="24"/>
                <w:highlight w:val="none"/>
              </w:rPr>
              <w:t>，临时用地面积为</w:t>
            </w:r>
            <w:r>
              <w:rPr>
                <w:rFonts w:hint="eastAsia" w:ascii="Times New Roman" w:hAnsi="Times New Roman"/>
                <w:sz w:val="24"/>
                <w:highlight w:val="none"/>
                <w:lang w:eastAsia="zh-CN"/>
              </w:rPr>
              <w:t>2949</w:t>
            </w:r>
            <w:r>
              <w:rPr>
                <w:rFonts w:ascii="Times New Roman" w:hAnsi="Times New Roman"/>
                <w:sz w:val="24"/>
                <w:highlight w:val="none"/>
              </w:rPr>
              <w:t>m</w:t>
            </w:r>
            <w:r>
              <w:rPr>
                <w:rFonts w:ascii="Times New Roman" w:hAnsi="Times New Roman"/>
                <w:sz w:val="24"/>
                <w:highlight w:val="none"/>
                <w:vertAlign w:val="superscript"/>
              </w:rPr>
              <w:t>2</w:t>
            </w:r>
            <w:r>
              <w:rPr>
                <w:rFonts w:ascii="Times New Roman" w:hAnsi="Times New Roman"/>
                <w:sz w:val="24"/>
                <w:highlight w:val="none"/>
              </w:rPr>
              <w:t>，用地时间预计为</w:t>
            </w:r>
            <w:r>
              <w:rPr>
                <w:rFonts w:hint="eastAsia" w:ascii="Times New Roman" w:hAnsi="Times New Roman"/>
                <w:sz w:val="24"/>
                <w:highlight w:val="none"/>
                <w:lang w:val="en-US" w:eastAsia="zh-CN"/>
              </w:rPr>
              <w:t>6</w:t>
            </w:r>
            <w:r>
              <w:rPr>
                <w:rFonts w:hint="eastAsia" w:ascii="Times New Roman" w:hAnsi="Times New Roman"/>
                <w:sz w:val="24"/>
                <w:highlight w:val="none"/>
              </w:rPr>
              <w:t>个月</w:t>
            </w:r>
            <w:r>
              <w:rPr>
                <w:rFonts w:ascii="Times New Roman" w:hAnsi="Times New Roman"/>
                <w:sz w:val="24"/>
                <w:highlight w:val="none"/>
              </w:rPr>
              <w:t>。中安联合煤化</w:t>
            </w:r>
            <w:r>
              <w:rPr>
                <w:rFonts w:ascii="Times New Roman" w:hAnsi="Times New Roman"/>
                <w:sz w:val="24"/>
              </w:rPr>
              <w:t>有限责任公司办理了项目临时用地相关手续。项目租用安徽省淮南市潘集区贺疃镇境内的土地作为本项目的临时建设用地。</w:t>
            </w:r>
          </w:p>
          <w:p w14:paraId="36D41873">
            <w:pPr>
              <w:spacing w:line="360" w:lineRule="auto"/>
              <w:ind w:firstLine="480" w:firstLineChars="200"/>
              <w:rPr>
                <w:rFonts w:ascii="Times New Roman" w:hAnsi="Times New Roman"/>
                <w:sz w:val="24"/>
              </w:rPr>
            </w:pPr>
            <w:r>
              <w:rPr>
                <w:rFonts w:ascii="Times New Roman" w:hAnsi="Times New Roman"/>
                <w:sz w:val="24"/>
              </w:rPr>
              <w:t>3、环境制约性分析</w:t>
            </w:r>
          </w:p>
          <w:p w14:paraId="01BACC0C">
            <w:pPr>
              <w:spacing w:line="360" w:lineRule="auto"/>
              <w:ind w:firstLine="480" w:firstLineChars="200"/>
              <w:rPr>
                <w:rFonts w:ascii="Times New Roman" w:hAnsi="Times New Roman"/>
                <w:sz w:val="24"/>
              </w:rPr>
            </w:pPr>
            <w:r>
              <w:rPr>
                <w:rFonts w:ascii="Times New Roman" w:hAnsi="Times New Roman"/>
                <w:sz w:val="24"/>
              </w:rPr>
              <w:t>项目所在地主要为农田，项目占地范围内无大型管网，项目周边无其他独立工矿用地。</w:t>
            </w:r>
          </w:p>
          <w:p w14:paraId="76329AC8">
            <w:pPr>
              <w:spacing w:line="360" w:lineRule="auto"/>
              <w:ind w:firstLine="480" w:firstLineChars="200"/>
              <w:rPr>
                <w:rFonts w:ascii="Times New Roman" w:hAnsi="Times New Roman"/>
                <w:sz w:val="24"/>
              </w:rPr>
            </w:pPr>
            <w:r>
              <w:rPr>
                <w:rFonts w:ascii="Times New Roman" w:hAnsi="Times New Roman"/>
                <w:sz w:val="24"/>
              </w:rPr>
              <w:t>项目产生的危险废物主要为废润滑油，收集后交由有资质单位处置，不排放，对环境影响小。通过采取评价提出的必要的可行的环境保护措施和风险防范措施，项目不改变区域环境功能，对周边居民的影响小，环境影响可接受。</w:t>
            </w:r>
          </w:p>
          <w:p w14:paraId="49D132DB">
            <w:pPr>
              <w:spacing w:line="360" w:lineRule="auto"/>
              <w:ind w:firstLine="480" w:firstLineChars="200"/>
              <w:rPr>
                <w:rFonts w:ascii="Times New Roman" w:hAnsi="Times New Roman"/>
                <w:bCs/>
                <w:color w:val="auto"/>
                <w:highlight w:val="none"/>
              </w:rPr>
            </w:pPr>
            <w:r>
              <w:rPr>
                <w:rFonts w:ascii="Times New Roman" w:hAnsi="Times New Roman"/>
                <w:sz w:val="24"/>
              </w:rPr>
              <w:t>综上所述，工程选址符合相关技术规范要求，且不属于环境敏感区、不涉及淮南市生态保护红线，在采取必要的环境保护措施和风险防范措施，对环境的影响可得到有效控制，从环境保护角度分析本项目选址合理。</w:t>
            </w:r>
          </w:p>
        </w:tc>
      </w:tr>
    </w:tbl>
    <w:p w14:paraId="534292F2">
      <w:pPr>
        <w:pStyle w:val="21"/>
        <w:jc w:val="center"/>
        <w:rPr>
          <w:rFonts w:ascii="Times New Roman" w:hAnsi="Times New Roman" w:eastAsia="黑体"/>
          <w:snapToGrid w:val="0"/>
          <w:color w:val="auto"/>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3D645F0B">
      <w:pPr>
        <w:rPr>
          <w:color w:val="auto"/>
          <w:highlight w:val="none"/>
        </w:rPr>
      </w:pPr>
    </w:p>
    <w:p w14:paraId="50D3E1A8">
      <w:pPr>
        <w:pStyle w:val="21"/>
        <w:jc w:val="center"/>
        <w:outlineLvl w:val="0"/>
        <w:rPr>
          <w:rFonts w:ascii="Times New Roman" w:hAnsi="Times New Roman" w:eastAsia="黑体"/>
          <w:snapToGrid w:val="0"/>
          <w:color w:val="auto"/>
          <w:sz w:val="30"/>
          <w:szCs w:val="30"/>
          <w:highlight w:val="none"/>
        </w:rPr>
      </w:pPr>
      <w:bookmarkStart w:id="15" w:name="_Toc11827"/>
      <w:r>
        <w:rPr>
          <w:rFonts w:ascii="Times New Roman" w:hAnsi="Times New Roman" w:eastAsia="黑体"/>
          <w:snapToGrid w:val="0"/>
          <w:color w:val="auto"/>
          <w:sz w:val="30"/>
          <w:szCs w:val="30"/>
          <w:highlight w:val="none"/>
        </w:rPr>
        <w:t>五、主要生态环境保护措施</w:t>
      </w:r>
      <w:bookmarkEnd w:id="15"/>
    </w:p>
    <w:tbl>
      <w:tblPr>
        <w:tblStyle w:val="23"/>
        <w:tblW w:w="8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980"/>
      </w:tblGrid>
      <w:tr w14:paraId="2ECAE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7" w:hRule="atLeast"/>
          <w:jc w:val="center"/>
        </w:trPr>
        <w:tc>
          <w:tcPr>
            <w:tcW w:w="753" w:type="dxa"/>
            <w:noWrap/>
            <w:tcMar>
              <w:left w:w="28" w:type="dxa"/>
              <w:right w:w="28" w:type="dxa"/>
            </w:tcMar>
            <w:vAlign w:val="center"/>
          </w:tcPr>
          <w:p w14:paraId="3DA405CB">
            <w:pPr>
              <w:adjustRightInd w:val="0"/>
              <w:snapToGrid w:val="0"/>
              <w:jc w:val="center"/>
              <w:rPr>
                <w:rFonts w:ascii="Times New Roman" w:hAnsi="Times New Roman"/>
                <w:bCs/>
                <w:color w:val="auto"/>
                <w:sz w:val="24"/>
                <w:highlight w:val="none"/>
              </w:rPr>
            </w:pPr>
            <w:r>
              <w:rPr>
                <w:rFonts w:ascii="Times New Roman" w:hAnsi="Times New Roman"/>
                <w:bCs/>
                <w:color w:val="auto"/>
                <w:spacing w:val="10"/>
                <w:sz w:val="24"/>
                <w:highlight w:val="none"/>
              </w:rPr>
              <w:t>施工期生态环境保护措施</w:t>
            </w:r>
          </w:p>
        </w:tc>
        <w:tc>
          <w:tcPr>
            <w:tcW w:w="7980" w:type="dxa"/>
            <w:noWrap/>
          </w:tcPr>
          <w:p w14:paraId="6D41EA9B">
            <w:pPr>
              <w:spacing w:line="360" w:lineRule="auto"/>
              <w:ind w:firstLine="482" w:firstLineChars="200"/>
              <w:rPr>
                <w:rStyle w:val="44"/>
                <w:rFonts w:hint="default" w:ascii="Times New Roman" w:hAnsi="宋体"/>
                <w:b/>
                <w:bCs/>
                <w:color w:val="auto"/>
                <w:kern w:val="0"/>
                <w:highlight w:val="none"/>
              </w:rPr>
            </w:pPr>
            <w:r>
              <w:rPr>
                <w:rStyle w:val="44"/>
                <w:rFonts w:hint="default" w:ascii="Times New Roman" w:hAnsi="宋体"/>
                <w:b/>
                <w:bCs/>
                <w:color w:val="auto"/>
                <w:kern w:val="0"/>
                <w:highlight w:val="none"/>
              </w:rPr>
              <w:t>1、大气污染物防治措施</w:t>
            </w:r>
          </w:p>
          <w:p w14:paraId="0374A909">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项目施工过程中的大气污染主要来自于施工场地的扬尘、施工机械的尾气。这些废气的影响是局部的、暂时的，影响的程度及范围有限，随着施工期的结束而逐渐消失。</w:t>
            </w:r>
          </w:p>
          <w:p w14:paraId="62DD2BEC">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为减轻扬尘对区域环境空气的不利影响，应按照《安徽省大气污染防治条例》《安徽省大气污染防治行动计划实施方案》（皖政（2013）89号）、《安徽省人民政府办公厅关于印发安徽省重污染天气应急预案的通知》（皖政办秘〔2017〕97号）、《安徽省人民政府关于2018年重点工作及责任分解的通知》（皖政〔2018〕23号）及省大气办关于印发《2018年安徽省大气污染防治重点工作任务》的通知（皖大气办〔2018〕7号）、《防治城市扬尘污染技术规范》（HJ/T393-2007）、《建筑工程施工和预拌混凝土生产扬尘污染防治标准（试行）》《淮南市扬尘污染防治条例》等要求，施工企业要在开工前制定相应的施工现场扬尘控制措施。</w:t>
            </w:r>
          </w:p>
          <w:p w14:paraId="2C6B9E4F">
            <w:pPr>
              <w:spacing w:line="360" w:lineRule="auto"/>
              <w:ind w:firstLine="480" w:firstLineChars="200"/>
              <w:rPr>
                <w:rStyle w:val="44"/>
                <w:rFonts w:hint="default" w:ascii="Times New Roman" w:hAnsi="宋体"/>
                <w:color w:val="auto"/>
                <w:kern w:val="0"/>
              </w:rPr>
            </w:pPr>
            <w:r>
              <w:rPr>
                <w:rStyle w:val="44"/>
                <w:rFonts w:hint="default" w:ascii="Times New Roman" w:hAnsi="宋体"/>
                <w:color w:val="auto"/>
                <w:kern w:val="0"/>
              </w:rPr>
              <w:t>施工期间应特别注意施工扬尘的防治问题，须制定必要的防治措施，以减少施工扬尘对周围环境的影响。对于</w:t>
            </w:r>
            <w:r>
              <w:rPr>
                <w:rStyle w:val="44"/>
                <w:rFonts w:hint="eastAsia" w:ascii="Times New Roman" w:hAnsi="宋体"/>
                <w:color w:val="000000" w:themeColor="text1"/>
                <w:kern w:val="0"/>
                <w:lang w:val="en-US" w:eastAsia="zh-CN"/>
                <w14:textFill>
                  <w14:solidFill>
                    <w14:schemeClr w14:val="tx1"/>
                  </w14:solidFill>
                </w14:textFill>
              </w:rPr>
              <w:t>井场范围内</w:t>
            </w:r>
            <w:r>
              <w:rPr>
                <w:rStyle w:val="44"/>
                <w:rFonts w:hint="default" w:ascii="Times New Roman" w:hAnsi="宋体"/>
                <w:color w:val="000000" w:themeColor="text1"/>
                <w:kern w:val="0"/>
                <w14:textFill>
                  <w14:solidFill>
                    <w14:schemeClr w14:val="tx1"/>
                  </w14:solidFill>
                </w14:textFill>
              </w:rPr>
              <w:t>的扬</w:t>
            </w:r>
            <w:r>
              <w:rPr>
                <w:rStyle w:val="44"/>
                <w:rFonts w:hint="default" w:ascii="Times New Roman" w:hAnsi="宋体"/>
                <w:color w:val="auto"/>
                <w:kern w:val="0"/>
              </w:rPr>
              <w:t>尘治理，还要做到</w:t>
            </w:r>
            <w:r>
              <w:rPr>
                <w:rStyle w:val="44"/>
                <w:rFonts w:hint="eastAsia" w:ascii="Times New Roman" w:hAnsi="宋体"/>
                <w:color w:val="auto"/>
                <w:kern w:val="0"/>
                <w:lang w:eastAsia="zh-CN"/>
              </w:rPr>
              <w:t>“</w:t>
            </w:r>
            <w:r>
              <w:rPr>
                <w:rStyle w:val="44"/>
                <w:rFonts w:hint="default" w:ascii="Times New Roman" w:hAnsi="宋体"/>
                <w:color w:val="auto"/>
                <w:kern w:val="0"/>
              </w:rPr>
              <w:t>六个百分百</w:t>
            </w:r>
            <w:r>
              <w:rPr>
                <w:rStyle w:val="44"/>
                <w:rFonts w:hint="eastAsia" w:ascii="Times New Roman" w:hAnsi="宋体"/>
                <w:color w:val="auto"/>
                <w:kern w:val="0"/>
                <w:lang w:eastAsia="zh-CN"/>
              </w:rPr>
              <w:t>”</w:t>
            </w:r>
            <w:r>
              <w:rPr>
                <w:rStyle w:val="44"/>
                <w:rFonts w:hint="default" w:ascii="Times New Roman" w:hAnsi="宋体"/>
                <w:color w:val="auto"/>
                <w:kern w:val="0"/>
              </w:rPr>
              <w:t>措施：</w:t>
            </w:r>
          </w:p>
          <w:p w14:paraId="3C2C0D85">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①现场封闭管理百分之百施工现场硬质围挡应连续设置，围挡不低于2.5m，做到坚固、平稳、整洁、美观。在建工程外立面应用安全网实现全封闭围护。</w:t>
            </w:r>
          </w:p>
          <w:p w14:paraId="0966E5C1">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②场区道路硬化百分之百</w:t>
            </w:r>
          </w:p>
          <w:p w14:paraId="02D3B038">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主要通道、进出道路、材料加工区及办公生活区地面进行硬化处理。</w:t>
            </w:r>
          </w:p>
          <w:p w14:paraId="4294D540">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③渣土物料蓬盖百分之百</w:t>
            </w:r>
          </w:p>
          <w:p w14:paraId="258C7084">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施工现场内裸露的场地和集中堆放的土方应采取覆盖、固化或绿化等防尘措施。易产生扬尘的物料要篷盖。</w:t>
            </w:r>
          </w:p>
          <w:p w14:paraId="1EC247B4">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④洒水清扫保洁百分之百</w:t>
            </w:r>
          </w:p>
          <w:p w14:paraId="71F2DE59">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0611EA75">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⑤物料密闭运输百分之百易产生扬尘的建筑材料、渣土应采取密闭搬运、存储或采用防尘布苫盖等防尘措施。严禁熔融沥青、焚烧垃圾等有毒有害物质，禁止无牌无证车辆进入施工现场。</w:t>
            </w:r>
          </w:p>
          <w:p w14:paraId="0FF7FD49">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⑥出入车辆清洗百分之百</w:t>
            </w:r>
          </w:p>
          <w:p w14:paraId="6A2AA7FC">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施工现场出入口处设置自动车辆冲洗装置和沉淀池，运输车辆底盘和车轮冲洗干净后方可驶离施工现场。</w:t>
            </w:r>
          </w:p>
          <w:p w14:paraId="7B385043">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要加强现场管理，做好文明标化施工，采取配置工地滞尘防护网、设置围档和硬化道路，及车辆出场冲洗等措施，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p>
          <w:p w14:paraId="13222435">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同时环评建议通过如下措施降低施工期对大气环境的影响：</w:t>
            </w:r>
          </w:p>
          <w:p w14:paraId="0D01E87B">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（1）施工单位应根据《建设工程施工现场管理规定》的要求设置现场平面布置图、工程概况牌、安全生产牌、消防保卫牌、文明施工牌、环境保护牌、管理人员名单及监督电话牌等；</w:t>
            </w:r>
          </w:p>
          <w:p w14:paraId="77BB3EF6">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（2）施工现场围挡高度符合《建筑施工安全检查标准》（JGJ59-2011）要求，围挡应连续、密闭、坚固、稳定、整洁、美观，同时围挡上部宜设置朝向场内区域的喷雾装置，每组间隔不宜大于4m。</w:t>
            </w:r>
          </w:p>
          <w:p w14:paraId="5FAA18FE">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（3）施工现场非作业地面裸露的场地必须绿化或严密覆盖；</w:t>
            </w:r>
          </w:p>
          <w:p w14:paraId="1B33EF09">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（4）施工现场采取围挡、严密遮盖等防尘措施；</w:t>
            </w:r>
          </w:p>
          <w:p w14:paraId="324EAA75">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（5）施工作业环境要整洁干净，应设置洒水降尘设施；</w:t>
            </w:r>
          </w:p>
          <w:p w14:paraId="24D6D7CE">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（6）启动Ⅲ级（黄色）或以上重污染天气预警或气象预报风速达到四级以上时，不得进行土方挖填、转运等易产生扬尘的作业；</w:t>
            </w:r>
          </w:p>
          <w:p w14:paraId="6C99B499">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（7）确保渣土运输车辆安装GPS定位系统，严格实施密闭运输，落实出入井场车辆冲洗措施；</w:t>
            </w:r>
          </w:p>
          <w:p w14:paraId="64AF018B">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（8）建立施工工地管理清单，将施工工地扬尘污染防治纳入文明施工管理范畴，建立扬尘控制责任制度，扬尘治理费用列入工程造价；</w:t>
            </w:r>
          </w:p>
          <w:p w14:paraId="4105DC5B">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（9）建筑施工工地要做到工地周边围挡、物料堆放覆盖、土方开挖湿法作业、路面硬化、出入车辆清洗、渣土车辆密闭运输</w:t>
            </w:r>
            <w:r>
              <w:rPr>
                <w:rStyle w:val="44"/>
                <w:rFonts w:hint="eastAsia" w:ascii="Times New Roman" w:hAnsi="宋体"/>
                <w:color w:val="auto"/>
                <w:kern w:val="0"/>
                <w:highlight w:val="none"/>
                <w:lang w:eastAsia="zh-CN"/>
              </w:rPr>
              <w:t>“</w:t>
            </w:r>
            <w:r>
              <w:rPr>
                <w:rStyle w:val="44"/>
                <w:rFonts w:hint="default" w:ascii="Times New Roman" w:hAnsi="宋体"/>
                <w:color w:val="auto"/>
                <w:kern w:val="0"/>
                <w:highlight w:val="none"/>
              </w:rPr>
              <w:t>六个百分之百</w:t>
            </w:r>
            <w:r>
              <w:rPr>
                <w:rStyle w:val="44"/>
                <w:rFonts w:hint="eastAsia" w:ascii="Times New Roman" w:hAnsi="宋体"/>
                <w:color w:val="auto"/>
                <w:kern w:val="0"/>
                <w:highlight w:val="none"/>
                <w:lang w:eastAsia="zh-CN"/>
              </w:rPr>
              <w:t>”</w:t>
            </w:r>
            <w:r>
              <w:rPr>
                <w:rStyle w:val="44"/>
                <w:rFonts w:hint="default" w:ascii="Times New Roman" w:hAnsi="宋体"/>
                <w:color w:val="auto"/>
                <w:kern w:val="0"/>
                <w:highlight w:val="none"/>
              </w:rPr>
              <w:t>；</w:t>
            </w:r>
          </w:p>
          <w:p w14:paraId="05024786">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（10）加强施工机械设备及车辆的养护，定期对施工机械和施工运输车辆排放的尾气进行检查监测，加强机械维修保养；</w:t>
            </w:r>
          </w:p>
          <w:p w14:paraId="710AE8DF">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（11）运送散装物料车辆应保持良好的密封状态，车辆不应装载过满，以免在运输途中颠簸洒落；在晴朗多风天气，装载土料时，应适当加湿或用帆布覆盖；</w:t>
            </w:r>
          </w:p>
          <w:p w14:paraId="0AD83D3C">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（12）保持车辆进出施工场地路面清洁，设置洗车平台，完善排水设施，运输车辆应当在除泥、冲洗干净后，方可驶出施工工地；</w:t>
            </w:r>
          </w:p>
          <w:p w14:paraId="036BEFDD">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（13）工地应有专人负责逸散性材料、垃圾、渣土、裸地等密闭、覆盖、洒水作业以及车辆清洗作业等，并记录扬尘控制措施的实施情况。</w:t>
            </w:r>
          </w:p>
          <w:p w14:paraId="1015CC5C">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（14）施工结束时，应及时对施工占用场地恢复地面道路及植被。</w:t>
            </w:r>
          </w:p>
          <w:p w14:paraId="44D81C05">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通过以上措施，可在一定程度上减少扬尘的产生，从而减少对大气环境的影响。</w:t>
            </w:r>
          </w:p>
          <w:p w14:paraId="7B055F0D">
            <w:pPr>
              <w:widowControl/>
              <w:adjustRightInd w:val="0"/>
              <w:snapToGrid w:val="0"/>
              <w:spacing w:line="360" w:lineRule="auto"/>
              <w:ind w:firstLine="482" w:firstLineChars="200"/>
              <w:rPr>
                <w:rStyle w:val="44"/>
                <w:rFonts w:hint="default" w:ascii="Times New Roman" w:hAnsi="宋体"/>
                <w:b/>
                <w:bCs/>
                <w:color w:val="auto"/>
                <w:kern w:val="0"/>
                <w:highlight w:val="none"/>
              </w:rPr>
            </w:pPr>
            <w:r>
              <w:rPr>
                <w:rStyle w:val="44"/>
                <w:rFonts w:hint="default" w:ascii="Times New Roman" w:hAnsi="宋体"/>
                <w:b/>
                <w:bCs/>
                <w:color w:val="auto"/>
                <w:kern w:val="0"/>
                <w:highlight w:val="none"/>
              </w:rPr>
              <w:t>2、水污染物防治措施</w:t>
            </w:r>
          </w:p>
          <w:p w14:paraId="57EB2069">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（1）废水回用可行性分析</w:t>
            </w:r>
          </w:p>
          <w:p w14:paraId="1A8CD26E">
            <w:pPr>
              <w:widowControl/>
              <w:spacing w:line="360" w:lineRule="auto"/>
              <w:ind w:firstLine="480" w:firstLineChars="200"/>
              <w:rPr>
                <w:rStyle w:val="44"/>
                <w:rFonts w:hint="default" w:ascii="Times New Roman" w:hAnsi="Times New Roman" w:cs="Times New Roman"/>
                <w:color w:val="auto"/>
                <w:kern w:val="0"/>
                <w:highlight w:val="none"/>
              </w:rPr>
            </w:pPr>
            <w:r>
              <w:rPr>
                <w:rStyle w:val="44"/>
                <w:rFonts w:hint="default" w:ascii="Times New Roman" w:hAnsi="Times New Roman" w:cs="Times New Roman"/>
                <w:color w:val="auto"/>
                <w:kern w:val="0"/>
                <w:highlight w:val="none"/>
                <w:lang w:val="en-US" w:eastAsia="zh-CN"/>
              </w:rPr>
              <w:t>①</w:t>
            </w:r>
            <w:r>
              <w:rPr>
                <w:rStyle w:val="44"/>
                <w:rFonts w:hint="default" w:ascii="Times New Roman" w:hAnsi="Times New Roman" w:cs="Times New Roman"/>
                <w:color w:val="auto"/>
                <w:kern w:val="0"/>
                <w:highlight w:val="none"/>
              </w:rPr>
              <w:t>水量回用可行性分析：本项目废水主要包括钻井工艺废水、车辆冲洗废水</w:t>
            </w:r>
            <w:r>
              <w:rPr>
                <w:rStyle w:val="44"/>
                <w:rFonts w:hint="default" w:ascii="Times New Roman" w:hAnsi="Times New Roman" w:cs="Times New Roman"/>
                <w:color w:val="auto"/>
                <w:kern w:val="0"/>
                <w:highlight w:val="none"/>
                <w:lang w:eastAsia="zh-CN"/>
              </w:rPr>
              <w:t>、</w:t>
            </w:r>
            <w:r>
              <w:rPr>
                <w:rStyle w:val="44"/>
                <w:rFonts w:hint="default" w:ascii="Times New Roman" w:hAnsi="Times New Roman" w:cs="Times New Roman"/>
                <w:color w:val="auto"/>
                <w:kern w:val="0"/>
                <w:highlight w:val="none"/>
                <w:lang w:val="en-US" w:eastAsia="zh-CN"/>
              </w:rPr>
              <w:t>抽采试验废水</w:t>
            </w:r>
            <w:r>
              <w:rPr>
                <w:rStyle w:val="44"/>
                <w:rFonts w:hint="default" w:ascii="Times New Roman" w:hAnsi="Times New Roman" w:cs="Times New Roman"/>
                <w:color w:val="auto"/>
                <w:kern w:val="0"/>
                <w:highlight w:val="none"/>
              </w:rPr>
              <w:t>以及生活污水</w:t>
            </w:r>
            <w:r>
              <w:rPr>
                <w:rStyle w:val="44"/>
                <w:rFonts w:hint="default" w:ascii="Times New Roman" w:hAnsi="Times New Roman" w:cs="Times New Roman"/>
                <w:color w:val="000000" w:themeColor="text1"/>
                <w:kern w:val="0"/>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本次项目</w:t>
            </w:r>
            <w:r>
              <w:rPr>
                <w:rFonts w:hint="default" w:ascii="Times New Roman" w:hAnsi="Times New Roman" w:eastAsia="宋体" w:cs="Times New Roman"/>
                <w:color w:val="000000" w:themeColor="text1"/>
                <w:sz w:val="24"/>
                <w:highlight w:val="none"/>
                <w14:textFill>
                  <w14:solidFill>
                    <w14:schemeClr w14:val="tx1"/>
                  </w14:solidFill>
                </w14:textFill>
              </w:rPr>
              <w:t>每个钻孔总用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新鲜</w:t>
            </w:r>
            <w:r>
              <w:rPr>
                <w:rFonts w:hint="default" w:ascii="Times New Roman" w:hAnsi="Times New Roman" w:eastAsia="宋体" w:cs="Times New Roman"/>
                <w:color w:val="000000" w:themeColor="text1"/>
                <w:sz w:val="24"/>
                <w:highlight w:val="none"/>
                <w14:textFill>
                  <w14:solidFill>
                    <w14:schemeClr w14:val="tx1"/>
                  </w14:solidFill>
                </w14:textFill>
              </w:rPr>
              <w:t>水约为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0m³，共</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个</w:t>
            </w:r>
            <w:r>
              <w:rPr>
                <w:rFonts w:hint="default" w:ascii="Times New Roman" w:hAnsi="Times New Roman" w:eastAsia="宋体" w:cs="Times New Roman"/>
                <w:color w:val="000000" w:themeColor="text1"/>
                <w:sz w:val="24"/>
                <w:highlight w:val="none"/>
                <w14:textFill>
                  <w14:solidFill>
                    <w14:schemeClr w14:val="tx1"/>
                  </w14:solidFill>
                </w14:textFill>
              </w:rPr>
              <w:t>钻孔，钻井总用水量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0m³</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本项目各</w:t>
            </w:r>
            <w:r>
              <w:rPr>
                <w:rFonts w:hint="eastAsia"/>
                <w:color w:val="000000" w:themeColor="text1"/>
                <w:sz w:val="24"/>
                <w:highlight w:val="none"/>
                <w14:textFill>
                  <w14:solidFill>
                    <w14:schemeClr w14:val="tx1"/>
                  </w14:solidFill>
                </w14:textFill>
              </w:rPr>
              <w:t>井场</w:t>
            </w:r>
            <w:r>
              <w:rPr>
                <w:rFonts w:hint="eastAsia"/>
                <w:color w:val="000000" w:themeColor="text1"/>
                <w:sz w:val="24"/>
                <w:highlight w:val="none"/>
                <w:lang w:val="en-US" w:eastAsia="zh-CN"/>
                <w14:textFill>
                  <w14:solidFill>
                    <w14:schemeClr w14:val="tx1"/>
                  </w14:solidFill>
                </w14:textFill>
              </w:rPr>
              <w:t>钻井工程</w:t>
            </w:r>
            <w:r>
              <w:rPr>
                <w:rFonts w:hint="eastAsia"/>
                <w:color w:val="000000" w:themeColor="text1"/>
                <w:sz w:val="24"/>
                <w:highlight w:val="none"/>
                <w14:textFill>
                  <w14:solidFill>
                    <w14:schemeClr w14:val="tx1"/>
                  </w14:solidFill>
                </w14:textFill>
              </w:rPr>
              <w:t>预计约</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个月，循环水量约</w:t>
            </w:r>
            <w:r>
              <w:rPr>
                <w:rFonts w:hint="eastAsia" w:ascii="Times New Roman" w:hAnsi="Times New Roman" w:cs="Times New Roman"/>
                <w:color w:val="000000" w:themeColor="text1"/>
                <w:sz w:val="24"/>
                <w:highlight w:val="none"/>
                <w:lang w:val="en-US" w:eastAsia="zh-CN"/>
                <w14:textFill>
                  <w14:solidFill>
                    <w14:schemeClr w14:val="tx1"/>
                  </w14:solidFill>
                </w14:textFill>
              </w:rPr>
              <w:t>72</w:t>
            </w:r>
            <w:r>
              <w:rPr>
                <w:rFonts w:hint="default" w:ascii="Times New Roman" w:hAnsi="Times New Roman" w:cs="Times New Roman"/>
                <w:color w:val="000000" w:themeColor="text1"/>
                <w:sz w:val="24"/>
                <w:highlight w:val="none"/>
                <w14:textFill>
                  <w14:solidFill>
                    <w14:schemeClr w14:val="tx1"/>
                  </w14:solidFill>
                </w14:textFill>
              </w:rPr>
              <w:t>m³/d</w:t>
            </w:r>
            <w:r>
              <w:rPr>
                <w:rFonts w:hint="eastAsia"/>
                <w:color w:val="000000" w:themeColor="text1"/>
                <w:sz w:val="24"/>
                <w:highlight w:val="none"/>
                <w14:textFill>
                  <w14:solidFill>
                    <w14:schemeClr w14:val="tx1"/>
                  </w14:solidFill>
                </w14:textFill>
              </w:rPr>
              <w:t>。</w:t>
            </w:r>
            <w:r>
              <w:rPr>
                <w:rStyle w:val="44"/>
                <w:rFonts w:hint="default" w:ascii="Times New Roman" w:hAnsi="Times New Roman" w:cs="Times New Roman"/>
                <w:color w:val="000000" w:themeColor="text1"/>
                <w:kern w:val="0"/>
                <w:highlight w:val="none"/>
                <w14:textFill>
                  <w14:solidFill>
                    <w14:schemeClr w14:val="tx1"/>
                  </w14:solidFill>
                </w14:textFill>
              </w:rPr>
              <w:t>每个井场设1个</w:t>
            </w:r>
            <w:r>
              <w:rPr>
                <w:rStyle w:val="44"/>
                <w:rFonts w:hint="eastAsia" w:ascii="Times New Roman" w:hAnsi="Times New Roman" w:cs="Times New Roman"/>
                <w:color w:val="000000" w:themeColor="text1"/>
                <w:kern w:val="0"/>
                <w:highlight w:val="none"/>
                <w:lang w:eastAsia="zh-CN"/>
                <w14:textFill>
                  <w14:solidFill>
                    <w14:schemeClr w14:val="tx1"/>
                  </w14:solidFill>
                </w14:textFill>
              </w:rPr>
              <w:t>泥浆池</w:t>
            </w:r>
            <w:r>
              <w:rPr>
                <w:rStyle w:val="44"/>
                <w:rFonts w:hint="default" w:ascii="Times New Roman" w:hAnsi="Times New Roman" w:cs="Times New Roman"/>
                <w:color w:val="000000" w:themeColor="text1"/>
                <w:kern w:val="0"/>
                <w:highlight w:val="none"/>
                <w14:textFill>
                  <w14:solidFill>
                    <w14:schemeClr w14:val="tx1"/>
                  </w14:solidFill>
                </w14:textFill>
              </w:rPr>
              <w:t>，容积</w:t>
            </w:r>
            <w:r>
              <w:rPr>
                <w:rStyle w:val="44"/>
                <w:rFonts w:hint="default" w:ascii="Times New Roman" w:hAnsi="Times New Roman" w:cs="Times New Roman"/>
                <w:color w:val="000000" w:themeColor="text1"/>
                <w:kern w:val="0"/>
                <w:highlight w:val="none"/>
                <w:lang w:val="en-US" w:eastAsia="zh-CN"/>
                <w14:textFill>
                  <w14:solidFill>
                    <w14:schemeClr w14:val="tx1"/>
                  </w14:solidFill>
                </w14:textFill>
              </w:rPr>
              <w:t>36</w:t>
            </w:r>
            <w:r>
              <w:rPr>
                <w:rStyle w:val="44"/>
                <w:rFonts w:hint="default" w:ascii="Times New Roman" w:hAnsi="Times New Roman" w:cs="Times New Roman"/>
                <w:color w:val="000000" w:themeColor="text1"/>
                <w:kern w:val="0"/>
                <w:highlight w:val="none"/>
                <w14:textFill>
                  <w14:solidFill>
                    <w14:schemeClr w14:val="tx1"/>
                  </w14:solidFill>
                </w14:textFill>
              </w:rPr>
              <w:t>m</w:t>
            </w:r>
            <w:r>
              <w:rPr>
                <w:rStyle w:val="44"/>
                <w:rFonts w:hint="default" w:ascii="Times New Roman" w:hAnsi="Times New Roman" w:cs="Times New Roman"/>
                <w:color w:val="000000" w:themeColor="text1"/>
                <w:kern w:val="0"/>
                <w:highlight w:val="none"/>
                <w:vertAlign w:val="superscript"/>
                <w14:textFill>
                  <w14:solidFill>
                    <w14:schemeClr w14:val="tx1"/>
                  </w14:solidFill>
                </w14:textFill>
              </w:rPr>
              <w:t>3</w:t>
            </w:r>
            <w:r>
              <w:rPr>
                <w:rStyle w:val="44"/>
                <w:rFonts w:hint="default" w:ascii="Times New Roman" w:hAnsi="Times New Roman" w:cs="Times New Roman"/>
                <w:color w:val="000000" w:themeColor="text1"/>
                <w:kern w:val="0"/>
                <w:highlight w:val="none"/>
                <w14:textFill>
                  <w14:solidFill>
                    <w14:schemeClr w14:val="tx1"/>
                  </w14:solidFill>
                </w14:textFill>
              </w:rPr>
              <w:t>，钻井泥浆通过泥浆泵以</w:t>
            </w:r>
            <w:r>
              <w:rPr>
                <w:rStyle w:val="44"/>
                <w:rFonts w:hint="eastAsia" w:ascii="Times New Roman" w:hAnsi="Times New Roman" w:cs="Times New Roman"/>
                <w:color w:val="000000" w:themeColor="text1"/>
                <w:kern w:val="0"/>
                <w:highlight w:val="none"/>
                <w:lang w:eastAsia="zh-CN"/>
                <w14:textFill>
                  <w14:solidFill>
                    <w14:schemeClr w14:val="tx1"/>
                  </w14:solidFill>
                </w14:textFill>
              </w:rPr>
              <w:t>泥浆池</w:t>
            </w:r>
            <w:r>
              <w:rPr>
                <w:rStyle w:val="44"/>
                <w:rFonts w:hint="default" w:ascii="Times New Roman" w:hAnsi="Times New Roman" w:cs="Times New Roman"/>
                <w:color w:val="000000" w:themeColor="text1"/>
                <w:kern w:val="0"/>
                <w:highlight w:val="none"/>
                <w14:textFill>
                  <w14:solidFill>
                    <w14:schemeClr w14:val="tx1"/>
                  </w14:solidFill>
                </w14:textFill>
              </w:rPr>
              <w:t>沉淀后循环使用，不外排；</w:t>
            </w:r>
            <w:r>
              <w:rPr>
                <w:rFonts w:hint="default" w:ascii="Times New Roman" w:hAnsi="Times New Roman" w:eastAsia="宋体" w:cs="Times New Roman"/>
                <w:color w:val="000000" w:themeColor="text1"/>
                <w:sz w:val="24"/>
                <w:highlight w:val="none"/>
                <w14:textFill>
                  <w14:solidFill>
                    <w14:schemeClr w14:val="tx1"/>
                  </w14:solidFill>
                </w14:textFill>
              </w:rPr>
              <w:t>项目施工期每天进出车辆共约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辆次，则冲洗用水量约为</w:t>
            </w:r>
            <w:r>
              <w:rPr>
                <w:rFonts w:hint="eastAsia" w:ascii="Times New Roman" w:hAnsi="Times New Roman"/>
                <w:color w:val="000000" w:themeColor="text1"/>
                <w:sz w:val="24"/>
                <w:szCs w:val="24"/>
                <w:highlight w:val="none"/>
                <w:lang w:val="en-US" w:eastAsia="zh-CN"/>
                <w14:textFill>
                  <w14:solidFill>
                    <w14:schemeClr w14:val="tx1"/>
                  </w14:solidFill>
                </w14:textFill>
              </w:rPr>
              <w:t>172.8</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0.96</w:t>
            </w:r>
            <w:r>
              <w:rPr>
                <w:rFonts w:ascii="Times New Roman" w:hAnsi="Times New Roman" w:eastAsia="宋体"/>
                <w:color w:val="000000" w:themeColor="text1"/>
                <w:sz w:val="24"/>
                <w:szCs w:val="24"/>
                <w:highlight w:val="none"/>
                <w14:textFill>
                  <w14:solidFill>
                    <w14:schemeClr w14:val="tx1"/>
                  </w14:solidFill>
                </w14:textFill>
              </w:rPr>
              <w:t>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/d</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。冲洗水约有20%蒸发，其余约</w:t>
            </w:r>
            <w:r>
              <w:rPr>
                <w:rFonts w:hint="eastAsia" w:ascii="Times New Roman" w:hAnsi="Times New Roman"/>
                <w:color w:val="000000" w:themeColor="text1"/>
                <w:sz w:val="24"/>
                <w:szCs w:val="24"/>
                <w:highlight w:val="none"/>
                <w:lang w:val="en-US" w:eastAsia="zh-CN"/>
                <w14:textFill>
                  <w14:solidFill>
                    <w14:schemeClr w14:val="tx1"/>
                  </w14:solidFill>
                </w14:textFill>
              </w:rPr>
              <w:t>138.2</w:t>
            </w:r>
            <w:r>
              <w:rPr>
                <w:rFonts w:ascii="Times New Roman" w:hAnsi="Times New Roman" w:eastAsia="宋体"/>
                <w:color w:val="000000" w:themeColor="text1"/>
                <w:sz w:val="24"/>
                <w:szCs w:val="24"/>
                <w:highlight w:val="none"/>
                <w14:textFill>
                  <w14:solidFill>
                    <w14:schemeClr w14:val="tx1"/>
                  </w14:solidFill>
                </w14:textFill>
              </w:rPr>
              <w:t>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0.77</w:t>
            </w:r>
            <w:r>
              <w:rPr>
                <w:rFonts w:ascii="Times New Roman" w:hAnsi="Times New Roman" w:eastAsia="宋体"/>
                <w:color w:val="000000" w:themeColor="text1"/>
                <w:sz w:val="24"/>
                <w:szCs w:val="24"/>
                <w:highlight w:val="none"/>
                <w14:textFill>
                  <w14:solidFill>
                    <w14:schemeClr w14:val="tx1"/>
                  </w14:solidFill>
                </w14:textFill>
              </w:rPr>
              <w:t>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/d</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水进入沉淀池沉淀后循环使用</w:t>
            </w:r>
            <w:r>
              <w:rPr>
                <w:rStyle w:val="44"/>
                <w:rFonts w:hint="default" w:ascii="Times New Roman" w:hAnsi="Times New Roman" w:cs="Times New Roman"/>
                <w:color w:val="000000" w:themeColor="text1"/>
                <w:kern w:val="0"/>
                <w:highlight w:val="none"/>
                <w14:textFill>
                  <w14:solidFill>
                    <w14:schemeClr w14:val="tx1"/>
                  </w14:solidFill>
                </w14:textFill>
              </w:rPr>
              <w:t>，每个井场设1个沉淀池</w:t>
            </w:r>
            <w:r>
              <w:rPr>
                <w:rStyle w:val="44"/>
                <w:rFonts w:hint="default" w:ascii="Times New Roman" w:hAnsi="Times New Roman" w:cs="Times New Roman"/>
                <w:color w:val="000000" w:themeColor="text1"/>
                <w:kern w:val="0"/>
                <w:highlight w:val="none"/>
                <w:lang w:val="en-US" w:eastAsia="zh-CN"/>
                <w14:textFill>
                  <w14:solidFill>
                    <w14:schemeClr w14:val="tx1"/>
                  </w14:solidFill>
                </w14:textFill>
              </w:rPr>
              <w:t>8</w:t>
            </w:r>
            <w:r>
              <w:rPr>
                <w:rStyle w:val="44"/>
                <w:rFonts w:hint="default" w:ascii="Times New Roman" w:hAnsi="Times New Roman" w:cs="Times New Roman"/>
                <w:color w:val="000000" w:themeColor="text1"/>
                <w:kern w:val="0"/>
                <w:highlight w:val="none"/>
                <w14:textFill>
                  <w14:solidFill>
                    <w14:schemeClr w14:val="tx1"/>
                  </w14:solidFill>
                </w14:textFill>
              </w:rPr>
              <w:t>m</w:t>
            </w:r>
            <w:r>
              <w:rPr>
                <w:rStyle w:val="44"/>
                <w:rFonts w:hint="default" w:ascii="Times New Roman" w:hAnsi="Times New Roman" w:cs="Times New Roman"/>
                <w:color w:val="000000" w:themeColor="text1"/>
                <w:kern w:val="0"/>
                <w:highlight w:val="none"/>
                <w:vertAlign w:val="superscript"/>
                <w14:textFill>
                  <w14:solidFill>
                    <w14:schemeClr w14:val="tx1"/>
                  </w14:solidFill>
                </w14:textFill>
              </w:rPr>
              <w:t>3</w:t>
            </w:r>
            <w:r>
              <w:rPr>
                <w:rStyle w:val="44"/>
                <w:rFonts w:hint="default" w:ascii="Times New Roman" w:hAnsi="Times New Roman" w:cs="Times New Roman"/>
                <w:color w:val="000000" w:themeColor="text1"/>
                <w:kern w:val="0"/>
                <w:highlight w:val="none"/>
                <w14:textFill>
                  <w14:solidFill>
                    <w14:schemeClr w14:val="tx1"/>
                  </w14:solidFill>
                </w14:textFill>
              </w:rPr>
              <w:t>，足够容纳生产过程中产生</w:t>
            </w:r>
            <w:r>
              <w:rPr>
                <w:rStyle w:val="44"/>
                <w:rFonts w:hint="default" w:ascii="Times New Roman" w:hAnsi="Times New Roman" w:cs="Times New Roman"/>
                <w:color w:val="auto"/>
                <w:kern w:val="0"/>
                <w:highlight w:val="none"/>
              </w:rPr>
              <w:t>的废水；本项目3#井场钻孔结束后需进行抽水试验，一般进行3次抽水试验，抽水量逐次减少，最后一次抽水需进行水质全成分检测，平均每次抽水量约为50m</w:t>
            </w:r>
            <w:r>
              <w:rPr>
                <w:rStyle w:val="44"/>
                <w:rFonts w:hint="default" w:ascii="Times New Roman" w:hAnsi="Times New Roman" w:cs="Times New Roman"/>
                <w:color w:val="auto"/>
                <w:kern w:val="0"/>
                <w:highlight w:val="none"/>
                <w:vertAlign w:val="superscript"/>
              </w:rPr>
              <w:t>3</w:t>
            </w:r>
            <w:r>
              <w:rPr>
                <w:rStyle w:val="44"/>
                <w:rFonts w:hint="default" w:ascii="Times New Roman" w:hAnsi="Times New Roman" w:cs="Times New Roman"/>
                <w:color w:val="auto"/>
                <w:kern w:val="0"/>
                <w:highlight w:val="none"/>
              </w:rPr>
              <w:t>，抽出的清水排入清水池，则抽水试验水产生量约为150m</w:t>
            </w:r>
            <w:r>
              <w:rPr>
                <w:rStyle w:val="44"/>
                <w:rFonts w:hint="default" w:ascii="Times New Roman" w:hAnsi="Times New Roman" w:cs="Times New Roman"/>
                <w:color w:val="auto"/>
                <w:kern w:val="0"/>
                <w:highlight w:val="none"/>
                <w:vertAlign w:val="superscript"/>
              </w:rPr>
              <w:t>3</w:t>
            </w:r>
            <w:r>
              <w:rPr>
                <w:rStyle w:val="44"/>
                <w:rFonts w:hint="eastAsia" w:ascii="Times New Roman" w:hAnsi="Times New Roman" w:cs="Times New Roman"/>
                <w:color w:val="auto"/>
                <w:kern w:val="0"/>
                <w:highlight w:val="none"/>
                <w:vertAlign w:val="baseline"/>
                <w:lang w:eastAsia="zh-CN"/>
              </w:rPr>
              <w:t>，</w:t>
            </w:r>
            <w:r>
              <w:rPr>
                <w:rStyle w:val="44"/>
                <w:rFonts w:hint="eastAsia" w:ascii="Times New Roman" w:hAnsi="Times New Roman" w:cs="Times New Roman"/>
                <w:color w:val="auto"/>
                <w:kern w:val="0"/>
                <w:highlight w:val="none"/>
                <w:vertAlign w:val="baseline"/>
                <w:lang w:val="en-US" w:eastAsia="zh-CN"/>
              </w:rPr>
              <w:t>清水池足够容纳其体积；</w:t>
            </w:r>
            <w:r>
              <w:rPr>
                <w:rStyle w:val="44"/>
                <w:rFonts w:hint="default" w:ascii="Times New Roman" w:hAnsi="Times New Roman" w:cs="Times New Roman"/>
                <w:color w:val="auto"/>
                <w:kern w:val="0"/>
                <w:highlight w:val="none"/>
              </w:rPr>
              <w:t>生活污水经化粪池处理后定期清掏用于当地农作物施肥。</w:t>
            </w:r>
          </w:p>
          <w:p w14:paraId="6C2A31CE">
            <w:pPr>
              <w:widowControl/>
              <w:spacing w:line="360" w:lineRule="auto"/>
              <w:ind w:firstLine="480" w:firstLineChars="200"/>
              <w:rPr>
                <w:rStyle w:val="44"/>
                <w:rFonts w:hint="default" w:ascii="Times New Roman" w:hAnsi="宋体"/>
                <w:color w:val="auto"/>
                <w:kern w:val="0"/>
                <w:highlight w:val="none"/>
              </w:rPr>
            </w:pPr>
            <w:r>
              <w:rPr>
                <w:rStyle w:val="44"/>
                <w:rFonts w:hint="eastAsia" w:cs="Calibri"/>
                <w:color w:val="auto"/>
                <w:kern w:val="0"/>
                <w:highlight w:val="none"/>
                <w:lang w:val="en-US" w:eastAsia="zh-CN"/>
              </w:rPr>
              <w:t>②</w:t>
            </w:r>
            <w:r>
              <w:rPr>
                <w:rStyle w:val="44"/>
                <w:rFonts w:hint="default" w:ascii="宋体" w:hAnsi="宋体" w:cs="宋体"/>
                <w:color w:val="auto"/>
                <w:kern w:val="0"/>
                <w:highlight w:val="none"/>
              </w:rPr>
              <w:t>水质回用可行性分析：施工废水中的主要污染物为悬浮物，钻井过程中的用水及洗车用水对水质无要求，</w:t>
            </w:r>
            <w:r>
              <w:rPr>
                <w:rStyle w:val="44"/>
                <w:rFonts w:hint="default" w:ascii="Times New Roman" w:hAnsi="宋体"/>
                <w:color w:val="auto"/>
                <w:kern w:val="0"/>
                <w:highlight w:val="none"/>
              </w:rPr>
              <w:t>钻井泥浆通过泥浆泵以</w:t>
            </w:r>
            <w:r>
              <w:rPr>
                <w:rStyle w:val="44"/>
                <w:rFonts w:hint="eastAsia" w:ascii="Times New Roman" w:hAnsi="宋体"/>
                <w:color w:val="auto"/>
                <w:kern w:val="0"/>
                <w:highlight w:val="none"/>
                <w:lang w:eastAsia="zh-CN"/>
              </w:rPr>
              <w:t>泥浆池</w:t>
            </w:r>
            <w:r>
              <w:rPr>
                <w:rStyle w:val="44"/>
                <w:rFonts w:hint="default" w:ascii="Times New Roman" w:hAnsi="宋体"/>
                <w:color w:val="auto"/>
                <w:kern w:val="0"/>
                <w:highlight w:val="none"/>
              </w:rPr>
              <w:t>沉淀后循环使用，冲洗废水沉淀后循环使用，从水量及水质方面项目废水回用均可行。</w:t>
            </w:r>
          </w:p>
          <w:p w14:paraId="41D3C88D">
            <w:pPr>
              <w:widowControl/>
              <w:spacing w:line="360" w:lineRule="auto"/>
              <w:ind w:firstLine="480" w:firstLineChars="200"/>
              <w:rPr>
                <w:rStyle w:val="44"/>
                <w:rFonts w:hint="eastAsia" w:ascii="Times New Roman" w:hAnsi="宋体" w:eastAsia="宋体"/>
                <w:color w:val="auto"/>
                <w:kern w:val="0"/>
                <w:highlight w:val="none"/>
                <w:lang w:eastAsia="zh-CN"/>
              </w:rPr>
            </w:pPr>
            <w:r>
              <w:rPr>
                <w:rStyle w:val="44"/>
                <w:rFonts w:hint="default" w:ascii="Times New Roman" w:hAnsi="宋体"/>
                <w:color w:val="auto"/>
                <w:kern w:val="0"/>
                <w:highlight w:val="none"/>
              </w:rPr>
              <w:t>（2）钻井</w:t>
            </w:r>
            <w:r>
              <w:rPr>
                <w:rStyle w:val="44"/>
                <w:rFonts w:hint="eastAsia" w:ascii="Times New Roman" w:hAnsi="宋体"/>
                <w:color w:val="auto"/>
                <w:kern w:val="0"/>
                <w:highlight w:val="none"/>
                <w:lang w:val="en-US" w:eastAsia="zh-CN"/>
              </w:rPr>
              <w:t>泥浆</w:t>
            </w:r>
          </w:p>
          <w:p w14:paraId="2952B2F9">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钻井</w:t>
            </w:r>
            <w:r>
              <w:rPr>
                <w:rStyle w:val="44"/>
                <w:rFonts w:hint="eastAsia" w:ascii="Times New Roman" w:hAnsi="宋体"/>
                <w:color w:val="auto"/>
                <w:kern w:val="0"/>
                <w:highlight w:val="none"/>
                <w:lang w:val="en-US" w:eastAsia="zh-CN"/>
              </w:rPr>
              <w:t>泥浆</w:t>
            </w:r>
            <w:r>
              <w:rPr>
                <w:rStyle w:val="44"/>
                <w:rFonts w:hint="default" w:ascii="Times New Roman" w:hAnsi="宋体"/>
                <w:color w:val="auto"/>
                <w:kern w:val="0"/>
                <w:highlight w:val="none"/>
              </w:rPr>
              <w:t>通过泥浆泵以</w:t>
            </w:r>
            <w:r>
              <w:rPr>
                <w:rStyle w:val="44"/>
                <w:rFonts w:hint="eastAsia" w:ascii="Times New Roman" w:hAnsi="宋体"/>
                <w:color w:val="auto"/>
                <w:kern w:val="0"/>
                <w:highlight w:val="none"/>
                <w:lang w:eastAsia="zh-CN"/>
              </w:rPr>
              <w:t>泥浆池</w:t>
            </w:r>
            <w:r>
              <w:rPr>
                <w:rStyle w:val="44"/>
                <w:rFonts w:hint="default" w:ascii="Times New Roman" w:hAnsi="宋体"/>
                <w:color w:val="auto"/>
                <w:kern w:val="0"/>
                <w:highlight w:val="none"/>
              </w:rPr>
              <w:t>为介质循环使用，不外排，待钻井结束后投加泥浆固化剂</w:t>
            </w:r>
            <w:r>
              <w:rPr>
                <w:rStyle w:val="44"/>
                <w:rFonts w:hint="eastAsia" w:ascii="Times New Roman" w:hAnsi="宋体"/>
                <w:color w:val="auto"/>
                <w:kern w:val="0"/>
                <w:highlight w:val="none"/>
                <w:lang w:eastAsia="zh-CN"/>
              </w:rPr>
              <w:t>固化后作为建筑材料外售</w:t>
            </w:r>
            <w:r>
              <w:rPr>
                <w:rStyle w:val="44"/>
                <w:rFonts w:hint="default" w:ascii="Times New Roman" w:hAnsi="宋体"/>
                <w:color w:val="auto"/>
                <w:kern w:val="0"/>
                <w:highlight w:val="none"/>
              </w:rPr>
              <w:t>，不随便丢弃，对当地地表水环境影响较小，在当地环境可接受范围内。</w:t>
            </w:r>
          </w:p>
          <w:p w14:paraId="146511C7">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为了加强项目钻井</w:t>
            </w:r>
            <w:r>
              <w:rPr>
                <w:rStyle w:val="44"/>
                <w:rFonts w:hint="eastAsia" w:ascii="Times New Roman" w:hAnsi="宋体"/>
                <w:color w:val="auto"/>
                <w:kern w:val="0"/>
                <w:highlight w:val="none"/>
                <w:lang w:val="en-US" w:eastAsia="zh-CN"/>
              </w:rPr>
              <w:t>泥浆</w:t>
            </w:r>
            <w:r>
              <w:rPr>
                <w:rStyle w:val="44"/>
                <w:rFonts w:hint="default" w:ascii="Times New Roman" w:hAnsi="宋体"/>
                <w:color w:val="auto"/>
                <w:kern w:val="0"/>
                <w:highlight w:val="none"/>
              </w:rPr>
              <w:t>储存的管理，环评要求建设单位做好以下几点：</w:t>
            </w:r>
          </w:p>
          <w:p w14:paraId="5647D761">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①井场应实施清污分流，清污分流管道应完善畅通，并确保钻井</w:t>
            </w:r>
            <w:r>
              <w:rPr>
                <w:rStyle w:val="44"/>
                <w:rFonts w:hint="eastAsia" w:ascii="Times New Roman" w:hAnsi="宋体"/>
                <w:color w:val="auto"/>
                <w:kern w:val="0"/>
                <w:highlight w:val="none"/>
                <w:lang w:val="en-US" w:eastAsia="zh-CN"/>
              </w:rPr>
              <w:t>泥浆</w:t>
            </w:r>
            <w:r>
              <w:rPr>
                <w:rStyle w:val="44"/>
                <w:rFonts w:hint="default" w:ascii="Times New Roman" w:hAnsi="宋体"/>
                <w:color w:val="auto"/>
                <w:kern w:val="0"/>
                <w:highlight w:val="none"/>
              </w:rPr>
              <w:t>全部进入沉淀池处理后进入</w:t>
            </w:r>
            <w:r>
              <w:rPr>
                <w:rStyle w:val="44"/>
                <w:rFonts w:hint="eastAsia" w:ascii="Times New Roman" w:hAnsi="宋体"/>
                <w:color w:val="auto"/>
                <w:kern w:val="0"/>
                <w:highlight w:val="none"/>
                <w:lang w:eastAsia="zh-CN"/>
              </w:rPr>
              <w:t>泥浆池</w:t>
            </w:r>
            <w:r>
              <w:rPr>
                <w:rStyle w:val="44"/>
                <w:rFonts w:hint="default" w:ascii="Times New Roman" w:hAnsi="宋体"/>
                <w:color w:val="auto"/>
                <w:kern w:val="0"/>
                <w:highlight w:val="none"/>
              </w:rPr>
              <w:t>储存，保证闭路循环使用。</w:t>
            </w:r>
          </w:p>
          <w:p w14:paraId="2203A157">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②不得乱排乱放废水。</w:t>
            </w:r>
          </w:p>
          <w:p w14:paraId="4023315F">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③现场人员应定期对</w:t>
            </w:r>
            <w:r>
              <w:rPr>
                <w:rStyle w:val="44"/>
                <w:rFonts w:hint="eastAsia" w:ascii="Times New Roman" w:hAnsi="宋体"/>
                <w:color w:val="auto"/>
                <w:kern w:val="0"/>
                <w:highlight w:val="none"/>
                <w:lang w:eastAsia="zh-CN"/>
              </w:rPr>
              <w:t>泥浆池</w:t>
            </w:r>
            <w:r>
              <w:rPr>
                <w:rStyle w:val="44"/>
                <w:rFonts w:hint="default" w:ascii="Times New Roman" w:hAnsi="宋体"/>
                <w:color w:val="auto"/>
                <w:kern w:val="0"/>
                <w:highlight w:val="none"/>
              </w:rPr>
              <w:t>渗漏情况进行巡检，发现异常情况立即汇报和整改，并作好记录。</w:t>
            </w:r>
          </w:p>
          <w:p w14:paraId="0E204AD6">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（3）车辆冲洗废水</w:t>
            </w:r>
          </w:p>
          <w:p w14:paraId="73797750">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每个井场进出口对车辆进行冲洗，配套建设容积</w:t>
            </w:r>
            <w:r>
              <w:rPr>
                <w:rStyle w:val="44"/>
                <w:rFonts w:hint="eastAsia" w:ascii="Times New Roman" w:hAnsi="宋体"/>
                <w:color w:val="auto"/>
                <w:kern w:val="0"/>
                <w:highlight w:val="none"/>
                <w:lang w:val="en-US" w:eastAsia="zh-CN"/>
              </w:rPr>
              <w:t>8</w:t>
            </w:r>
            <w:r>
              <w:rPr>
                <w:rStyle w:val="44"/>
                <w:rFonts w:hint="default" w:ascii="Times New Roman" w:hAnsi="宋体"/>
                <w:color w:val="auto"/>
                <w:kern w:val="0"/>
                <w:highlight w:val="none"/>
              </w:rPr>
              <w:t>m</w:t>
            </w:r>
            <w:r>
              <w:rPr>
                <w:rStyle w:val="44"/>
                <w:rFonts w:hint="default" w:ascii="Times New Roman" w:hAnsi="宋体"/>
                <w:color w:val="auto"/>
                <w:kern w:val="0"/>
                <w:highlight w:val="none"/>
                <w:vertAlign w:val="superscript"/>
              </w:rPr>
              <w:t>3</w:t>
            </w:r>
            <w:r>
              <w:rPr>
                <w:rStyle w:val="44"/>
                <w:rFonts w:hint="default" w:ascii="Times New Roman" w:hAnsi="宋体"/>
                <w:color w:val="auto"/>
                <w:kern w:val="0"/>
                <w:highlight w:val="none"/>
              </w:rPr>
              <w:t>循环沉淀池，车辆清洗废水经沉淀池沉淀后循环使用，不外排。</w:t>
            </w:r>
          </w:p>
          <w:p w14:paraId="18F0486D">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（4）生活污水</w:t>
            </w:r>
          </w:p>
          <w:p w14:paraId="693F81E7">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生活污水纳入场地临时化粪池等收集处理设施最终用于周边农田施肥，不外排。</w:t>
            </w:r>
          </w:p>
          <w:p w14:paraId="7B81F167">
            <w:pPr>
              <w:widowControl/>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生活污水农肥可行性分析：项目地处农村环境，根据对井场周边500m范围内的土地利用现状进行调查可知，周边区域有大量耕地，对肥料的需求量很大。对当地地表水环境无影响，在当地环境可接受范围内，生活污水用于旱地农肥措施可行。因此，项目施工对局部水域水质的影响是不大的，且影响是短期的。</w:t>
            </w:r>
          </w:p>
          <w:p w14:paraId="6B4D5459">
            <w:pPr>
              <w:widowControl/>
              <w:adjustRightInd w:val="0"/>
              <w:snapToGrid w:val="0"/>
              <w:spacing w:line="360" w:lineRule="auto"/>
              <w:ind w:firstLine="482" w:firstLineChars="200"/>
              <w:rPr>
                <w:rStyle w:val="44"/>
                <w:rFonts w:hint="default" w:ascii="Times New Roman" w:hAnsi="宋体"/>
                <w:b/>
                <w:bCs/>
                <w:color w:val="auto"/>
                <w:kern w:val="0"/>
                <w:highlight w:val="none"/>
              </w:rPr>
            </w:pPr>
            <w:r>
              <w:rPr>
                <w:rStyle w:val="44"/>
                <w:rFonts w:hint="default" w:ascii="Times New Roman" w:hAnsi="宋体"/>
                <w:b/>
                <w:bCs/>
                <w:color w:val="auto"/>
                <w:kern w:val="0"/>
                <w:highlight w:val="none"/>
              </w:rPr>
              <w:t>3、噪声防治措施</w:t>
            </w:r>
          </w:p>
          <w:p w14:paraId="3D763135">
            <w:pPr>
              <w:spacing w:line="360" w:lineRule="auto"/>
              <w:ind w:firstLine="480" w:firstLineChars="200"/>
              <w:rPr>
                <w:rStyle w:val="44"/>
                <w:rFonts w:hint="default" w:ascii="Times New Roman" w:hAnsi="宋体"/>
                <w:color w:val="auto"/>
                <w:kern w:val="0"/>
              </w:rPr>
            </w:pPr>
            <w:r>
              <w:rPr>
                <w:rStyle w:val="44"/>
                <w:rFonts w:hint="default" w:ascii="Times New Roman" w:hAnsi="宋体"/>
                <w:color w:val="auto"/>
                <w:kern w:val="0"/>
              </w:rPr>
              <w:t>为减轻项目施工对周边敏感点的影响，评价提出如下措施加以控制：</w:t>
            </w:r>
          </w:p>
          <w:p w14:paraId="12D6AB2B">
            <w:pPr>
              <w:pStyle w:val="6"/>
              <w:spacing w:line="360" w:lineRule="auto"/>
              <w:ind w:firstLine="480"/>
              <w:rPr>
                <w:rFonts w:hint="eastAsia" w:ascii="Times New Roman" w:hAnsi="Times New Roman"/>
                <w:color w:val="000000" w:themeColor="text1"/>
                <w:sz w:val="24"/>
                <w:highlight w:val="none"/>
                <w:lang w:val="en-US" w:eastAsia="zh-CN"/>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①</w:t>
            </w:r>
            <w:r>
              <w:rPr>
                <w:rFonts w:hint="eastAsia" w:ascii="Times New Roman" w:hAnsi="Times New Roman"/>
                <w:color w:val="auto"/>
                <w:sz w:val="24"/>
                <w:highlight w:val="none"/>
                <w:lang w:val="en-US" w:eastAsia="zh-CN"/>
              </w:rPr>
              <w:t>各井场距离居民点较近，本项目要求施工单位禁止在夜间施工。</w:t>
            </w:r>
          </w:p>
          <w:p w14:paraId="3B26211A">
            <w:pPr>
              <w:pStyle w:val="6"/>
              <w:spacing w:line="360" w:lineRule="auto"/>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②施工过程中使用的主要机械设备应为低噪声机械设备，同时在施工过程中施工单位应设专人对设备进行定期保养和维护，避免由于设备故障而导致噪声增强现象的发生。并负责对现场工作人员进行培训，严格按操作规范使用各类机械。</w:t>
            </w:r>
          </w:p>
          <w:p w14:paraId="644E93D4">
            <w:pPr>
              <w:pStyle w:val="6"/>
              <w:spacing w:line="360" w:lineRule="auto"/>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③在不影响施工情况下将噪声设备不集中安排，并将其移至距离居民住宅等敏感点较远处。</w:t>
            </w:r>
          </w:p>
          <w:p w14:paraId="27E31771">
            <w:pPr>
              <w:pStyle w:val="6"/>
              <w:spacing w:line="360" w:lineRule="auto"/>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④施工场地的施工车辆出入地点应远离敏感点，车辆出入现场时应低速、禁鸣。</w:t>
            </w:r>
          </w:p>
          <w:p w14:paraId="02985EEF">
            <w:pPr>
              <w:pStyle w:val="6"/>
              <w:spacing w:line="360" w:lineRule="auto"/>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⑤建设管理部门应加强对施工场地的噪声管理，施工企业也应对施工噪声进行自律，文明施工，避免因施工噪声产生纠纷。</w:t>
            </w:r>
          </w:p>
          <w:p w14:paraId="45F90660">
            <w:pPr>
              <w:pStyle w:val="6"/>
              <w:spacing w:line="360" w:lineRule="auto"/>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⑥加强施工期噪声监测，发现施工噪声超标并对附近居民点产生影响时必须首先停止施工，并应及时采取有效的噪声污染防治措施，在验证可做到噪声达标排放的前提下方可继续施工。</w:t>
            </w:r>
          </w:p>
          <w:p w14:paraId="3D61ED26">
            <w:pPr>
              <w:widowControl/>
              <w:spacing w:line="360" w:lineRule="auto"/>
              <w:ind w:firstLine="480" w:firstLineChars="200"/>
              <w:rPr>
                <w:rStyle w:val="44"/>
                <w:rFonts w:hint="default" w:ascii="Times New Roman" w:hAnsi="宋体"/>
                <w:color w:val="000000" w:themeColor="text1"/>
                <w:kern w:val="0"/>
                <w:highlight w:val="none"/>
                <w14:textFill>
                  <w14:solidFill>
                    <w14:schemeClr w14:val="tx1"/>
                  </w14:solidFill>
                </w14:textFill>
              </w:rPr>
            </w:pPr>
            <w:r>
              <w:rPr>
                <w:rStyle w:val="44"/>
                <w:rFonts w:hint="default" w:ascii="Times New Roman" w:hAnsi="宋体"/>
                <w:color w:val="000000" w:themeColor="text1"/>
                <w:kern w:val="0"/>
                <w:highlight w:val="none"/>
                <w14:textFill>
                  <w14:solidFill>
                    <w14:schemeClr w14:val="tx1"/>
                  </w14:solidFill>
                </w14:textFill>
              </w:rPr>
              <w:t>经采取上述污染防治措施后，施工噪声不会对周围环境造成的大的不利影响。</w:t>
            </w:r>
          </w:p>
          <w:p w14:paraId="4BA97851">
            <w:pPr>
              <w:widowControl/>
              <w:spacing w:line="360" w:lineRule="auto"/>
              <w:ind w:firstLine="482" w:firstLineChars="200"/>
              <w:rPr>
                <w:rStyle w:val="44"/>
                <w:rFonts w:hint="default" w:ascii="Times New Roman" w:hAnsi="宋体"/>
                <w:b/>
                <w:bCs/>
                <w:color w:val="auto"/>
                <w:kern w:val="0"/>
                <w:highlight w:val="none"/>
              </w:rPr>
            </w:pPr>
            <w:r>
              <w:rPr>
                <w:rStyle w:val="44"/>
                <w:rFonts w:hint="default" w:ascii="Times New Roman" w:hAnsi="宋体"/>
                <w:b/>
                <w:bCs/>
                <w:color w:val="auto"/>
                <w:kern w:val="0"/>
                <w:highlight w:val="none"/>
              </w:rPr>
              <w:t>4、固体污染物防治措施</w:t>
            </w:r>
          </w:p>
          <w:p w14:paraId="7FDAF35A">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本项目产生的固体废物主要为一般固废、生活垃圾和危险废物。</w:t>
            </w:r>
          </w:p>
          <w:p w14:paraId="6E313799">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一般固废主要为</w:t>
            </w:r>
            <w:r>
              <w:rPr>
                <w:rStyle w:val="44"/>
                <w:rFonts w:hint="eastAsia" w:ascii="Times New Roman" w:hAnsi="宋体"/>
                <w:color w:val="auto"/>
                <w:kern w:val="0"/>
                <w:highlight w:val="none"/>
                <w:lang w:val="en-US" w:eastAsia="zh-CN"/>
              </w:rPr>
              <w:t>钻井泥浆</w:t>
            </w:r>
            <w:r>
              <w:rPr>
                <w:rStyle w:val="44"/>
                <w:rFonts w:hint="default" w:ascii="Times New Roman" w:hAnsi="宋体"/>
                <w:color w:val="auto"/>
                <w:kern w:val="0"/>
                <w:highlight w:val="none"/>
              </w:rPr>
              <w:t>、</w:t>
            </w:r>
            <w:r>
              <w:rPr>
                <w:rStyle w:val="44"/>
                <w:rFonts w:hint="eastAsia" w:ascii="Times New Roman" w:hAnsi="宋体"/>
                <w:color w:val="auto"/>
                <w:kern w:val="0"/>
                <w:highlight w:val="none"/>
                <w:lang w:eastAsia="zh-CN"/>
              </w:rPr>
              <w:t>岩芯碎屑</w:t>
            </w:r>
            <w:r>
              <w:rPr>
                <w:rStyle w:val="44"/>
                <w:rFonts w:hint="default" w:ascii="Times New Roman" w:hAnsi="宋体"/>
                <w:color w:val="auto"/>
                <w:kern w:val="0"/>
                <w:highlight w:val="none"/>
              </w:rPr>
              <w:t>和废包装材料。生活垃圾主要来自员工办公。危险废物主要为废润滑油和废润滑油桶、废含油抹布和废含油手套。</w:t>
            </w:r>
          </w:p>
          <w:p w14:paraId="6C4FB6A3">
            <w:pPr>
              <w:pStyle w:val="6"/>
              <w:spacing w:line="360" w:lineRule="auto"/>
              <w:ind w:firstLine="480"/>
              <w:rPr>
                <w:rStyle w:val="44"/>
                <w:rFonts w:hint="default" w:ascii="Times New Roman" w:hAnsi="宋体"/>
                <w:color w:val="auto"/>
                <w:kern w:val="0"/>
                <w:highlight w:val="none"/>
              </w:rPr>
            </w:pPr>
            <w:r>
              <w:rPr>
                <w:rStyle w:val="44"/>
                <w:rFonts w:hint="eastAsia" w:ascii="Times New Roman" w:hAnsi="宋体"/>
                <w:color w:val="auto"/>
                <w:kern w:val="0"/>
                <w:highlight w:val="none"/>
                <w:lang w:val="en-US" w:eastAsia="zh-CN"/>
              </w:rPr>
              <w:t>钻井泥浆</w:t>
            </w:r>
            <w:r>
              <w:rPr>
                <w:rStyle w:val="44"/>
                <w:rFonts w:hint="default" w:ascii="Times New Roman" w:hAnsi="宋体"/>
                <w:color w:val="auto"/>
                <w:kern w:val="0"/>
                <w:highlight w:val="none"/>
              </w:rPr>
              <w:t>暂存于</w:t>
            </w:r>
            <w:r>
              <w:rPr>
                <w:rStyle w:val="44"/>
                <w:rFonts w:hint="eastAsia" w:ascii="Times New Roman" w:hAnsi="宋体"/>
                <w:color w:val="auto"/>
                <w:kern w:val="0"/>
                <w:highlight w:val="none"/>
                <w:lang w:eastAsia="zh-CN"/>
              </w:rPr>
              <w:t>泥浆池</w:t>
            </w:r>
            <w:r>
              <w:rPr>
                <w:rStyle w:val="44"/>
                <w:rFonts w:hint="default" w:ascii="Times New Roman" w:hAnsi="宋体"/>
                <w:color w:val="auto"/>
                <w:kern w:val="0"/>
                <w:highlight w:val="none"/>
              </w:rPr>
              <w:t>中，待钻井结束后投加泥浆固化剂后作为周边路基维护的建材使用；</w:t>
            </w:r>
            <w:r>
              <w:rPr>
                <w:rStyle w:val="44"/>
                <w:rFonts w:hint="eastAsia" w:ascii="Times New Roman" w:hAnsi="宋体"/>
                <w:color w:val="auto"/>
                <w:kern w:val="0"/>
                <w:highlight w:val="none"/>
                <w:lang w:eastAsia="zh-CN"/>
              </w:rPr>
              <w:t>岩芯碎屑</w:t>
            </w:r>
            <w:r>
              <w:rPr>
                <w:rStyle w:val="44"/>
                <w:rFonts w:hint="eastAsia" w:ascii="Times New Roman" w:hAnsi="宋体"/>
                <w:color w:val="auto"/>
                <w:kern w:val="0"/>
                <w:highlight w:val="none"/>
                <w:lang w:val="en-US" w:eastAsia="zh-CN"/>
              </w:rPr>
              <w:t>集中收集暂存与岩芯摆放区，</w:t>
            </w:r>
            <w:r>
              <w:rPr>
                <w:rFonts w:hint="eastAsia" w:ascii="Times New Roman" w:hAnsi="宋体"/>
                <w:color w:val="auto"/>
                <w:sz w:val="24"/>
                <w:highlight w:val="none"/>
                <w:lang w:val="en-US" w:eastAsia="zh-CN"/>
              </w:rPr>
              <w:t>委托建材单位回收处置</w:t>
            </w:r>
            <w:r>
              <w:rPr>
                <w:rStyle w:val="44"/>
                <w:rFonts w:hint="default" w:ascii="Times New Roman" w:hAnsi="宋体"/>
                <w:color w:val="auto"/>
                <w:kern w:val="0"/>
                <w:highlight w:val="none"/>
              </w:rPr>
              <w:t>；废包装材料集中收集后外售处理。生活垃圾利用周边农村农户现有的设施进行收集，由环卫部门统一清运处理。废润滑油、废润滑油桶、废含油抹布和废含油手套需集中收集，暂存于</w:t>
            </w:r>
            <w:r>
              <w:rPr>
                <w:rStyle w:val="44"/>
                <w:rFonts w:hint="eastAsia" w:ascii="Times New Roman" w:hAnsi="宋体"/>
                <w:color w:val="auto"/>
                <w:kern w:val="0"/>
                <w:highlight w:val="none"/>
                <w:lang w:val="en-US" w:eastAsia="zh-CN"/>
              </w:rPr>
              <w:t>各个井场的</w:t>
            </w:r>
            <w:r>
              <w:rPr>
                <w:rStyle w:val="44"/>
                <w:rFonts w:hint="default" w:ascii="Times New Roman" w:hAnsi="宋体"/>
                <w:color w:val="auto"/>
                <w:kern w:val="0"/>
                <w:highlight w:val="none"/>
              </w:rPr>
              <w:t>危废暂存间内，定期交由有资质单位处置。</w:t>
            </w:r>
          </w:p>
          <w:p w14:paraId="71788008">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综上所述，项目固废均得到合理处置，不会产生二次污染，对周边环境的影响较小。</w:t>
            </w:r>
          </w:p>
          <w:p w14:paraId="4DEB0AA2">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（1）一般固废管理要求：</w:t>
            </w:r>
          </w:p>
          <w:p w14:paraId="7FB87585">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一般固废暂存间应该满足相关法律法规要求：</w:t>
            </w:r>
          </w:p>
          <w:p w14:paraId="57ED19C0">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①按照《一般工业固体废物贮存和填埋污染控制标准》（GB18599-2020）中规定其贮存过程应满足相应防渗漏、防雨淋、防扬尘等环境保护要求。</w:t>
            </w:r>
          </w:p>
          <w:p w14:paraId="1656628F">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②收集、贮存、运输、利用、处置固体废物的单位和其他生产经营者，应当加强对相关设施、设备和场所的管理和维护，保证其正常运行和使用。</w:t>
            </w:r>
          </w:p>
          <w:p w14:paraId="494ACBB3">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③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p w14:paraId="3364114D">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④禁止向生活垃圾收集设施中投放工业固体废物。</w:t>
            </w:r>
          </w:p>
          <w:p w14:paraId="55F36D6F">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⑤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p w14:paraId="1474AFE2">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⑥建设工业固体废物贮存、处置的设施、场所，应当符合《一般工业固体废物贮存和填埋污染控制标准》（GB18599-2020）。</w:t>
            </w:r>
          </w:p>
          <w:p w14:paraId="2EDBF4E9">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（2）生活垃圾管理要求：</w:t>
            </w:r>
          </w:p>
          <w:p w14:paraId="241212CC">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按照《中华人民共和国固体废物污染环境防治法》（2020年04月30日）有关规定设置暂存场所，应当依法在指定的地点分类投放生活垃圾。已经分类投放的生活垃圾，应当按照规定分类收集、分类运输、分类处理清扫、收集、运输、处理城乡生活垃圾，应当遵守国家有关环境保护和环境卫生管理的规定，防止污染环境。</w:t>
            </w:r>
          </w:p>
          <w:p w14:paraId="144F0607">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（3）项目危险废物管理要求：</w:t>
            </w:r>
          </w:p>
          <w:p w14:paraId="57CE02E5">
            <w:pPr>
              <w:spacing w:line="360" w:lineRule="auto"/>
              <w:ind w:firstLine="482"/>
              <w:rPr>
                <w:rStyle w:val="44"/>
                <w:rFonts w:hint="default" w:ascii="Times New Roman" w:hAnsi="宋体"/>
                <w:color w:val="auto"/>
                <w:kern w:val="0"/>
                <w:highlight w:val="none"/>
              </w:rPr>
            </w:pPr>
            <w:r>
              <w:rPr>
                <w:rStyle w:val="44"/>
                <w:rFonts w:hint="default" w:ascii="Times New Roman" w:hAnsi="宋体"/>
                <w:color w:val="auto"/>
                <w:kern w:val="0"/>
                <w:highlight w:val="none"/>
              </w:rPr>
              <w:t>项目对危险废物进行临时贮存，转移和最终处置严格按照《危险废物收集、贮存、运输技术规范》（HJ2025-2012）中相关规定，危险废物临时贮存期间应满足《危险废物贮存污染控制标准》（GB18597-2023）和《中华人民共和国固体废弃物污染环境防治法》中的有关规定，严禁将危险废物混入非危险废物中，并对产生的危险废物向当地生态环境局备案。</w:t>
            </w:r>
          </w:p>
          <w:p w14:paraId="246DE82F">
            <w:pPr>
              <w:spacing w:line="360" w:lineRule="auto"/>
              <w:ind w:firstLine="480" w:firstLineChars="200"/>
              <w:rPr>
                <w:rStyle w:val="44"/>
                <w:rFonts w:hint="default" w:ascii="Times New Roman" w:hAnsi="宋体"/>
                <w:color w:val="auto"/>
                <w:kern w:val="0"/>
              </w:rPr>
            </w:pPr>
            <w:r>
              <w:rPr>
                <w:rStyle w:val="44"/>
                <w:rFonts w:hint="default" w:ascii="Times New Roman" w:hAnsi="宋体"/>
                <w:color w:val="auto"/>
                <w:kern w:val="0"/>
              </w:rPr>
              <w:t>按照危险固废处置的有关规定，对属于国家</w:t>
            </w:r>
            <w:r>
              <w:rPr>
                <w:rStyle w:val="44"/>
                <w:rFonts w:hint="default" w:ascii="Times New Roman" w:hAnsi="宋体"/>
                <w:color w:val="000000" w:themeColor="text1"/>
                <w:kern w:val="0"/>
                <w14:textFill>
                  <w14:solidFill>
                    <w14:schemeClr w14:val="tx1"/>
                  </w14:solidFill>
                </w14:textFill>
              </w:rPr>
              <w:t>规定危险废物之列的固体废物，必须委托有资质单位进行妥善处理。外运时需要严格按照《</w:t>
            </w:r>
            <w:bookmarkStart w:id="16" w:name="OLE_LINK3"/>
            <w:r>
              <w:rPr>
                <w:rStyle w:val="44"/>
                <w:rFonts w:hint="default" w:ascii="Times New Roman" w:hAnsi="宋体"/>
                <w:color w:val="000000" w:themeColor="text1"/>
                <w:kern w:val="0"/>
                <w14:textFill>
                  <w14:solidFill>
                    <w14:schemeClr w14:val="tx1"/>
                  </w14:solidFill>
                </w14:textFill>
              </w:rPr>
              <w:t>危险废物转移管理办法</w:t>
            </w:r>
            <w:bookmarkEnd w:id="16"/>
            <w:r>
              <w:rPr>
                <w:rStyle w:val="44"/>
                <w:rFonts w:hint="default" w:ascii="Times New Roman" w:hAnsi="宋体"/>
                <w:color w:val="000000" w:themeColor="text1"/>
                <w:kern w:val="0"/>
                <w14:textFill>
                  <w14:solidFill>
                    <w14:schemeClr w14:val="tx1"/>
                  </w14:solidFill>
                </w14:textFill>
              </w:rPr>
              <w:t>》</w:t>
            </w:r>
            <w:r>
              <w:rPr>
                <w:rStyle w:val="44"/>
                <w:rFonts w:hint="eastAsia" w:ascii="Times New Roman" w:hAnsi="宋体"/>
                <w:color w:val="000000" w:themeColor="text1"/>
                <w:kern w:val="0"/>
                <w:lang w:eastAsia="zh-CN"/>
                <w14:textFill>
                  <w14:solidFill>
                    <w14:schemeClr w14:val="tx1"/>
                  </w14:solidFill>
                </w14:textFill>
              </w:rPr>
              <w:t>（</w:t>
            </w:r>
            <w:r>
              <w:rPr>
                <w:rStyle w:val="44"/>
                <w:rFonts w:hint="eastAsia" w:ascii="Times New Roman" w:hAnsi="宋体"/>
                <w:color w:val="000000" w:themeColor="text1"/>
                <w:kern w:val="0"/>
                <w:lang w:val="en-US" w:eastAsia="zh-CN"/>
                <w14:textFill>
                  <w14:solidFill>
                    <w14:schemeClr w14:val="tx1"/>
                  </w14:solidFill>
                </w14:textFill>
              </w:rPr>
              <w:t>部令第23号</w:t>
            </w:r>
            <w:r>
              <w:rPr>
                <w:rStyle w:val="44"/>
                <w:rFonts w:hint="eastAsia" w:ascii="Times New Roman" w:hAnsi="宋体"/>
                <w:color w:val="000000" w:themeColor="text1"/>
                <w:kern w:val="0"/>
                <w:lang w:eastAsia="zh-CN"/>
                <w14:textFill>
                  <w14:solidFill>
                    <w14:schemeClr w14:val="tx1"/>
                  </w14:solidFill>
                </w14:textFill>
              </w:rPr>
              <w:t>）</w:t>
            </w:r>
            <w:r>
              <w:rPr>
                <w:rStyle w:val="44"/>
                <w:rFonts w:hint="default" w:ascii="Times New Roman" w:hAnsi="宋体"/>
                <w:color w:val="000000" w:themeColor="text1"/>
                <w:kern w:val="0"/>
                <w14:textFill>
                  <w14:solidFill>
                    <w14:schemeClr w14:val="tx1"/>
                  </w14:solidFill>
                </w14:textFill>
              </w:rPr>
              <w:t>的相关规定报批危险</w:t>
            </w:r>
            <w:r>
              <w:rPr>
                <w:rStyle w:val="44"/>
                <w:rFonts w:hint="default" w:ascii="Times New Roman" w:hAnsi="宋体"/>
                <w:color w:val="auto"/>
                <w:kern w:val="0"/>
              </w:rPr>
              <w:t>废物转移计划，应做到不沿途抛洒；因此，必须加强对固体废弃物的管理，确保各类固体废弃物的妥善处置，固体废弃物贮存场所所应有明显的标志，并有防风、防雨、防晒等设施。</w:t>
            </w:r>
          </w:p>
          <w:p w14:paraId="2771171C">
            <w:pPr>
              <w:widowControl/>
              <w:spacing w:line="360" w:lineRule="auto"/>
              <w:ind w:firstLine="482" w:firstLineChars="200"/>
              <w:rPr>
                <w:rStyle w:val="44"/>
                <w:rFonts w:hint="default" w:ascii="Times New Roman" w:hAnsi="宋体"/>
                <w:b/>
                <w:bCs/>
                <w:color w:val="auto"/>
                <w:kern w:val="0"/>
              </w:rPr>
            </w:pPr>
            <w:r>
              <w:rPr>
                <w:rStyle w:val="44"/>
                <w:rFonts w:hint="default" w:ascii="Times New Roman" w:hAnsi="宋体"/>
                <w:b/>
                <w:bCs/>
                <w:color w:val="auto"/>
                <w:kern w:val="0"/>
              </w:rPr>
              <w:t>5、环境风险防治措施</w:t>
            </w:r>
          </w:p>
          <w:p w14:paraId="21A5CCC7">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（1）火灾事故的风险防范措施</w:t>
            </w:r>
          </w:p>
          <w:p w14:paraId="5D80DC85">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①</w:t>
            </w:r>
            <w:r>
              <w:rPr>
                <w:rStyle w:val="44"/>
                <w:rFonts w:hint="eastAsia" w:ascii="Times New Roman" w:hAnsi="宋体"/>
                <w:color w:val="auto"/>
                <w:lang w:val="en-US" w:eastAsia="zh-CN"/>
              </w:rPr>
              <w:t>井场内</w:t>
            </w:r>
            <w:r>
              <w:rPr>
                <w:rStyle w:val="44"/>
                <w:rFonts w:hint="default" w:ascii="Times New Roman" w:hAnsi="宋体"/>
                <w:color w:val="auto"/>
              </w:rPr>
              <w:t>配有足量的</w:t>
            </w:r>
            <w:r>
              <w:rPr>
                <w:rStyle w:val="44"/>
                <w:rFonts w:hint="eastAsia" w:ascii="Times New Roman" w:hAnsi="宋体"/>
                <w:color w:val="auto"/>
                <w:lang w:val="en-US" w:eastAsia="zh-CN"/>
              </w:rPr>
              <w:t>消防</w:t>
            </w:r>
            <w:r>
              <w:rPr>
                <w:rStyle w:val="44"/>
                <w:rFonts w:hint="default" w:ascii="Times New Roman" w:hAnsi="宋体"/>
                <w:color w:val="auto"/>
              </w:rPr>
              <w:t>器材，以便处理初期火灾；</w:t>
            </w:r>
          </w:p>
          <w:p w14:paraId="38A01D6B">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②定期或不定期对消防设备进行检查，及时发现及时采取更换或维修；</w:t>
            </w:r>
          </w:p>
          <w:p w14:paraId="129FF958">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③为防止钻井过程中可能发生的甲烷气体溢出，在钻井井口需设置甲烷气体监测设备，并在钻井平台设置灭火器材。严格管理火种，划定禁火区，严禁携带火种进入禁火区内。</w:t>
            </w:r>
          </w:p>
          <w:p w14:paraId="69E47EB5">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（2）泥浆水泄露或外溢风险防范措施</w:t>
            </w:r>
          </w:p>
          <w:p w14:paraId="14214CE3">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①泥浆水泄漏防范措施</w:t>
            </w:r>
          </w:p>
          <w:p w14:paraId="61E91B76">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a、</w:t>
            </w:r>
            <w:r>
              <w:rPr>
                <w:rStyle w:val="44"/>
                <w:rFonts w:hint="eastAsia" w:ascii="Times New Roman" w:hAnsi="宋体"/>
                <w:color w:val="auto"/>
                <w:highlight w:val="none"/>
                <w:lang w:eastAsia="zh-CN"/>
              </w:rPr>
              <w:t>泥浆池</w:t>
            </w:r>
            <w:r>
              <w:rPr>
                <w:rStyle w:val="44"/>
                <w:rFonts w:hint="default" w:ascii="Times New Roman" w:hAnsi="宋体"/>
                <w:color w:val="auto"/>
                <w:highlight w:val="none"/>
              </w:rPr>
              <w:t>体所在平台选址应避开不良地质或地质松散的地段，选择地质结构稳定的地方，并做好地面防渗工作。</w:t>
            </w:r>
          </w:p>
          <w:p w14:paraId="0542150D">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b、按相关要求规定对废浆干化池、</w:t>
            </w:r>
            <w:r>
              <w:rPr>
                <w:rStyle w:val="44"/>
                <w:rFonts w:hint="eastAsia" w:ascii="Times New Roman" w:hAnsi="宋体"/>
                <w:color w:val="auto"/>
                <w:highlight w:val="none"/>
                <w:lang w:eastAsia="zh-CN"/>
              </w:rPr>
              <w:t>泥浆池</w:t>
            </w:r>
            <w:r>
              <w:rPr>
                <w:rStyle w:val="44"/>
                <w:rFonts w:hint="default" w:ascii="Times New Roman" w:hAnsi="宋体"/>
                <w:color w:val="auto"/>
                <w:highlight w:val="none"/>
              </w:rPr>
              <w:t>等池体进行防渗处理。</w:t>
            </w:r>
          </w:p>
          <w:p w14:paraId="546C62F9">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c、加强员工操作，规范管理。</w:t>
            </w:r>
          </w:p>
          <w:p w14:paraId="1792CCD4">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②泥浆水外溢防范措施</w:t>
            </w:r>
          </w:p>
          <w:p w14:paraId="54159EE3">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a、对井场干化池、</w:t>
            </w:r>
            <w:r>
              <w:rPr>
                <w:rStyle w:val="44"/>
                <w:rFonts w:hint="eastAsia" w:ascii="Times New Roman" w:hAnsi="宋体"/>
                <w:color w:val="auto"/>
                <w:highlight w:val="none"/>
                <w:lang w:eastAsia="zh-CN"/>
              </w:rPr>
              <w:t>泥浆池</w:t>
            </w:r>
            <w:r>
              <w:rPr>
                <w:rStyle w:val="44"/>
                <w:rFonts w:hint="default" w:ascii="Times New Roman" w:hAnsi="宋体"/>
                <w:color w:val="auto"/>
                <w:highlight w:val="none"/>
              </w:rPr>
              <w:t>等池体定期检查、巡视，避免池体储存量过大，保持池体留有一定的富余容量，减少池体储存量，降低废水外溢风险，特别在降雨来临之前要做好遮雨措施，防止废水渗漏或外溢污染地表水及浅层地下水。</w:t>
            </w:r>
          </w:p>
          <w:p w14:paraId="38309DC7">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b、井场采用清污分流系统，并定期进行维护，在暴雨季节，加强巡查，降低废水外溢的环境风险。</w:t>
            </w:r>
          </w:p>
          <w:p w14:paraId="6A1CBB8B">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③泥浆水外溢应急措施</w:t>
            </w:r>
          </w:p>
          <w:p w14:paraId="1849BB20">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通过修建拦水沟和及时转运等措施，将废浆干化池、</w:t>
            </w:r>
            <w:r>
              <w:rPr>
                <w:rStyle w:val="44"/>
                <w:rFonts w:hint="eastAsia" w:ascii="Times New Roman" w:hAnsi="宋体"/>
                <w:color w:val="auto"/>
                <w:lang w:eastAsia="zh-CN"/>
              </w:rPr>
              <w:t>泥浆池</w:t>
            </w:r>
            <w:r>
              <w:rPr>
                <w:rStyle w:val="44"/>
                <w:rFonts w:hint="default" w:ascii="Times New Roman" w:hAnsi="宋体"/>
                <w:color w:val="auto"/>
              </w:rPr>
              <w:t>等池体所在平台沿地表加高20～50cm，并保持废浆干化池、</w:t>
            </w:r>
            <w:r>
              <w:rPr>
                <w:rStyle w:val="44"/>
                <w:rFonts w:hint="eastAsia" w:ascii="Times New Roman" w:hAnsi="宋体"/>
                <w:color w:val="auto"/>
                <w:lang w:eastAsia="zh-CN"/>
              </w:rPr>
              <w:t>泥浆池</w:t>
            </w:r>
            <w:r>
              <w:rPr>
                <w:rStyle w:val="44"/>
                <w:rFonts w:hint="default" w:ascii="Times New Roman" w:hAnsi="宋体"/>
                <w:color w:val="auto"/>
              </w:rPr>
              <w:t>等池体高为20～50cm，防止废水外溢</w:t>
            </w:r>
            <w:r>
              <w:rPr>
                <w:rStyle w:val="44"/>
                <w:rFonts w:hint="eastAsia" w:ascii="Times New Roman" w:hAnsi="宋体"/>
                <w:color w:val="auto"/>
                <w:lang w:eastAsia="zh-CN"/>
              </w:rPr>
              <w:t>；</w:t>
            </w:r>
            <w:r>
              <w:rPr>
                <w:rStyle w:val="44"/>
                <w:rFonts w:hint="default" w:ascii="Times New Roman" w:hAnsi="宋体"/>
                <w:color w:val="auto"/>
              </w:rPr>
              <w:t>在井场周围、废浆干化池、</w:t>
            </w:r>
            <w:r>
              <w:rPr>
                <w:rStyle w:val="44"/>
                <w:rFonts w:hint="eastAsia" w:ascii="Times New Roman" w:hAnsi="宋体"/>
                <w:color w:val="auto"/>
                <w:lang w:eastAsia="zh-CN"/>
              </w:rPr>
              <w:t>泥浆池</w:t>
            </w:r>
            <w:r>
              <w:rPr>
                <w:rStyle w:val="44"/>
                <w:rFonts w:hint="default" w:ascii="Times New Roman" w:hAnsi="宋体"/>
                <w:color w:val="auto"/>
              </w:rPr>
              <w:t>等池体周围设截水沟，将从井场、废浆干化池、</w:t>
            </w:r>
            <w:r>
              <w:rPr>
                <w:rStyle w:val="44"/>
                <w:rFonts w:hint="eastAsia" w:ascii="Times New Roman" w:hAnsi="宋体"/>
                <w:color w:val="auto"/>
                <w:lang w:eastAsia="zh-CN"/>
              </w:rPr>
              <w:t>泥浆池</w:t>
            </w:r>
            <w:r>
              <w:rPr>
                <w:rStyle w:val="44"/>
                <w:rFonts w:hint="default" w:ascii="Times New Roman" w:hAnsi="宋体"/>
                <w:color w:val="auto"/>
              </w:rPr>
              <w:t>等池体溢出的污水截留下来，截留的废水收集至废水池中</w:t>
            </w:r>
            <w:r>
              <w:rPr>
                <w:rStyle w:val="44"/>
                <w:rFonts w:hint="eastAsia" w:ascii="Times New Roman" w:hAnsi="宋体"/>
                <w:color w:val="auto"/>
                <w:lang w:eastAsia="zh-CN"/>
              </w:rPr>
              <w:t>；</w:t>
            </w:r>
            <w:r>
              <w:rPr>
                <w:rStyle w:val="44"/>
                <w:rFonts w:hint="default" w:ascii="Times New Roman" w:hAnsi="宋体"/>
                <w:color w:val="auto"/>
              </w:rPr>
              <w:t>在发生废水外溢事故时，在废浆干化池、</w:t>
            </w:r>
            <w:r>
              <w:rPr>
                <w:rStyle w:val="44"/>
                <w:rFonts w:hint="eastAsia" w:ascii="Times New Roman" w:hAnsi="宋体"/>
                <w:color w:val="auto"/>
                <w:lang w:eastAsia="zh-CN"/>
              </w:rPr>
              <w:t>泥浆池</w:t>
            </w:r>
            <w:r>
              <w:rPr>
                <w:rStyle w:val="44"/>
                <w:rFonts w:hint="default" w:ascii="Times New Roman" w:hAnsi="宋体"/>
                <w:color w:val="auto"/>
              </w:rPr>
              <w:t>等池体周围的低洼区域和废浆干化池、</w:t>
            </w:r>
            <w:r>
              <w:rPr>
                <w:rStyle w:val="44"/>
                <w:rFonts w:hint="eastAsia" w:ascii="Times New Roman" w:hAnsi="宋体"/>
                <w:color w:val="auto"/>
                <w:lang w:eastAsia="zh-CN"/>
              </w:rPr>
              <w:t>泥浆池</w:t>
            </w:r>
            <w:r>
              <w:rPr>
                <w:rStyle w:val="44"/>
                <w:rFonts w:hint="default" w:ascii="Times New Roman" w:hAnsi="宋体"/>
                <w:color w:val="auto"/>
              </w:rPr>
              <w:t>等池体外溢口处采用沙包、装土编织袋等拦截措施阻拦外溢废水，避免废水流入外环境之中。</w:t>
            </w:r>
          </w:p>
          <w:p w14:paraId="69ECAD25">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（3）危险废物的储存要求和防范措施</w:t>
            </w:r>
          </w:p>
          <w:p w14:paraId="7720B5F9">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本项目在施工过程中产生的废润滑油属于危险废物，因此必须对其加以严格控制以防止事故的发生，从而造成不必要的损失，为此本评价对上述危险物品提出如下规范或要求：</w:t>
            </w:r>
          </w:p>
          <w:p w14:paraId="5552A03D">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①上述危险</w:t>
            </w:r>
            <w:r>
              <w:rPr>
                <w:rStyle w:val="44"/>
                <w:rFonts w:hint="eastAsia" w:ascii="Times New Roman" w:hAnsi="宋体"/>
                <w:color w:val="auto"/>
                <w:lang w:val="en-US" w:eastAsia="zh-CN"/>
              </w:rPr>
              <w:t>废物</w:t>
            </w:r>
            <w:r>
              <w:rPr>
                <w:rStyle w:val="44"/>
                <w:rFonts w:hint="default" w:ascii="Times New Roman" w:hAnsi="宋体"/>
                <w:color w:val="auto"/>
              </w:rPr>
              <w:t>的贮存必须符合《中华人民共和国消防法》、《常用化学危险品贮存通则》（GB15603-1995）以及《仓库防火安全管理规则》等相关规定，如：贮存场所配备足够的、适应的消防器材，完善各项规章制度，在仓库等储存区设置明显的防火标志、危险标志等。</w:t>
            </w:r>
          </w:p>
          <w:p w14:paraId="362E0203">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②存放危险</w:t>
            </w:r>
            <w:r>
              <w:rPr>
                <w:rStyle w:val="44"/>
                <w:rFonts w:hint="eastAsia" w:ascii="Times New Roman" w:hAnsi="宋体"/>
                <w:color w:val="auto"/>
                <w:lang w:val="en-US" w:eastAsia="zh-CN"/>
              </w:rPr>
              <w:t>废物</w:t>
            </w:r>
            <w:r>
              <w:rPr>
                <w:rStyle w:val="44"/>
                <w:rFonts w:hint="default" w:ascii="Times New Roman" w:hAnsi="宋体"/>
                <w:color w:val="auto"/>
              </w:rPr>
              <w:t>时，要求做到稳固整齐，便于搬运，不致于稍受外力即跌落或因搬运不便而造成事故。</w:t>
            </w:r>
          </w:p>
          <w:p w14:paraId="05635A71">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（4）溢流、井喷风险防范措施</w:t>
            </w:r>
          </w:p>
          <w:p w14:paraId="760EC2FF">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①严格执行井控工作管理制度，落实溢流监测岗位、关井操作岗位和钻井队干部24h值班制度。</w:t>
            </w:r>
          </w:p>
          <w:p w14:paraId="7CDA5FCC">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②对现场所有作业人员进行井控培训并定期举行不同工况下的井控演练。</w:t>
            </w:r>
          </w:p>
          <w:p w14:paraId="18EB32AB">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③严格落实坐岗制度，无论钻进还是起下钻，或其它辅助作业，钻井班落实专人坐岗观察钻井</w:t>
            </w:r>
            <w:r>
              <w:rPr>
                <w:rStyle w:val="44"/>
                <w:rFonts w:hint="eastAsia" w:ascii="Times New Roman" w:hAnsi="宋体"/>
                <w:color w:val="auto"/>
                <w:highlight w:val="none"/>
                <w:lang w:val="en-US" w:eastAsia="zh-CN"/>
              </w:rPr>
              <w:t>泥浆</w:t>
            </w:r>
            <w:r>
              <w:rPr>
                <w:rStyle w:val="44"/>
                <w:rFonts w:hint="default" w:ascii="Times New Roman" w:hAnsi="宋体"/>
                <w:color w:val="auto"/>
                <w:highlight w:val="none"/>
              </w:rPr>
              <w:t>面变化和钻井</w:t>
            </w:r>
            <w:r>
              <w:rPr>
                <w:rStyle w:val="44"/>
                <w:rFonts w:hint="eastAsia" w:ascii="Times New Roman" w:hAnsi="宋体"/>
                <w:color w:val="auto"/>
                <w:highlight w:val="none"/>
                <w:lang w:val="en-US" w:eastAsia="zh-CN"/>
              </w:rPr>
              <w:t>泥浆</w:t>
            </w:r>
            <w:r>
              <w:rPr>
                <w:rStyle w:val="44"/>
                <w:rFonts w:hint="default" w:ascii="Times New Roman" w:hAnsi="宋体"/>
                <w:color w:val="auto"/>
                <w:highlight w:val="none"/>
              </w:rPr>
              <w:t>出口情况。</w:t>
            </w:r>
          </w:p>
          <w:p w14:paraId="19C89631">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④认真做好随钻地层压力的监测工作，发现地层压力异常、溢流、井涌等情况，应及时关井并调整钻井</w:t>
            </w:r>
            <w:r>
              <w:rPr>
                <w:rStyle w:val="44"/>
                <w:rFonts w:hint="eastAsia" w:ascii="Times New Roman" w:hAnsi="宋体"/>
                <w:color w:val="auto"/>
                <w:highlight w:val="none"/>
                <w:lang w:val="en-US" w:eastAsia="zh-CN"/>
              </w:rPr>
              <w:t>泥浆</w:t>
            </w:r>
            <w:r>
              <w:rPr>
                <w:rStyle w:val="44"/>
                <w:rFonts w:hint="default" w:ascii="Times New Roman" w:hAnsi="宋体"/>
                <w:color w:val="auto"/>
                <w:highlight w:val="none"/>
              </w:rPr>
              <w:t>密度，同时上报有关部门。</w:t>
            </w:r>
          </w:p>
          <w:p w14:paraId="3B3A28CE">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⑤严格控制起下钻速度，起钻必须按照规定灌满钻井</w:t>
            </w:r>
            <w:r>
              <w:rPr>
                <w:rStyle w:val="44"/>
                <w:rFonts w:hint="eastAsia" w:ascii="Times New Roman" w:hAnsi="宋体"/>
                <w:color w:val="auto"/>
                <w:highlight w:val="none"/>
                <w:lang w:val="en-US" w:eastAsia="zh-CN"/>
              </w:rPr>
              <w:t>泥浆</w:t>
            </w:r>
            <w:r>
              <w:rPr>
                <w:rStyle w:val="44"/>
                <w:rFonts w:hint="default" w:ascii="Times New Roman" w:hAnsi="宋体"/>
                <w:color w:val="auto"/>
                <w:highlight w:val="none"/>
              </w:rPr>
              <w:t>。</w:t>
            </w:r>
          </w:p>
          <w:p w14:paraId="45CD3C4F">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⑥发生溢流后，根据关井压力，尽快在井口、地层和套管安全条件下压井，待井内平稳后才恢复钻进。</w:t>
            </w:r>
          </w:p>
          <w:p w14:paraId="503760CD">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（5）火灾、泄漏事故次生污染防治措施</w:t>
            </w:r>
          </w:p>
          <w:p w14:paraId="1041C892">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企业发生</w:t>
            </w:r>
            <w:r>
              <w:rPr>
                <w:rStyle w:val="44"/>
                <w:rFonts w:hint="eastAsia" w:ascii="Times New Roman" w:hAnsi="宋体"/>
                <w:color w:val="auto"/>
                <w:lang w:val="en-US" w:eastAsia="zh-CN"/>
              </w:rPr>
              <w:t>危险废物</w:t>
            </w:r>
            <w:r>
              <w:rPr>
                <w:rStyle w:val="44"/>
                <w:rFonts w:hint="default" w:ascii="Times New Roman" w:hAnsi="宋体"/>
                <w:color w:val="auto"/>
              </w:rPr>
              <w:t>泄露或发生火灾事故进行消防时，污染废水或消防废水会到处溢流，可能进入厂区及外环境雨水系统，造成环境污染。</w:t>
            </w:r>
          </w:p>
          <w:p w14:paraId="2CABB48B">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（6）废润滑油储运过程中的风险防治措施</w:t>
            </w:r>
          </w:p>
          <w:p w14:paraId="1E7307A8">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①加强对废润滑油的运输管理，产生后由专人运输至朱集西煤矿危废暂存间，禁止在井场内进行存放。</w:t>
            </w:r>
          </w:p>
          <w:p w14:paraId="6F969605">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（7）其他要求</w:t>
            </w:r>
          </w:p>
          <w:p w14:paraId="54ECA581">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①工程建设时严格按设计要求建设足够容积的各类池体，确保有足够容量存放钻井泥浆及岩屑。</w:t>
            </w:r>
          </w:p>
          <w:p w14:paraId="73CE1C01">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②安装符合行业规范要求的防喷器组，并进行压力测试，最低试压到18Mpa方可投入使用。</w:t>
            </w:r>
          </w:p>
          <w:p w14:paraId="22D0A2F0">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通过风险防范措施制定，可以较为有效的最大限度防止风险事故的发生和风险事故的有效处置，结合企业在施工期间不断完善风险防范措施，项目发生的环境风险可以控制在较低的水平，风险发生概率及危害将低于国内同类企业水平，项目的事故风险值处于可接受水平。</w:t>
            </w:r>
          </w:p>
          <w:p w14:paraId="4BB3B8C6">
            <w:pPr>
              <w:pStyle w:val="31"/>
              <w:adjustRightInd/>
              <w:spacing w:line="360" w:lineRule="auto"/>
              <w:ind w:firstLine="482" w:firstLineChars="200"/>
              <w:jc w:val="both"/>
              <w:rPr>
                <w:rStyle w:val="44"/>
                <w:rFonts w:hint="default" w:ascii="Times New Roman" w:hAnsi="宋体"/>
                <w:b/>
                <w:bCs/>
                <w:color w:val="auto"/>
                <w:highlight w:val="none"/>
              </w:rPr>
            </w:pPr>
            <w:r>
              <w:rPr>
                <w:rStyle w:val="44"/>
                <w:rFonts w:hint="default" w:ascii="Times New Roman" w:hAnsi="宋体"/>
                <w:b/>
                <w:bCs/>
                <w:color w:val="auto"/>
              </w:rPr>
              <w:t>6</w:t>
            </w:r>
            <w:r>
              <w:rPr>
                <w:rStyle w:val="44"/>
                <w:rFonts w:hint="default" w:ascii="Times New Roman" w:hAnsi="宋体"/>
                <w:b/>
                <w:bCs/>
                <w:color w:val="auto"/>
                <w:highlight w:val="none"/>
              </w:rPr>
              <w:t>、生态保护防治措施</w:t>
            </w:r>
          </w:p>
          <w:p w14:paraId="59BC834E">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（1）土地利用现有格局的保护和恢复措施</w:t>
            </w:r>
          </w:p>
          <w:p w14:paraId="4947F4C9">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①施工占地合理规划，尽量控制工程施工活动范围，减少对周边占地的影响。</w:t>
            </w:r>
          </w:p>
          <w:p w14:paraId="09C30249">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②按设计标准规定，严格控制施工作业面积，不得超过作业标准规定，以减少土壤扰动和地表植被破坏，减少裸地和土方暴露面积。</w:t>
            </w:r>
          </w:p>
          <w:p w14:paraId="5083E6DA">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③井场施工作业机械应严格管理，划定活动范围，不得在道路场地以外的地方行驶和作业，保持路外植被不被破坏。</w:t>
            </w:r>
          </w:p>
          <w:p w14:paraId="21D5EBAC">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④项目施工过程中对产生的挖方及时进行平整处理。此外，施工时应避免在雨天、大风等天气条件不利情况下施工，做到水土流失最小化，如遇特殊天气施工，应用施工布料对现挖松散临时土方进行临时遮掩，保证有效控制水土流失。</w:t>
            </w:r>
          </w:p>
          <w:p w14:paraId="1FC1C2D1">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⑤施工结束后，应恢复地貌原状。施工时对占地范围的土壤开挖应做分区堆放，分层回填压实，以保护植被生长层，降低对土壤养分的影响尽快使土壤恢复生产力，同时减少水土流失。</w:t>
            </w:r>
          </w:p>
          <w:p w14:paraId="1D7023D3">
            <w:pPr>
              <w:autoSpaceDE w:val="0"/>
              <w:autoSpaceDN w:val="0"/>
              <w:spacing w:line="360" w:lineRule="auto"/>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（2）生物多样性的保护措施</w:t>
            </w:r>
          </w:p>
          <w:p w14:paraId="4B6731A5">
            <w:pPr>
              <w:autoSpaceDE w:val="0"/>
              <w:autoSpaceDN w:val="0"/>
              <w:spacing w:line="360" w:lineRule="auto"/>
              <w:ind w:firstLine="480" w:firstLineChars="200"/>
              <w:rPr>
                <w:rFonts w:ascii="Times New Roman" w:hAnsi="Times New Roman"/>
                <w:color w:val="auto"/>
                <w:kern w:val="0"/>
                <w:sz w:val="24"/>
                <w:highlight w:val="none"/>
              </w:rPr>
            </w:pPr>
            <w:r>
              <w:rPr>
                <w:rFonts w:hint="eastAsia" w:ascii="宋体" w:hAnsi="宋体" w:cs="宋体"/>
                <w:color w:val="auto"/>
                <w:kern w:val="0"/>
                <w:sz w:val="24"/>
                <w:highlight w:val="none"/>
              </w:rPr>
              <w:t>①</w:t>
            </w:r>
            <w:r>
              <w:rPr>
                <w:rFonts w:ascii="Times New Roman" w:hAnsi="Times New Roman"/>
                <w:color w:val="auto"/>
                <w:kern w:val="0"/>
                <w:sz w:val="24"/>
                <w:highlight w:val="none"/>
              </w:rPr>
              <w:t>在施工过程中，应加强施工人员的管理，禁止施工人员对野外植被滥砍滥伐破坏沿线地区的生态环境。</w:t>
            </w:r>
          </w:p>
          <w:p w14:paraId="1F7F2D59">
            <w:pPr>
              <w:autoSpaceDE w:val="0"/>
              <w:autoSpaceDN w:val="0"/>
              <w:spacing w:line="360" w:lineRule="auto"/>
              <w:ind w:firstLine="480" w:firstLineChars="200"/>
              <w:rPr>
                <w:rFonts w:ascii="Times New Roman" w:hAnsi="Times New Roman"/>
                <w:color w:val="auto"/>
                <w:kern w:val="0"/>
                <w:sz w:val="24"/>
                <w:highlight w:val="none"/>
              </w:rPr>
            </w:pPr>
            <w:r>
              <w:rPr>
                <w:rFonts w:hint="eastAsia" w:ascii="宋体" w:hAnsi="宋体"/>
                <w:color w:val="auto"/>
                <w:kern w:val="0"/>
                <w:sz w:val="24"/>
                <w:highlight w:val="none"/>
              </w:rPr>
              <w:t>②</w:t>
            </w:r>
            <w:r>
              <w:rPr>
                <w:rFonts w:ascii="Times New Roman" w:hAnsi="Times New Roman"/>
                <w:color w:val="auto"/>
                <w:kern w:val="0"/>
                <w:sz w:val="24"/>
                <w:highlight w:val="none"/>
              </w:rPr>
              <w:t>禁止施工人员对野生动物，尤其是珍稀动物的滥捕滥杀，做好野生动物的保护工作。</w:t>
            </w:r>
          </w:p>
          <w:p w14:paraId="213BCCBD">
            <w:pPr>
              <w:autoSpaceDE w:val="0"/>
              <w:autoSpaceDN w:val="0"/>
              <w:spacing w:line="360" w:lineRule="auto"/>
              <w:ind w:firstLine="480" w:firstLineChars="200"/>
              <w:rPr>
                <w:rFonts w:ascii="Times New Roman" w:hAnsi="Times New Roman"/>
                <w:color w:val="auto"/>
                <w:kern w:val="0"/>
                <w:sz w:val="24"/>
                <w:highlight w:val="none"/>
              </w:rPr>
            </w:pPr>
            <w:r>
              <w:rPr>
                <w:rFonts w:ascii="宋体" w:hAnsi="宋体"/>
                <w:color w:val="auto"/>
                <w:kern w:val="0"/>
                <w:sz w:val="24"/>
                <w:highlight w:val="none"/>
              </w:rPr>
              <w:t>③</w:t>
            </w:r>
            <w:r>
              <w:rPr>
                <w:rFonts w:ascii="Times New Roman" w:hAnsi="Times New Roman"/>
                <w:color w:val="auto"/>
                <w:kern w:val="0"/>
                <w:sz w:val="24"/>
                <w:highlight w:val="none"/>
              </w:rPr>
              <w:t>施工期要加大对保护野生动物的宣传力度，大力宣传两栖、爬行动物、鸟类对农林卫生业的作用。</w:t>
            </w:r>
          </w:p>
          <w:p w14:paraId="298C6978">
            <w:pPr>
              <w:pStyle w:val="31"/>
              <w:adjustRightInd/>
              <w:spacing w:line="360" w:lineRule="auto"/>
              <w:ind w:firstLine="480" w:firstLineChars="200"/>
              <w:jc w:val="both"/>
              <w:rPr>
                <w:rStyle w:val="44"/>
                <w:rFonts w:hint="default" w:ascii="Times New Roman" w:hAnsi="宋体"/>
                <w:color w:val="auto"/>
                <w:highlight w:val="none"/>
              </w:rPr>
            </w:pPr>
            <w:r>
              <w:rPr>
                <w:rFonts w:ascii="宋体" w:hAnsi="宋体"/>
                <w:color w:val="auto"/>
                <w:highlight w:val="none"/>
              </w:rPr>
              <w:t>④</w:t>
            </w:r>
            <w:r>
              <w:rPr>
                <w:rFonts w:ascii="Times New Roman" w:hAnsi="Times New Roman"/>
                <w:color w:val="auto"/>
                <w:highlight w:val="none"/>
              </w:rPr>
              <w:t>对水生生物的一般保护措施为：切实加强对水环境的保护，避免井场周边地表水造成影响，施工</w:t>
            </w:r>
            <w:r>
              <w:rPr>
                <w:rFonts w:hint="eastAsia" w:ascii="Times New Roman" w:hAnsi="Times New Roman"/>
                <w:color w:val="auto"/>
                <w:highlight w:val="none"/>
              </w:rPr>
              <w:t>物料</w:t>
            </w:r>
            <w:r>
              <w:rPr>
                <w:rFonts w:ascii="Times New Roman" w:hAnsi="Times New Roman"/>
                <w:color w:val="auto"/>
                <w:highlight w:val="none"/>
              </w:rPr>
              <w:t>的堆放应放置于远离地表水一侧，防止物料被暴雨径流带入水体影响水质，各类</w:t>
            </w:r>
            <w:r>
              <w:rPr>
                <w:rFonts w:hint="eastAsia" w:ascii="Times New Roman" w:hAnsi="Times New Roman"/>
                <w:color w:val="auto"/>
                <w:highlight w:val="none"/>
              </w:rPr>
              <w:t>物料</w:t>
            </w:r>
            <w:r>
              <w:rPr>
                <w:rFonts w:ascii="Times New Roman" w:hAnsi="Times New Roman"/>
                <w:color w:val="auto"/>
                <w:highlight w:val="none"/>
              </w:rPr>
              <w:t>应备有防雨遮雨设施；在施工过程中禁止将污水、垃圾和其它施工机械的废油等污染物拋入水体，应收集后和工地上的污染物一并处理。施工挖出的淤泥渣土等不得抛入河流和其他水体。</w:t>
            </w:r>
          </w:p>
          <w:p w14:paraId="6A9E8E7D">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（3）水土流失防治措施</w:t>
            </w:r>
          </w:p>
          <w:p w14:paraId="499295EE">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①尽量避开雨季施工，提高工程施工效率，缩短施工工期。</w:t>
            </w:r>
          </w:p>
          <w:p w14:paraId="7270A9EE">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②划定施工作业范围线，不随意扩大。并严格控制机械和车辆的作业范围，尽可能减少对土壤和农作物的破坏以及由此引发的水土流失。</w:t>
            </w:r>
          </w:p>
          <w:p w14:paraId="31817311">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③施工单位开工前，应先剥离占地范围内表层土，井场范围内表层土堆至于表层土堆放区内，并对表层土堆放区采用彩条布遮挡、构筑截、排水沟等水保措施，防止水土流失。</w:t>
            </w:r>
          </w:p>
          <w:p w14:paraId="7F4512C1">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w:t>
            </w:r>
            <w:r>
              <w:rPr>
                <w:rStyle w:val="44"/>
                <w:rFonts w:hint="default" w:ascii="宋体" w:hAnsi="宋体" w:cs="宋体"/>
                <w:color w:val="auto"/>
                <w:highlight w:val="none"/>
              </w:rPr>
              <w:t>4</w:t>
            </w:r>
            <w:r>
              <w:rPr>
                <w:rStyle w:val="44"/>
                <w:rFonts w:hint="default" w:ascii="Times New Roman" w:hAnsi="宋体"/>
                <w:color w:val="auto"/>
                <w:highlight w:val="none"/>
              </w:rPr>
              <w:t>）生态影响防护措施</w:t>
            </w:r>
          </w:p>
          <w:p w14:paraId="33780748">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生态影响的防护是指采取对生态影响起到避免、削减和补偿作用的措施。</w:t>
            </w:r>
          </w:p>
          <w:p w14:paraId="0FEF3C00">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本项目井场建设短期内会改变区域土地利用，降低区域自然体系的生产能力，因此，应采取必要的生态防护措施，尽可能的减少对原有生态结构的改变，恢复和改善原生生态系统的功能。在井场建设时要求：</w:t>
            </w:r>
          </w:p>
          <w:p w14:paraId="70F6FDFF">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①强化施工阶段的环境管理，为了保证环境保护措施得到落实，项目单位应将环境保护内容作为合同条款纳入到合同中，要求施工单位按评价要求科学、合理施工，项目单位定期对工程施工情况进行监督。</w:t>
            </w:r>
          </w:p>
          <w:p w14:paraId="74142128">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②加强施工队伍职工环境教育，规范施工人员行为。教育职工爱护生态环境，保护施工场所周围一草一木，不随意摘花折木，严禁砍伐、破坏施工带以外的作物和树木，尽量减少对植被的破坏。</w:t>
            </w:r>
          </w:p>
          <w:p w14:paraId="2F70E74C">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③项目单位要聘请有资质的监理单位进行工程监理，监理单位即要做好工程质量监理，更要做好环保监理，要求施工单位在规定的施工作业面内文明施工，禁止在施工人员进入作业面以外区域，以尽可能减小施工期对土地和植被的破坏。</w:t>
            </w:r>
          </w:p>
          <w:p w14:paraId="1AA6AF46">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④在职工中宣传环境保护法规，加强施工生产和生活用火管理，要防止引起火灾，避免造成不必要的损失和破坏。加强员工的环保意识，制定和完善企业内部环境保护工作的规章制度；宣传清洁生产技术思想，进行清洁生产技术培训；积极建立清洁生产环境管理体系；同时建立安全监督机制，进行安全考核等。</w:t>
            </w:r>
          </w:p>
          <w:p w14:paraId="0AB2AC38">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⑤施工结束后应采用套管+水泥砂浆予以恰当封孔并留地面标记进行封井，施工占地应利用原土回填，恢复原有植被。</w:t>
            </w:r>
          </w:p>
          <w:p w14:paraId="6FD34333">
            <w:pPr>
              <w:pStyle w:val="8"/>
              <w:spacing w:line="360" w:lineRule="auto"/>
              <w:ind w:firstLine="480" w:firstLineChars="200"/>
              <w:rPr>
                <w:rStyle w:val="44"/>
                <w:rFonts w:hint="default" w:ascii="Times New Roman" w:hAnsi="宋体"/>
                <w:color w:val="auto"/>
                <w:highlight w:val="none"/>
              </w:rPr>
            </w:pPr>
            <w:r>
              <w:rPr>
                <w:rStyle w:val="44"/>
                <w:rFonts w:hint="default" w:ascii="Times New Roman" w:hAnsi="宋体"/>
                <w:color w:val="auto"/>
                <w:highlight w:val="none"/>
              </w:rPr>
              <w:t>项目施工结束后，井场全部进行生态恢复，项目因占地、植物减少、土壤扰动和水土流失等生态问题和生态扰动都将恢复。</w:t>
            </w:r>
          </w:p>
          <w:p w14:paraId="786C9531">
            <w:pPr>
              <w:pStyle w:val="31"/>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w:t>
            </w:r>
            <w:r>
              <w:rPr>
                <w:rStyle w:val="44"/>
                <w:rFonts w:hint="default" w:ascii="宋体" w:hAnsi="宋体" w:cs="宋体"/>
                <w:color w:val="auto"/>
                <w:highlight w:val="none"/>
              </w:rPr>
              <w:t>5</w:t>
            </w:r>
            <w:r>
              <w:rPr>
                <w:rStyle w:val="44"/>
                <w:rFonts w:hint="default" w:ascii="Times New Roman" w:hAnsi="宋体"/>
                <w:color w:val="auto"/>
                <w:highlight w:val="none"/>
              </w:rPr>
              <w:t>）临时用地复垦措施</w:t>
            </w:r>
          </w:p>
          <w:p w14:paraId="78E5507D">
            <w:pPr>
              <w:pStyle w:val="31"/>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本项目施工期结束后需要对临时用地进行土地恢复，使临时用地状况恢复到原有水平。本项目建设单位已制定临时用地复垦方案，建设单位施工完成后要严格落实复垦方案中的措施，因地制宜，以恢复项目区原有土地利用类型为主，改善生态环境，改善破坏土地的质量。</w:t>
            </w:r>
          </w:p>
          <w:p w14:paraId="26366118">
            <w:pPr>
              <w:pStyle w:val="31"/>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本项目涉及临时用地对土地的损毁主要为土壤物理性质和结构遭到损坏，临时用地毁坏类型主要为压占，毁坏程度为中度破坏。在落实复垦方案中的措施后，使临时用地性质恢复到原有水平，复垦结束后，要对复垦对象进行为期一年的管护，确保复垦工程能够达到预期效果。具体复垦措施如下所示：</w:t>
            </w:r>
          </w:p>
          <w:p w14:paraId="3A4E8367">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表土剥离：表土层的剥离在本工程土地复垦中极为重要，耕作层土壤和表层土壤是经过多年耕作和植物作用而形成的熟化土壤，对于植物种子的萌发和幼苗的生长有着重要作用。在临时用地占用前，对临时地块内占用耕地部分进行0.</w:t>
            </w:r>
            <w:r>
              <w:rPr>
                <w:rStyle w:val="44"/>
                <w:rFonts w:hint="eastAsia" w:ascii="Times New Roman" w:hAnsi="宋体"/>
                <w:color w:val="auto"/>
                <w:highlight w:val="none"/>
                <w:lang w:val="en-US" w:eastAsia="zh-CN"/>
              </w:rPr>
              <w:t>25</w:t>
            </w:r>
            <w:r>
              <w:rPr>
                <w:rStyle w:val="44"/>
                <w:rFonts w:hint="default" w:ascii="Times New Roman" w:hAnsi="宋体"/>
                <w:color w:val="auto"/>
                <w:highlight w:val="none"/>
              </w:rPr>
              <w:t>m厚表土剥离。</w:t>
            </w:r>
          </w:p>
          <w:p w14:paraId="37E2B728">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②表土堆存与防护：在表土堆放区周围釆用1m高的草袋防护。堆土区边缘部位需修筑排水沟，以阻挡周边雨水，为防止表土堆放区内四周冲刷沟的产生，在雨季需在表土堆放区上覆盖防水编织布。</w:t>
            </w:r>
          </w:p>
          <w:p w14:paraId="06D77803">
            <w:pPr>
              <w:spacing w:line="360" w:lineRule="auto"/>
              <w:ind w:firstLine="480" w:firstLineChars="200"/>
              <w:rPr>
                <w:rStyle w:val="44"/>
                <w:rFonts w:hint="default" w:ascii="Times New Roman" w:hAnsi="宋体"/>
                <w:color w:val="auto"/>
                <w:kern w:val="0"/>
              </w:rPr>
            </w:pPr>
            <w:r>
              <w:rPr>
                <w:rStyle w:val="44"/>
                <w:rFonts w:hint="default" w:ascii="Times New Roman" w:hAnsi="宋体"/>
                <w:color w:val="auto"/>
                <w:kern w:val="0"/>
              </w:rPr>
              <w:t>③表土剥离收集过程中应注意对树根、灌木、草皮的清理，避免与表土混合，影响表土堆放的稳定性；遵循</w:t>
            </w:r>
            <w:r>
              <w:rPr>
                <w:rStyle w:val="44"/>
                <w:rFonts w:hint="eastAsia" w:ascii="Times New Roman" w:hAnsi="宋体"/>
                <w:color w:val="auto"/>
                <w:kern w:val="0"/>
                <w:lang w:eastAsia="zh-CN"/>
              </w:rPr>
              <w:t>“</w:t>
            </w:r>
            <w:r>
              <w:rPr>
                <w:rStyle w:val="44"/>
                <w:rFonts w:hint="default" w:ascii="Times New Roman" w:hAnsi="宋体"/>
                <w:color w:val="auto"/>
                <w:kern w:val="0"/>
              </w:rPr>
              <w:t>先拦后堆</w:t>
            </w:r>
            <w:r>
              <w:rPr>
                <w:rStyle w:val="44"/>
                <w:rFonts w:hint="eastAsia" w:ascii="Times New Roman" w:hAnsi="宋体"/>
                <w:color w:val="auto"/>
                <w:kern w:val="0"/>
                <w:lang w:eastAsia="zh-CN"/>
              </w:rPr>
              <w:t>”</w:t>
            </w:r>
            <w:r>
              <w:rPr>
                <w:rStyle w:val="44"/>
                <w:rFonts w:hint="default" w:ascii="Times New Roman" w:hAnsi="宋体"/>
                <w:color w:val="auto"/>
                <w:kern w:val="0"/>
              </w:rPr>
              <w:t>的原则，先做好拦挡工作后，再集中堆放表土，且在堆放时尽可能将表土压实；</w:t>
            </w:r>
          </w:p>
          <w:p w14:paraId="31A19B1A">
            <w:pPr>
              <w:pStyle w:val="31"/>
              <w:adjustRightInd/>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④建筑垃圾拆除及清运：对临时用地局部硬化路面进行拆除并清运出项目区，</w:t>
            </w:r>
            <w:r>
              <w:rPr>
                <w:rStyle w:val="44"/>
                <w:rFonts w:hint="eastAsia" w:ascii="Times New Roman" w:hAnsi="宋体"/>
                <w:color w:val="auto"/>
                <w:lang w:val="en-US" w:eastAsia="zh-CN"/>
              </w:rPr>
              <w:t>及时转运</w:t>
            </w:r>
            <w:r>
              <w:rPr>
                <w:rStyle w:val="44"/>
                <w:rFonts w:hint="default" w:ascii="Times New Roman" w:hAnsi="宋体"/>
                <w:color w:val="auto"/>
              </w:rPr>
              <w:t>到政府指定地点，中转清运。</w:t>
            </w:r>
          </w:p>
          <w:p w14:paraId="1CA6EE2B">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⑤土地深松：场地清理工作结束后，对各类场地进行填凹、推平，再用机械深耕，租用当地松土机对耕地进行松土，松土深度30-50cm，通过深翻深耕，提高土壤入渗能力。</w:t>
            </w:r>
          </w:p>
          <w:p w14:paraId="41C92784">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⑥表土回填：在对压占土地翻耕后，将前期剥离的表土进行回填，回填土方量为前期剥离量之和，可保证复垦后恢复原地貌。</w:t>
            </w:r>
          </w:p>
          <w:p w14:paraId="6FF4706A">
            <w:pPr>
              <w:pStyle w:val="31"/>
              <w:adjustRightInd/>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⑦道路修复：临时用地施工便道连接农村道路使用期间可能会产生一定损毁，对损毁路面进行修复，临时用地使用完毕后将恢复成原地貌，复垦后道路通达率与原地块通达率一致，仍为100%。</w:t>
            </w:r>
          </w:p>
          <w:p w14:paraId="099AA74B">
            <w:pPr>
              <w:pStyle w:val="31"/>
              <w:adjustRightInd/>
              <w:spacing w:line="360" w:lineRule="auto"/>
              <w:ind w:firstLine="480" w:firstLineChars="200"/>
              <w:jc w:val="both"/>
              <w:rPr>
                <w:rStyle w:val="44"/>
                <w:rFonts w:hint="default" w:ascii="Times New Roman" w:hAnsi="宋体"/>
                <w:color w:val="auto"/>
                <w:highlight w:val="none"/>
              </w:rPr>
            </w:pPr>
            <w:r>
              <w:rPr>
                <w:rStyle w:val="44"/>
                <w:rFonts w:hint="eastAsia" w:ascii="Times New Roman" w:hAnsi="宋体"/>
                <w:color w:val="auto"/>
                <w:highlight w:val="none"/>
                <w:lang w:val="en-US" w:eastAsia="zh-CN"/>
              </w:rPr>
              <w:t>⑧</w:t>
            </w:r>
            <w:r>
              <w:rPr>
                <w:rStyle w:val="44"/>
                <w:rFonts w:hint="default" w:ascii="Times New Roman" w:hAnsi="宋体"/>
                <w:color w:val="auto"/>
                <w:highlight w:val="none"/>
              </w:rPr>
              <w:t>在工程复垦结束后，进行生物复垦，快速恢复植被，从而有效地控制水土流失，改善项目区生态环境。</w:t>
            </w:r>
          </w:p>
          <w:p w14:paraId="6AE498FD">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w:t>
            </w:r>
            <w:r>
              <w:rPr>
                <w:rStyle w:val="44"/>
                <w:rFonts w:hint="default" w:ascii="宋体" w:hAnsi="宋体" w:cs="宋体"/>
                <w:color w:val="auto"/>
                <w:highlight w:val="none"/>
              </w:rPr>
              <w:t>6</w:t>
            </w:r>
            <w:r>
              <w:rPr>
                <w:rStyle w:val="44"/>
                <w:rFonts w:hint="default" w:ascii="Times New Roman" w:hAnsi="宋体"/>
                <w:color w:val="auto"/>
                <w:highlight w:val="none"/>
              </w:rPr>
              <w:t>）临时占地生态保护措施</w:t>
            </w:r>
          </w:p>
          <w:p w14:paraId="731AAE9E">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根据《土地管理法》规定和相关地方规定，对工程临时征地进行补偿；严禁砍伐野外植被；严格规定施工作业范围，严格限制施工活动范围。项目施工结束后，硬化地面、雨水沟、污水沟等地面设施进行整体拆除，对拆除过程中可重复使用的材料可运至其他井站进行重复利用，水泥渣、碎石等尽可能用于其他井场的道路和井场建设，不可利用部分运至政府指定的渣场，做到工完、料净、场地清，对构筑的设备基础拆除后作场地边坡凹地平整填方区填方回填，不留坑凼；清除场内固体废物，平整井场，在表层覆盖耕作土层，将废弃的井场恢复原状。</w:t>
            </w:r>
          </w:p>
          <w:p w14:paraId="5B0FD956">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w:t>
            </w:r>
            <w:r>
              <w:rPr>
                <w:rStyle w:val="44"/>
                <w:rFonts w:hint="default" w:ascii="宋体" w:hAnsi="宋体" w:cs="宋体"/>
                <w:color w:val="auto"/>
                <w:highlight w:val="none"/>
              </w:rPr>
              <w:t>7</w:t>
            </w:r>
            <w:r>
              <w:rPr>
                <w:rStyle w:val="44"/>
                <w:rFonts w:hint="default" w:ascii="Times New Roman" w:hAnsi="宋体"/>
                <w:color w:val="auto"/>
                <w:highlight w:val="none"/>
              </w:rPr>
              <w:t>）完井后环境保护措施</w:t>
            </w:r>
          </w:p>
          <w:p w14:paraId="6077ECF1">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完井后将对钻井设备、基础进行拆除、搬迁，封井口作业，最终对临时占地进行恢复。</w:t>
            </w:r>
          </w:p>
          <w:p w14:paraId="6F06C5E4">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①井口封隔措施</w:t>
            </w:r>
          </w:p>
          <w:p w14:paraId="17A83270">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采用泵送的方式分段向井内注入水泥浆封井，封井完成后，在井口设立永久标志：包含井名、项目名称、开钻日期、完钻日期、完钻井深及施工单位名称等。</w:t>
            </w:r>
          </w:p>
          <w:p w14:paraId="458166A7">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②临时占地保护措施</w:t>
            </w:r>
          </w:p>
          <w:p w14:paraId="41029F8B">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本次评价结合项目土地占用情况，按照因地制宜的原则，对临时占地在完钻时的土地复垦提出以下建议：</w:t>
            </w:r>
          </w:p>
          <w:p w14:paraId="27BDB67C">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利用井场剥离表层土回填，复垦为旱地或根据当地居民要求复垦为其他用地；井场基础设施拆除后，建议复垦为旱地。</w:t>
            </w:r>
          </w:p>
          <w:p w14:paraId="6129873B">
            <w:pPr>
              <w:pStyle w:val="8"/>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③表层土回填措施</w:t>
            </w:r>
          </w:p>
          <w:p w14:paraId="507BD437">
            <w:pPr>
              <w:pStyle w:val="8"/>
              <w:spacing w:line="360" w:lineRule="auto"/>
              <w:ind w:firstLine="480" w:firstLineChars="200"/>
              <w:jc w:val="both"/>
              <w:rPr>
                <w:rStyle w:val="44"/>
                <w:rFonts w:hint="default" w:ascii="Times New Roman" w:hAnsi="宋体"/>
                <w:color w:val="auto"/>
              </w:rPr>
            </w:pPr>
            <w:r>
              <w:rPr>
                <w:rStyle w:val="44"/>
                <w:rFonts w:hint="default" w:ascii="Times New Roman" w:hAnsi="宋体"/>
                <w:color w:val="auto"/>
              </w:rPr>
              <w:t>项目施工期间在井场设置表层土堆放区，用于堆放剥离的表层土，表层土用于土地复垦用土</w:t>
            </w:r>
            <w:r>
              <w:rPr>
                <w:rStyle w:val="44"/>
                <w:rFonts w:hint="eastAsia" w:hAnsi="宋体"/>
                <w:color w:val="auto"/>
                <w:lang w:eastAsia="zh-CN"/>
              </w:rPr>
              <w:t>。</w:t>
            </w:r>
            <w:r>
              <w:rPr>
                <w:rStyle w:val="44"/>
                <w:rFonts w:hint="default" w:ascii="Times New Roman" w:hAnsi="宋体"/>
                <w:color w:val="auto"/>
              </w:rPr>
              <w:t>表层土回填时，可混合基肥或土壤改良剂以利于植草，表层土应均匀回填并夯压整平，回填整平后之后尽快植草以防表层土流失。</w:t>
            </w:r>
          </w:p>
          <w:p w14:paraId="2B64EDC5">
            <w:pPr>
              <w:pStyle w:val="8"/>
              <w:spacing w:line="360" w:lineRule="auto"/>
              <w:ind w:firstLine="480" w:firstLineChars="200"/>
              <w:jc w:val="both"/>
              <w:rPr>
                <w:rStyle w:val="44"/>
                <w:rFonts w:hint="default" w:ascii="Times New Roman" w:hAnsi="宋体"/>
                <w:color w:val="auto"/>
              </w:rPr>
            </w:pPr>
            <w:r>
              <w:rPr>
                <w:rStyle w:val="44"/>
                <w:rFonts w:hint="eastAsia" w:hAnsi="宋体"/>
                <w:color w:val="auto"/>
                <w:lang w:eastAsia="zh-CN"/>
              </w:rPr>
              <w:t>（</w:t>
            </w:r>
            <w:r>
              <w:rPr>
                <w:rStyle w:val="44"/>
                <w:rFonts w:hint="eastAsia" w:hAnsi="宋体"/>
                <w:color w:val="auto"/>
                <w:lang w:val="en-US" w:eastAsia="zh-CN"/>
              </w:rPr>
              <w:t>8</w:t>
            </w:r>
            <w:r>
              <w:rPr>
                <w:rStyle w:val="44"/>
                <w:rFonts w:hint="eastAsia" w:hAnsi="宋体"/>
                <w:color w:val="auto"/>
                <w:lang w:eastAsia="zh-CN"/>
              </w:rPr>
              <w:t>）</w:t>
            </w:r>
            <w:r>
              <w:rPr>
                <w:rStyle w:val="44"/>
                <w:rFonts w:hint="default" w:ascii="Times New Roman" w:hAnsi="宋体"/>
                <w:color w:val="auto"/>
              </w:rPr>
              <w:t>土地复垦质量要求</w:t>
            </w:r>
          </w:p>
          <w:p w14:paraId="259907EB">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default" w:ascii="Times New Roman" w:hAnsi="宋体"/>
                <w:color w:val="000000" w:themeColor="text1"/>
                <w14:textFill>
                  <w14:solidFill>
                    <w14:schemeClr w14:val="tx1"/>
                  </w14:solidFill>
                </w14:textFill>
              </w:rPr>
              <w:t>本复垦工程主要复垦为耕地，耕地复垦标准如下：</w:t>
            </w:r>
          </w:p>
          <w:p w14:paraId="79F03D1D">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default" w:ascii="Times New Roman" w:hAnsi="宋体"/>
                <w:color w:val="000000" w:themeColor="text1"/>
                <w14:textFill>
                  <w14:solidFill>
                    <w14:schemeClr w14:val="tx1"/>
                  </w14:solidFill>
                </w14:textFill>
              </w:rPr>
              <w:t>①有效土层厚度不低于50cm，耕作层厚度不低于30cm；</w:t>
            </w:r>
          </w:p>
          <w:p w14:paraId="4EEC9B89">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default" w:ascii="Times New Roman" w:hAnsi="宋体"/>
                <w:color w:val="000000" w:themeColor="text1"/>
                <w14:textFill>
                  <w14:solidFill>
                    <w14:schemeClr w14:val="tx1"/>
                  </w14:solidFill>
                </w14:textFill>
              </w:rPr>
              <w:t>②土壤通体无污染，耕作层有机质含量不低于2%。</w:t>
            </w:r>
          </w:p>
          <w:p w14:paraId="3FF3BE1B">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default" w:ascii="Times New Roman" w:hAnsi="宋体"/>
                <w:color w:val="000000" w:themeColor="text1"/>
                <w14:textFill>
                  <w14:solidFill>
                    <w14:schemeClr w14:val="tx1"/>
                  </w14:solidFill>
                </w14:textFill>
              </w:rPr>
              <w:t>③复垦后耕地质量等别要达到复垦前耕地等别。</w:t>
            </w:r>
          </w:p>
          <w:p w14:paraId="75FC24E5">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eastAsia" w:hAnsi="宋体"/>
                <w:color w:val="000000" w:themeColor="text1"/>
                <w:lang w:val="en-US" w:eastAsia="zh-CN"/>
                <w14:textFill>
                  <w14:solidFill>
                    <w14:schemeClr w14:val="tx1"/>
                  </w14:solidFill>
                </w14:textFill>
              </w:rPr>
              <w:t>④</w:t>
            </w:r>
            <w:r>
              <w:rPr>
                <w:rStyle w:val="44"/>
                <w:rFonts w:hint="default" w:ascii="Times New Roman" w:hAnsi="宋体"/>
                <w:color w:val="000000" w:themeColor="text1"/>
                <w14:textFill>
                  <w14:solidFill>
                    <w14:schemeClr w14:val="tx1"/>
                  </w14:solidFill>
                </w14:textFill>
              </w:rPr>
              <w:t>破坏前为耕地的地块，表土剥离厚度不小于30cm；</w:t>
            </w:r>
          </w:p>
          <w:p w14:paraId="32510C23">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eastAsia" w:hAnsi="宋体"/>
                <w:color w:val="000000" w:themeColor="text1"/>
                <w:lang w:val="en-US" w:eastAsia="zh-CN"/>
                <w14:textFill>
                  <w14:solidFill>
                    <w14:schemeClr w14:val="tx1"/>
                  </w14:solidFill>
                </w14:textFill>
              </w:rPr>
              <w:t>⑤</w:t>
            </w:r>
            <w:r>
              <w:rPr>
                <w:rStyle w:val="44"/>
                <w:rFonts w:hint="default" w:ascii="Times New Roman" w:hAnsi="宋体"/>
                <w:color w:val="000000" w:themeColor="text1"/>
                <w14:textFill>
                  <w14:solidFill>
                    <w14:schemeClr w14:val="tx1"/>
                  </w14:solidFill>
                </w14:textFill>
              </w:rPr>
              <w:t>复垦后田块平整，一个耕作田块内，旱地田面坡度不超过3度，水田高差±3cm之内。</w:t>
            </w:r>
          </w:p>
          <w:p w14:paraId="04F7929C">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eastAsia" w:hAnsi="宋体"/>
                <w:color w:val="000000" w:themeColor="text1"/>
                <w:lang w:val="en-US" w:eastAsia="zh-CN"/>
                <w14:textFill>
                  <w14:solidFill>
                    <w14:schemeClr w14:val="tx1"/>
                  </w14:solidFill>
                </w14:textFill>
              </w:rPr>
              <w:t>⑥</w:t>
            </w:r>
            <w:r>
              <w:rPr>
                <w:rStyle w:val="44"/>
                <w:rFonts w:hint="default" w:ascii="Times New Roman" w:hAnsi="宋体"/>
                <w:color w:val="000000" w:themeColor="text1"/>
                <w14:textFill>
                  <w14:solidFill>
                    <w14:schemeClr w14:val="tx1"/>
                  </w14:solidFill>
                </w14:textFill>
              </w:rPr>
              <w:t>复垦后田块长度一般80-100m，宽度15-40m，梯田田块长边沿等高线布置。</w:t>
            </w:r>
          </w:p>
          <w:p w14:paraId="695D1EDA">
            <w:pPr>
              <w:pStyle w:val="8"/>
              <w:spacing w:line="360" w:lineRule="auto"/>
              <w:ind w:firstLine="480" w:firstLineChars="200"/>
              <w:jc w:val="both"/>
              <w:rPr>
                <w:rStyle w:val="44"/>
                <w:rFonts w:hint="default" w:ascii="Times New Roman" w:hAnsi="宋体"/>
                <w:color w:val="000000" w:themeColor="text1"/>
                <w14:textFill>
                  <w14:solidFill>
                    <w14:schemeClr w14:val="tx1"/>
                  </w14:solidFill>
                </w14:textFill>
              </w:rPr>
            </w:pPr>
            <w:r>
              <w:rPr>
                <w:rStyle w:val="44"/>
                <w:rFonts w:hint="eastAsia" w:hAnsi="宋体"/>
                <w:color w:val="000000" w:themeColor="text1"/>
                <w:lang w:val="en-US" w:eastAsia="zh-CN"/>
                <w14:textFill>
                  <w14:solidFill>
                    <w14:schemeClr w14:val="tx1"/>
                  </w14:solidFill>
                </w14:textFill>
              </w:rPr>
              <w:t>⑦</w:t>
            </w:r>
            <w:r>
              <w:rPr>
                <w:rStyle w:val="44"/>
                <w:rFonts w:hint="default" w:ascii="Times New Roman" w:hAnsi="宋体"/>
                <w:color w:val="000000" w:themeColor="text1"/>
                <w14:textFill>
                  <w14:solidFill>
                    <w14:schemeClr w14:val="tx1"/>
                  </w14:solidFill>
                </w14:textFill>
              </w:rPr>
              <w:t>三年后达到周边地区同等土地利用类型水平。</w:t>
            </w:r>
          </w:p>
          <w:p w14:paraId="23BE3A77">
            <w:pPr>
              <w:pStyle w:val="8"/>
              <w:spacing w:line="360" w:lineRule="auto"/>
              <w:ind w:firstLine="480" w:firstLineChars="200"/>
              <w:jc w:val="both"/>
              <w:rPr>
                <w:rStyle w:val="44"/>
                <w:rFonts w:hint="default" w:ascii="Times New Roman" w:hAnsi="宋体"/>
                <w:color w:val="000000" w:themeColor="text1"/>
                <w:highlight w:val="none"/>
                <w14:textFill>
                  <w14:solidFill>
                    <w14:schemeClr w14:val="tx1"/>
                  </w14:solidFill>
                </w14:textFill>
              </w:rPr>
            </w:pPr>
            <w:r>
              <w:rPr>
                <w:rStyle w:val="44"/>
                <w:rFonts w:hint="default" w:ascii="Times New Roman" w:hAnsi="宋体"/>
                <w:color w:val="auto"/>
                <w:highlight w:val="none"/>
              </w:rPr>
              <w:t>由于项目临时占地涉及耕地，建设单位在办理临时用地批复前根据《土地复垦条例》编制了《临时用地复垦方案》，钻井工程完工后必须及时进行土地复垦。临时用地复垦应坚持科学规划、因地制宜、综合治理、经济可行、合理利用的原则。井场所在地域地表植被茂盛，大气质量和地下水、地表水水质均较好。复垦方向应以农用地优先为主，以恢复生态环境为辅，因地制宜的建立植被与恢复体系，同时遵循破坏土地与周边现状保持一致的原则。本评价要求因临时占用所损坏的土地，必须按照土地复垦方案的相</w:t>
            </w:r>
            <w:r>
              <w:rPr>
                <w:rStyle w:val="44"/>
                <w:rFonts w:hint="default" w:ascii="Times New Roman" w:hAnsi="宋体"/>
                <w:color w:val="000000" w:themeColor="text1"/>
                <w:highlight w:val="none"/>
                <w14:textFill>
                  <w14:solidFill>
                    <w14:schemeClr w14:val="tx1"/>
                  </w14:solidFill>
                </w14:textFill>
              </w:rPr>
              <w:t>关要求进行。</w:t>
            </w:r>
          </w:p>
          <w:p w14:paraId="5BDE571C">
            <w:pPr>
              <w:pStyle w:val="8"/>
              <w:keepNext w:val="0"/>
              <w:keepLines w:val="0"/>
              <w:pageBreakBefore w:val="0"/>
              <w:kinsoku/>
              <w:wordWrap/>
              <w:overflowPunct/>
              <w:topLinePunct w:val="0"/>
              <w:bidi w:val="0"/>
              <w:spacing w:beforeAutospacing="0" w:after="0" w:afterAutospacing="0" w:line="360" w:lineRule="auto"/>
              <w:ind w:firstLine="482" w:firstLineChars="200"/>
              <w:jc w:val="both"/>
              <w:textAlignment w:val="auto"/>
              <w:rPr>
                <w:rStyle w:val="44"/>
                <w:rFonts w:hint="eastAsia" w:hAnsi="宋体"/>
                <w:b/>
                <w:bCs/>
                <w:color w:val="000000" w:themeColor="text1"/>
                <w:lang w:val="en-US" w:eastAsia="zh-CN"/>
                <w14:textFill>
                  <w14:solidFill>
                    <w14:schemeClr w14:val="tx1"/>
                  </w14:solidFill>
                </w14:textFill>
              </w:rPr>
            </w:pPr>
            <w:r>
              <w:rPr>
                <w:rStyle w:val="44"/>
                <w:rFonts w:hint="eastAsia" w:hAnsi="宋体"/>
                <w:b/>
                <w:bCs/>
                <w:color w:val="000000" w:themeColor="text1"/>
                <w:lang w:val="en-US" w:eastAsia="zh-CN"/>
                <w14:textFill>
                  <w14:solidFill>
                    <w14:schemeClr w14:val="tx1"/>
                  </w14:solidFill>
                </w14:textFill>
              </w:rPr>
              <w:t>7、地下水、土壤防治措施</w:t>
            </w:r>
          </w:p>
          <w:p w14:paraId="4A25EC87">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本项目对地下水、土壤环境可能造成影响主要在钻井环节。钻孔穿过的地层可能引起各含水层越流补给，使地下水赋存条件发生变化，特别是通过径流使具有水利联系的含水水质受到污染；泥浆池渗漏可能对地下水造成污染。采取的防治措施如下：</w:t>
            </w:r>
          </w:p>
          <w:p w14:paraId="226C153D">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（1）本项目采用泥浆循环系统，钻井泥浆暂存于干化池中，待钻井结束后投加泥浆固化剂固化后作为建筑材料外售。</w:t>
            </w:r>
          </w:p>
          <w:p w14:paraId="4C35CB27">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（2）表层固井要求：表层固井必须封固含水层</w:t>
            </w:r>
            <w:r>
              <w:rPr>
                <w:rStyle w:val="44"/>
                <w:rFonts w:hint="eastAsia" w:hAnsi="宋体"/>
                <w:color w:val="000000" w:themeColor="text1"/>
                <w:lang w:val="en-US" w:eastAsia="zh-CN"/>
                <w14:textFill>
                  <w14:solidFill>
                    <w14:schemeClr w14:val="tx1"/>
                  </w14:solidFill>
                </w14:textFill>
              </w:rPr>
              <w:t>。</w:t>
            </w:r>
          </w:p>
          <w:p w14:paraId="4A0A880F">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3）固井作业要求：为了确保地层的承压能力能够满足固井时防漏及打开气层时安全钻井的需要，在进入气层前必须按工程设计要求进行转化钻井液和工艺堵漏；固井所用水泥、外掺料、外加剂及水泥浆配方必须经公司工程技术管理部检验认可备案后，方可使用</w:t>
            </w:r>
            <w:r>
              <w:rPr>
                <w:rStyle w:val="44"/>
                <w:rFonts w:hint="eastAsia" w:hAnsi="宋体"/>
                <w:color w:val="000000" w:themeColor="text1"/>
                <w:lang w:val="en-US" w:eastAsia="zh-CN"/>
                <w14:textFill>
                  <w14:solidFill>
                    <w14:schemeClr w14:val="tx1"/>
                  </w14:solidFill>
                </w14:textFill>
              </w:rPr>
              <w:t>。</w:t>
            </w:r>
          </w:p>
          <w:p w14:paraId="1FF5CE4A">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（4）生产套管固井后钻水泥塞要求：钻完全井水泥塞后，必须大排量循环冲洗干净胶皮及铝片。</w:t>
            </w:r>
          </w:p>
          <w:p w14:paraId="54A01FB5">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（5）防渗措施：为进一步减少工程建设对地下水环境的影响，环评建议对井场各区域切实做好防渗措施。</w:t>
            </w:r>
          </w:p>
          <w:p w14:paraId="665676B5">
            <w:pPr>
              <w:pStyle w:val="8"/>
              <w:keepNext w:val="0"/>
              <w:keepLines w:val="0"/>
              <w:pageBreakBefore w:val="0"/>
              <w:kinsoku/>
              <w:wordWrap/>
              <w:overflowPunct/>
              <w:topLinePunct w:val="0"/>
              <w:bidi w:val="0"/>
              <w:spacing w:beforeAutospacing="0" w:after="0" w:afterAutospacing="0" w:line="360" w:lineRule="auto"/>
              <w:ind w:firstLine="480" w:firstLineChars="200"/>
              <w:jc w:val="both"/>
              <w:textAlignment w:val="auto"/>
              <w:rPr>
                <w:rStyle w:val="44"/>
                <w:rFonts w:hint="eastAsia" w:ascii="Times New Roman" w:hAnsi="宋体"/>
                <w:color w:val="000000" w:themeColor="text1"/>
                <w:lang w:val="en-US" w:eastAsia="zh-CN"/>
                <w14:textFill>
                  <w14:solidFill>
                    <w14:schemeClr w14:val="tx1"/>
                  </w14:solidFill>
                </w14:textFill>
              </w:rPr>
            </w:pPr>
            <w:r>
              <w:rPr>
                <w:rStyle w:val="44"/>
                <w:rFonts w:hint="eastAsia" w:ascii="Times New Roman" w:hAnsi="宋体"/>
                <w:color w:val="000000" w:themeColor="text1"/>
                <w:lang w:val="en-US" w:eastAsia="zh-CN"/>
                <w14:textFill>
                  <w14:solidFill>
                    <w14:schemeClr w14:val="tx1"/>
                  </w14:solidFill>
                </w14:textFill>
              </w:rPr>
              <w:t>采取以上措施后，本项目对地下水、土壤环境的影响较小。</w:t>
            </w:r>
          </w:p>
          <w:p w14:paraId="7D1F548B">
            <w:pPr>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jc w:val="center"/>
              <w:textAlignment w:val="auto"/>
              <w:rPr>
                <w:rFonts w:hint="eastAsia" w:ascii="Times New Roman" w:hAnsi="Times New Roman"/>
                <w:b/>
                <w:color w:val="000000" w:themeColor="text1"/>
                <w:szCs w:val="21"/>
                <w:lang w:val="en-US" w:eastAsia="zh-CN"/>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表5-1  本项目分区防渗要求一览表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923"/>
              <w:gridCol w:w="4280"/>
            </w:tblGrid>
            <w:tr w14:paraId="3472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noWrap/>
                  <w:vAlign w:val="center"/>
                </w:tcPr>
                <w:p w14:paraId="17B489F5">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b/>
                      <w:color w:val="000000" w:themeColor="text1"/>
                      <w:szCs w:val="21"/>
                      <w14:textFill>
                        <w14:solidFill>
                          <w14:schemeClr w14:val="tx1"/>
                        </w14:solidFill>
                      </w14:textFill>
                    </w:rPr>
                  </w:pPr>
                  <w:r>
                    <w:rPr>
                      <w:rFonts w:ascii="Times New Roman" w:hAnsi="宋体"/>
                      <w:b/>
                      <w:color w:val="000000" w:themeColor="text1"/>
                      <w:szCs w:val="21"/>
                      <w14:textFill>
                        <w14:solidFill>
                          <w14:schemeClr w14:val="tx1"/>
                        </w14:solidFill>
                      </w14:textFill>
                    </w:rPr>
                    <w:t>区域</w:t>
                  </w:r>
                </w:p>
              </w:tc>
              <w:tc>
                <w:tcPr>
                  <w:tcW w:w="595" w:type="pct"/>
                  <w:tcBorders>
                    <w:tl2br w:val="nil"/>
                    <w:tr2bl w:val="nil"/>
                  </w:tcBorders>
                  <w:noWrap/>
                  <w:vAlign w:val="center"/>
                </w:tcPr>
                <w:p w14:paraId="4782CF21">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b/>
                      <w:color w:val="000000" w:themeColor="text1"/>
                      <w:szCs w:val="21"/>
                      <w14:textFill>
                        <w14:solidFill>
                          <w14:schemeClr w14:val="tx1"/>
                        </w14:solidFill>
                      </w14:textFill>
                    </w:rPr>
                  </w:pPr>
                  <w:r>
                    <w:rPr>
                      <w:rFonts w:ascii="Times New Roman" w:hAnsi="宋体"/>
                      <w:b/>
                      <w:color w:val="000000" w:themeColor="text1"/>
                      <w:szCs w:val="21"/>
                      <w14:textFill>
                        <w14:solidFill>
                          <w14:schemeClr w14:val="tx1"/>
                        </w14:solidFill>
                      </w14:textFill>
                    </w:rPr>
                    <w:t>防渗等级</w:t>
                  </w:r>
                </w:p>
              </w:tc>
              <w:tc>
                <w:tcPr>
                  <w:tcW w:w="2759" w:type="pct"/>
                  <w:tcBorders>
                    <w:tl2br w:val="nil"/>
                    <w:tr2bl w:val="nil"/>
                  </w:tcBorders>
                  <w:noWrap/>
                  <w:vAlign w:val="center"/>
                </w:tcPr>
                <w:p w14:paraId="709DEF3D">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b/>
                      <w:color w:val="000000" w:themeColor="text1"/>
                      <w:szCs w:val="21"/>
                      <w14:textFill>
                        <w14:solidFill>
                          <w14:schemeClr w14:val="tx1"/>
                        </w14:solidFill>
                      </w14:textFill>
                    </w:rPr>
                  </w:pPr>
                  <w:r>
                    <w:rPr>
                      <w:rFonts w:ascii="Times New Roman" w:hAnsi="宋体"/>
                      <w:b/>
                      <w:color w:val="000000" w:themeColor="text1"/>
                      <w:szCs w:val="21"/>
                      <w14:textFill>
                        <w14:solidFill>
                          <w14:schemeClr w14:val="tx1"/>
                        </w14:solidFill>
                      </w14:textFill>
                    </w:rPr>
                    <w:t>防渗技术要求</w:t>
                  </w:r>
                </w:p>
              </w:tc>
            </w:tr>
            <w:tr w14:paraId="6F84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noWrap/>
                  <w:vAlign w:val="center"/>
                </w:tcPr>
                <w:p w14:paraId="42DF70C7">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危废暂存间</w:t>
                  </w:r>
                </w:p>
              </w:tc>
              <w:tc>
                <w:tcPr>
                  <w:tcW w:w="595" w:type="pct"/>
                  <w:tcBorders>
                    <w:tl2br w:val="nil"/>
                    <w:tr2bl w:val="nil"/>
                  </w:tcBorders>
                  <w:noWrap/>
                  <w:vAlign w:val="center"/>
                </w:tcPr>
                <w:p w14:paraId="43E47B55">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重点防渗区</w:t>
                  </w:r>
                </w:p>
              </w:tc>
              <w:tc>
                <w:tcPr>
                  <w:tcW w:w="2759" w:type="pct"/>
                  <w:tcBorders>
                    <w:tl2br w:val="nil"/>
                    <w:tr2bl w:val="nil"/>
                  </w:tcBorders>
                  <w:noWrap/>
                  <w:vAlign w:val="center"/>
                </w:tcPr>
                <w:p w14:paraId="737A06EE">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采用“高密度聚乙烯（HDPE）防渗膜（厚度≥1.5mm）+土工布（两布一膜）”复合防渗结构，膜下铺设10cm厚中粗砂垫层，膜上覆盖5cm厚中粗砂保护层，等效粘土防渗层厚度≥6.0m，渗透系数≤10</w:t>
                  </w:r>
                  <w:r>
                    <w:rPr>
                      <w:rFonts w:hint="eastAsia" w:ascii="Times New Roman" w:hAnsi="Times New Roman"/>
                      <w:color w:val="000000" w:themeColor="text1"/>
                      <w:szCs w:val="21"/>
                      <w:vertAlign w:val="superscript"/>
                      <w:lang w:val="en-US" w:eastAsia="zh-CN"/>
                      <w14:textFill>
                        <w14:solidFill>
                          <w14:schemeClr w14:val="tx1"/>
                        </w14:solidFill>
                      </w14:textFill>
                    </w:rPr>
                    <w:t>-7</w:t>
                  </w:r>
                  <w:r>
                    <w:rPr>
                      <w:rFonts w:hint="eastAsia" w:ascii="Times New Roman" w:hAnsi="Times New Roman"/>
                      <w:color w:val="000000" w:themeColor="text1"/>
                      <w:szCs w:val="21"/>
                      <w14:textFill>
                        <w14:solidFill>
                          <w14:schemeClr w14:val="tx1"/>
                        </w14:solidFill>
                      </w14:textFill>
                    </w:rPr>
                    <w:t>cm/s</w:t>
                  </w:r>
                </w:p>
              </w:tc>
            </w:tr>
            <w:tr w14:paraId="054B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noWrap/>
                  <w:vAlign w:val="center"/>
                </w:tcPr>
                <w:p w14:paraId="4DA9E00C">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钻机房井口区域、泥浆池、沉淀池、干化池、设备及库房</w:t>
                  </w:r>
                </w:p>
              </w:tc>
              <w:tc>
                <w:tcPr>
                  <w:tcW w:w="595" w:type="pct"/>
                  <w:tcBorders>
                    <w:tl2br w:val="nil"/>
                    <w:tr2bl w:val="nil"/>
                  </w:tcBorders>
                  <w:noWrap/>
                  <w:vAlign w:val="center"/>
                </w:tcPr>
                <w:p w14:paraId="5D89EE03">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一般防渗区</w:t>
                  </w:r>
                </w:p>
              </w:tc>
              <w:tc>
                <w:tcPr>
                  <w:tcW w:w="2759" w:type="pct"/>
                  <w:tcBorders>
                    <w:tl2br w:val="nil"/>
                    <w:tr2bl w:val="nil"/>
                  </w:tcBorders>
                  <w:noWrap/>
                  <w:vAlign w:val="center"/>
                </w:tcPr>
                <w:p w14:paraId="76E843B2">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铺设单层高密度聚乙烯（HDPE）防渗膜（厚度≥1.0mm），膜下铺设8cm厚中粗砂垫层，膜上覆盖5cm厚中粗砂保护层，等效粘土防渗层厚度≥1.5m，渗透系数≤10</w:t>
                  </w:r>
                  <w:r>
                    <w:rPr>
                      <w:rFonts w:hint="eastAsia" w:ascii="Times New Roman" w:hAnsi="Times New Roman"/>
                      <w:color w:val="000000" w:themeColor="text1"/>
                      <w:szCs w:val="21"/>
                      <w:vertAlign w:val="superscript"/>
                      <w:lang w:val="en-US" w:eastAsia="zh-CN"/>
                      <w14:textFill>
                        <w14:solidFill>
                          <w14:schemeClr w14:val="tx1"/>
                        </w14:solidFill>
                      </w14:textFill>
                    </w:rPr>
                    <w:t>-7</w:t>
                  </w:r>
                  <w:r>
                    <w:rPr>
                      <w:rFonts w:hint="eastAsia" w:ascii="Times New Roman" w:hAnsi="Times New Roman"/>
                      <w:color w:val="000000" w:themeColor="text1"/>
                      <w:szCs w:val="21"/>
                      <w14:textFill>
                        <w14:solidFill>
                          <w14:schemeClr w14:val="tx1"/>
                        </w14:solidFill>
                      </w14:textFill>
                    </w:rPr>
                    <w:t>cm/s</w:t>
                  </w:r>
                </w:p>
              </w:tc>
            </w:tr>
            <w:tr w14:paraId="4F01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tcBorders>
                    <w:tl2br w:val="nil"/>
                    <w:tr2bl w:val="nil"/>
                  </w:tcBorders>
                  <w:noWrap/>
                  <w:vAlign w:val="center"/>
                </w:tcPr>
                <w:p w14:paraId="1FCEE0C3">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除重点防渗区和一般防渗区以外的其他区域</w:t>
                  </w:r>
                </w:p>
              </w:tc>
              <w:tc>
                <w:tcPr>
                  <w:tcW w:w="595" w:type="pct"/>
                  <w:tcBorders>
                    <w:tl2br w:val="nil"/>
                    <w:tr2bl w:val="nil"/>
                  </w:tcBorders>
                  <w:noWrap/>
                  <w:vAlign w:val="center"/>
                </w:tcPr>
                <w:p w14:paraId="3DD17898">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简单防渗区</w:t>
                  </w:r>
                </w:p>
              </w:tc>
              <w:tc>
                <w:tcPr>
                  <w:tcW w:w="2759" w:type="pct"/>
                  <w:tcBorders>
                    <w:tl2br w:val="nil"/>
                    <w:tr2bl w:val="nil"/>
                  </w:tcBorders>
                  <w:noWrap/>
                  <w:vAlign w:val="center"/>
                </w:tcPr>
                <w:p w14:paraId="2502502E">
                  <w:pPr>
                    <w:keepNext w:val="0"/>
                    <w:keepLines w:val="0"/>
                    <w:pageBreakBefore w:val="0"/>
                    <w:kinsoku/>
                    <w:wordWrap/>
                    <w:overflowPunct/>
                    <w:topLinePunct w:val="0"/>
                    <w:autoSpaceDE w:val="0"/>
                    <w:autoSpaceDN w:val="0"/>
                    <w:bidi w:val="0"/>
                    <w:spacing w:beforeAutospacing="0" w:after="0" w:afterAutospacing="0"/>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采用“压实土壤+土工布覆盖”处理，压实度≥93%</w:t>
                  </w:r>
                </w:p>
              </w:tc>
            </w:tr>
          </w:tbl>
          <w:p w14:paraId="0AC4560E">
            <w:pPr>
              <w:pStyle w:val="8"/>
              <w:spacing w:line="360" w:lineRule="auto"/>
              <w:ind w:firstLine="482" w:firstLineChars="200"/>
              <w:jc w:val="both"/>
              <w:rPr>
                <w:rStyle w:val="44"/>
                <w:rFonts w:hint="default" w:ascii="Times New Roman" w:hAnsi="宋体"/>
                <w:b/>
                <w:bCs/>
                <w:color w:val="auto"/>
                <w:highlight w:val="none"/>
              </w:rPr>
            </w:pPr>
            <w:r>
              <w:rPr>
                <w:rStyle w:val="44"/>
                <w:rFonts w:hint="eastAsia" w:hAnsi="宋体"/>
                <w:b/>
                <w:bCs/>
                <w:color w:val="auto"/>
                <w:highlight w:val="none"/>
                <w:lang w:val="en-US" w:eastAsia="zh-CN"/>
              </w:rPr>
              <w:t>8</w:t>
            </w:r>
            <w:r>
              <w:rPr>
                <w:rStyle w:val="44"/>
                <w:rFonts w:hint="default" w:ascii="Times New Roman" w:hAnsi="宋体"/>
                <w:b/>
                <w:bCs/>
                <w:color w:val="auto"/>
                <w:highlight w:val="none"/>
              </w:rPr>
              <w:t>、封井影响分析</w:t>
            </w:r>
          </w:p>
          <w:p w14:paraId="15249612">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（1）影响分析</w:t>
            </w:r>
          </w:p>
          <w:p w14:paraId="0EF3E990">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地面设施拆除、井场清理等工作会产生部分废弃管线、废弃建筑残渣，对这些废弃管线、残渣将进行集中清理收集，管线收集后可回收再利用，废弃建筑残渣按照一般工业固废进行综合利用。</w:t>
            </w:r>
          </w:p>
          <w:p w14:paraId="4832CED6">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（2）封井后应采取的环保措施</w:t>
            </w:r>
          </w:p>
          <w:p w14:paraId="6B0CE767">
            <w:pPr>
              <w:pStyle w:val="8"/>
              <w:spacing w:line="360" w:lineRule="auto"/>
              <w:ind w:firstLine="480" w:firstLineChars="200"/>
              <w:jc w:val="both"/>
              <w:rPr>
                <w:rStyle w:val="44"/>
                <w:rFonts w:hint="default" w:ascii="Times New Roman" w:hAnsi="宋体"/>
                <w:color w:val="auto"/>
                <w:highlight w:val="none"/>
              </w:rPr>
            </w:pPr>
            <w:r>
              <w:rPr>
                <w:rStyle w:val="44"/>
                <w:rFonts w:hint="default" w:ascii="Times New Roman" w:hAnsi="宋体"/>
                <w:color w:val="auto"/>
                <w:highlight w:val="none"/>
              </w:rPr>
              <w:t>①人工拆除临时占地基础。将井场建设保留的耕植土直接摊铺覆盖于场面上，然后进行植被恢复。</w:t>
            </w:r>
          </w:p>
          <w:p w14:paraId="424BE040">
            <w:pPr>
              <w:adjustRightInd w:val="0"/>
              <w:snapToGrid w:val="0"/>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②为尽快恢复土地功能，可增施肥料，加强灌溉，以改良土壤结构及其理化性质，提高土壤的保肥保水能力，恢复土壤生产能力。</w:t>
            </w:r>
          </w:p>
        </w:tc>
      </w:tr>
      <w:tr w14:paraId="197F6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tcMar>
              <w:left w:w="28" w:type="dxa"/>
              <w:right w:w="28" w:type="dxa"/>
            </w:tcMar>
            <w:vAlign w:val="center"/>
          </w:tcPr>
          <w:p w14:paraId="304D7577">
            <w:pPr>
              <w:adjustRightInd w:val="0"/>
              <w:snapToGrid w:val="0"/>
              <w:jc w:val="center"/>
              <w:rPr>
                <w:rFonts w:ascii="Times New Roman" w:hAnsi="Times New Roman"/>
                <w:bCs/>
                <w:color w:val="auto"/>
                <w:spacing w:val="10"/>
                <w:sz w:val="24"/>
                <w:highlight w:val="none"/>
              </w:rPr>
            </w:pPr>
            <w:r>
              <w:rPr>
                <w:rFonts w:ascii="Times New Roman" w:hAnsi="Times New Roman"/>
                <w:bCs/>
                <w:color w:val="auto"/>
                <w:spacing w:val="10"/>
                <w:sz w:val="24"/>
                <w:highlight w:val="none"/>
              </w:rPr>
              <w:t>运营期生态环境保护措施</w:t>
            </w:r>
          </w:p>
        </w:tc>
        <w:tc>
          <w:tcPr>
            <w:tcW w:w="7980" w:type="dxa"/>
            <w:noWrap/>
          </w:tcPr>
          <w:p w14:paraId="21A2D9BE">
            <w:pPr>
              <w:spacing w:line="360" w:lineRule="auto"/>
              <w:ind w:firstLine="480" w:firstLineChars="200"/>
              <w:rPr>
                <w:rStyle w:val="44"/>
                <w:rFonts w:hint="default" w:ascii="Times New Roman" w:hAnsi="宋体"/>
                <w:color w:val="auto"/>
                <w:kern w:val="0"/>
                <w:highlight w:val="none"/>
              </w:rPr>
            </w:pPr>
            <w:r>
              <w:rPr>
                <w:rStyle w:val="44"/>
                <w:rFonts w:hint="default" w:ascii="Times New Roman" w:hAnsi="宋体"/>
                <w:color w:val="auto"/>
                <w:kern w:val="0"/>
                <w:highlight w:val="none"/>
              </w:rPr>
              <w:t>本项目的生态环境的影响主要表现在施工期，不涉及运营期生态环境影响，因此评价不对运营期提出生态保护措施要求。</w:t>
            </w:r>
          </w:p>
        </w:tc>
      </w:tr>
      <w:tr w14:paraId="6F188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ign w:val="center"/>
          </w:tcPr>
          <w:p w14:paraId="6C30D6F6">
            <w:pPr>
              <w:adjustRightInd w:val="0"/>
              <w:snapToGrid w:val="0"/>
              <w:jc w:val="center"/>
              <w:rPr>
                <w:rFonts w:ascii="Times New Roman" w:hAnsi="Times New Roman"/>
                <w:bCs/>
                <w:color w:val="auto"/>
                <w:spacing w:val="10"/>
                <w:sz w:val="24"/>
                <w:highlight w:val="none"/>
              </w:rPr>
            </w:pPr>
            <w:r>
              <w:rPr>
                <w:rFonts w:ascii="Times New Roman" w:hAnsi="Times New Roman"/>
                <w:bCs/>
                <w:color w:val="auto"/>
                <w:sz w:val="24"/>
                <w:highlight w:val="none"/>
              </w:rPr>
              <w:t>其他</w:t>
            </w:r>
          </w:p>
        </w:tc>
        <w:tc>
          <w:tcPr>
            <w:tcW w:w="7980" w:type="dxa"/>
            <w:noWrap/>
          </w:tcPr>
          <w:p w14:paraId="3F55DC4A">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1、设立环境保护管理机构</w:t>
            </w:r>
          </w:p>
          <w:p w14:paraId="2E50FD3C">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为了做好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施工期环保措施的正常运行。</w:t>
            </w:r>
          </w:p>
          <w:p w14:paraId="048987E3">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环境保护管理机构（或环境保护责任人）应明确如下责任：</w:t>
            </w:r>
          </w:p>
          <w:p w14:paraId="371315DC">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（1）保持与</w:t>
            </w:r>
            <w:r>
              <w:rPr>
                <w:rFonts w:hint="eastAsia" w:ascii="Times New Roman" w:hAnsi="Times New Roman"/>
                <w:color w:val="auto"/>
                <w:sz w:val="24"/>
                <w:highlight w:val="none"/>
              </w:rPr>
              <w:t>生态环境</w:t>
            </w:r>
            <w:r>
              <w:rPr>
                <w:rFonts w:ascii="Times New Roman" w:hAnsi="Times New Roman"/>
                <w:color w:val="auto"/>
                <w:sz w:val="24"/>
                <w:highlight w:val="none"/>
              </w:rPr>
              <w:t>主管</w:t>
            </w:r>
            <w:r>
              <w:rPr>
                <w:rFonts w:hint="eastAsia" w:ascii="Times New Roman" w:hAnsi="Times New Roman"/>
                <w:color w:val="auto"/>
                <w:sz w:val="24"/>
                <w:highlight w:val="none"/>
              </w:rPr>
              <w:t>部门</w:t>
            </w:r>
            <w:r>
              <w:rPr>
                <w:rFonts w:ascii="Times New Roman" w:hAnsi="Times New Roman"/>
                <w:color w:val="auto"/>
                <w:sz w:val="24"/>
                <w:highlight w:val="none"/>
              </w:rPr>
              <w:t>的密切联系，及时了解国家、地方与本项目环境保护有关的法律、法规和其它要求，及时向</w:t>
            </w:r>
            <w:r>
              <w:rPr>
                <w:rFonts w:hint="eastAsia" w:ascii="Times New Roman" w:hAnsi="Times New Roman"/>
                <w:color w:val="auto"/>
                <w:sz w:val="24"/>
                <w:highlight w:val="none"/>
              </w:rPr>
              <w:t>生态环境</w:t>
            </w:r>
            <w:r>
              <w:rPr>
                <w:rFonts w:ascii="Times New Roman" w:hAnsi="Times New Roman"/>
                <w:color w:val="auto"/>
                <w:sz w:val="24"/>
                <w:highlight w:val="none"/>
              </w:rPr>
              <w:t>主管</w:t>
            </w:r>
            <w:r>
              <w:rPr>
                <w:rFonts w:hint="eastAsia" w:ascii="Times New Roman" w:hAnsi="Times New Roman"/>
                <w:color w:val="auto"/>
                <w:sz w:val="24"/>
                <w:highlight w:val="none"/>
              </w:rPr>
              <w:t>部门</w:t>
            </w:r>
            <w:r>
              <w:rPr>
                <w:rFonts w:ascii="Times New Roman" w:hAnsi="Times New Roman"/>
                <w:color w:val="auto"/>
                <w:sz w:val="24"/>
                <w:highlight w:val="none"/>
              </w:rPr>
              <w:t>反映与项目施工期有关的污染因素、存在的环境问题、采取的污染控制对策等环境保护方面的内容，听取</w:t>
            </w:r>
            <w:r>
              <w:rPr>
                <w:rFonts w:hint="eastAsia" w:ascii="Times New Roman" w:hAnsi="Times New Roman"/>
                <w:color w:val="auto"/>
                <w:sz w:val="24"/>
                <w:highlight w:val="none"/>
              </w:rPr>
              <w:t>生态环境</w:t>
            </w:r>
            <w:r>
              <w:rPr>
                <w:rFonts w:ascii="Times New Roman" w:hAnsi="Times New Roman"/>
                <w:color w:val="auto"/>
                <w:sz w:val="24"/>
                <w:highlight w:val="none"/>
              </w:rPr>
              <w:t>主管</w:t>
            </w:r>
            <w:r>
              <w:rPr>
                <w:rFonts w:hint="eastAsia" w:ascii="Times New Roman" w:hAnsi="Times New Roman"/>
                <w:color w:val="auto"/>
                <w:sz w:val="24"/>
                <w:highlight w:val="none"/>
              </w:rPr>
              <w:t>部门</w:t>
            </w:r>
            <w:r>
              <w:rPr>
                <w:rFonts w:ascii="Times New Roman" w:hAnsi="Times New Roman"/>
                <w:color w:val="auto"/>
                <w:sz w:val="24"/>
                <w:highlight w:val="none"/>
              </w:rPr>
              <w:t>的批示意见。</w:t>
            </w:r>
          </w:p>
          <w:p w14:paraId="338E341C">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（2）及时将国家、地方与本项目环境保护有关的法律、法规和规定向单位负责人汇报，及时向本单位有关机构、人员进行通报，组织职工进行环境保护方面的教育、培训，提高环保意识。</w:t>
            </w:r>
          </w:p>
          <w:p w14:paraId="3814DC04">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（3）及时向单位负责人汇报与本项目有关的污染因素、存在的环境问题、采取的污染控制对策、实施情况等，提出改进建议。</w:t>
            </w:r>
          </w:p>
          <w:p w14:paraId="7AF6D00A">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（4）</w:t>
            </w:r>
            <w:r>
              <w:rPr>
                <w:rFonts w:hint="eastAsia" w:ascii="Times New Roman" w:hAnsi="Times New Roman"/>
                <w:color w:val="auto"/>
                <w:sz w:val="24"/>
                <w:highlight w:val="none"/>
                <w:lang w:eastAsia="zh-CN"/>
              </w:rPr>
              <w:t>负责</w:t>
            </w:r>
            <w:r>
              <w:rPr>
                <w:rFonts w:ascii="Times New Roman" w:hAnsi="Times New Roman"/>
                <w:color w:val="auto"/>
                <w:sz w:val="24"/>
                <w:highlight w:val="none"/>
              </w:rPr>
              <w:t>制定、监督实施本单位的有关施工期环境保护管理规章制度，负责实施污染控制措施、管理污染治理设施，并进行详细的记录，以备检查。</w:t>
            </w:r>
          </w:p>
          <w:p w14:paraId="3BE8A591">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（5）按本评价提出的各项环境保护措施，编制详细的施工期环境保护。</w:t>
            </w:r>
          </w:p>
          <w:p w14:paraId="7BCE9CA0">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措施落实计划，明确各污染源位置、环境影响、环境保护措施、落实责任机构（人）等，并将该环境保护计划以书面形式发给相关人员，以便于各项措施的有效落实。</w:t>
            </w:r>
          </w:p>
          <w:p w14:paraId="2A407117">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2、健全环境管理制度</w:t>
            </w:r>
          </w:p>
          <w:p w14:paraId="161322C8">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建立完善的环境管理体系，健全内部环境管理制度，加强日常环境管理工作，对整个施工过程实施全程环境管理，杜绝施工过程中环境污染事故的发生，保护环境。</w:t>
            </w:r>
          </w:p>
          <w:p w14:paraId="572FFD42">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加强建设项目的环境管理，根据本评价提出的污染防治措施和对策，制定出切实可行的环境污染防治方法和措施；做好环境教育和宣传工作，提高各级管理人员和操作人员的环境保护意识，加强员工对环境污染防治的责任心，自觉遵守和执行各项环境保护的规章制度；确保环境保护措施的正常运行，防止污染事故的发生；加强与</w:t>
            </w:r>
            <w:r>
              <w:rPr>
                <w:rFonts w:hint="eastAsia" w:ascii="Times New Roman" w:hAnsi="Times New Roman"/>
                <w:color w:val="auto"/>
                <w:highlight w:val="none"/>
              </w:rPr>
              <w:t>生态环境主管</w:t>
            </w:r>
            <w:r>
              <w:rPr>
                <w:rFonts w:ascii="Times New Roman" w:hAnsi="Times New Roman"/>
                <w:color w:val="auto"/>
                <w:highlight w:val="none"/>
              </w:rPr>
              <w:t>部门的沟通和联系，主动接受</w:t>
            </w:r>
            <w:r>
              <w:rPr>
                <w:rFonts w:hint="eastAsia" w:ascii="Times New Roman" w:hAnsi="Times New Roman"/>
                <w:color w:val="auto"/>
                <w:highlight w:val="none"/>
              </w:rPr>
              <w:t>生态环境主管</w:t>
            </w:r>
            <w:r>
              <w:rPr>
                <w:rFonts w:ascii="Times New Roman" w:hAnsi="Times New Roman"/>
                <w:color w:val="auto"/>
                <w:highlight w:val="none"/>
              </w:rPr>
              <w:t>部门的管理、监督和指导。</w:t>
            </w:r>
          </w:p>
          <w:p w14:paraId="32EA9FFA">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3、环境管理职责及内容</w:t>
            </w:r>
          </w:p>
          <w:p w14:paraId="23C5BADE">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执行国家、地方环境保护法规和标准；负责环保工作的计划安排，加强对废水、废气、噪声、固体废物等的管理，加强在施工过程中对周边生态环境的保护。建设单位主要注意以下几个方面的措施：</w:t>
            </w:r>
          </w:p>
          <w:p w14:paraId="47FD49E9">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（1）控制建设项目在开发建设过程中的各种施工活动，尽量减少对生态环境的破坏，做好植被恢复与水土保持工作，防止土壤荒漠化。</w:t>
            </w:r>
          </w:p>
          <w:p w14:paraId="0904389C">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（2）项目建成后，废气达标排放、废水按要求外运处理，场界噪声控制在可接受范围之内，固废得到合理利用及无害化处置，符合国家和地方要求。</w:t>
            </w:r>
          </w:p>
          <w:p w14:paraId="050B574C">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（3）保证评价区域空气、地下水质量维持现有水平；将工程对生态环境的不利影响程度降至最低，使受影响区域的整体生态环境无明显破坏。</w:t>
            </w:r>
          </w:p>
          <w:p w14:paraId="351E7D01">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（4）控制井场占地，减轻工程建设对地表植被和土壤的破坏程度及水土流失量。</w:t>
            </w:r>
          </w:p>
          <w:p w14:paraId="3378575C">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（5）控制各种施工活动对工程附近地表水体的影响，防止施工活动影响地表水和地下水水体功能和水质。</w:t>
            </w:r>
          </w:p>
          <w:p w14:paraId="54097AF6">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（6）实施清洁生产，减少钻井工程每米进尺所产生的钻井废水、固体废物的量，推行污染物</w:t>
            </w:r>
            <w:r>
              <w:rPr>
                <w:rFonts w:hint="eastAsia" w:ascii="Times New Roman" w:hAnsi="Times New Roman"/>
                <w:color w:val="auto"/>
                <w:highlight w:val="none"/>
                <w:lang w:eastAsia="zh-CN"/>
              </w:rPr>
              <w:t>“</w:t>
            </w:r>
            <w:r>
              <w:rPr>
                <w:rFonts w:ascii="Times New Roman" w:hAnsi="Times New Roman"/>
                <w:color w:val="auto"/>
                <w:highlight w:val="none"/>
              </w:rPr>
              <w:t>减量化、资源化、无害化</w:t>
            </w:r>
            <w:r>
              <w:rPr>
                <w:rFonts w:hint="eastAsia" w:ascii="Times New Roman" w:hAnsi="Times New Roman"/>
                <w:color w:val="auto"/>
                <w:highlight w:val="none"/>
                <w:lang w:eastAsia="zh-CN"/>
              </w:rPr>
              <w:t>”</w:t>
            </w:r>
            <w:r>
              <w:rPr>
                <w:rFonts w:ascii="Times New Roman" w:hAnsi="Times New Roman"/>
                <w:color w:val="auto"/>
                <w:highlight w:val="none"/>
              </w:rPr>
              <w:t>的环保理念。</w:t>
            </w:r>
          </w:p>
          <w:p w14:paraId="6FC9430D">
            <w:pPr>
              <w:pStyle w:val="31"/>
              <w:adjustRightInd/>
              <w:spacing w:line="360" w:lineRule="auto"/>
              <w:ind w:firstLine="480" w:firstLineChars="200"/>
              <w:jc w:val="both"/>
              <w:rPr>
                <w:rFonts w:ascii="Times New Roman" w:hAnsi="Times New Roman"/>
                <w:color w:val="auto"/>
                <w:highlight w:val="none"/>
              </w:rPr>
            </w:pPr>
            <w:r>
              <w:rPr>
                <w:rFonts w:ascii="Times New Roman" w:hAnsi="Times New Roman"/>
                <w:color w:val="auto"/>
                <w:highlight w:val="none"/>
              </w:rPr>
              <w:t>（7）采取各种有效的环境风险防控措施，切实降低本工程施工期的各类环境风险事故发生率。</w:t>
            </w:r>
          </w:p>
          <w:p w14:paraId="6EE16CD7">
            <w:pPr>
              <w:pStyle w:val="31"/>
              <w:adjustRightInd/>
              <w:spacing w:line="360" w:lineRule="auto"/>
              <w:ind w:firstLine="480" w:firstLineChars="200"/>
              <w:jc w:val="both"/>
              <w:rPr>
                <w:rFonts w:ascii="Times New Roman" w:hAnsi="Times New Roman"/>
                <w:bCs/>
                <w:color w:val="auto"/>
                <w:spacing w:val="10"/>
                <w:szCs w:val="21"/>
                <w:highlight w:val="none"/>
              </w:rPr>
            </w:pPr>
            <w:r>
              <w:rPr>
                <w:rFonts w:ascii="Times New Roman" w:hAnsi="Times New Roman"/>
                <w:color w:val="auto"/>
                <w:highlight w:val="none"/>
              </w:rPr>
              <w:t>（8）根据工程实际，针对施工过程产生的钻井废水采取切实有效的多种处理方式，确保不对环境造成污染。</w:t>
            </w:r>
          </w:p>
        </w:tc>
      </w:tr>
      <w:tr w14:paraId="4CD58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ign w:val="center"/>
          </w:tcPr>
          <w:p w14:paraId="40D7608E">
            <w:pPr>
              <w:adjustRightInd w:val="0"/>
              <w:snapToGrid w:val="0"/>
              <w:jc w:val="center"/>
              <w:rPr>
                <w:rFonts w:ascii="Times New Roman" w:hAnsi="Times New Roman"/>
                <w:bCs/>
                <w:color w:val="auto"/>
                <w:spacing w:val="10"/>
                <w:sz w:val="24"/>
                <w:highlight w:val="none"/>
              </w:rPr>
            </w:pPr>
            <w:r>
              <w:rPr>
                <w:rFonts w:ascii="Times New Roman" w:hAnsi="Times New Roman"/>
                <w:bCs/>
                <w:color w:val="auto"/>
                <w:sz w:val="24"/>
                <w:highlight w:val="none"/>
              </w:rPr>
              <w:t>环保投资</w:t>
            </w:r>
          </w:p>
        </w:tc>
        <w:tc>
          <w:tcPr>
            <w:tcW w:w="7980" w:type="dxa"/>
            <w:noWrap/>
          </w:tcPr>
          <w:p w14:paraId="54C81C42">
            <w:pPr>
              <w:adjustRightInd w:val="0"/>
              <w:snapToGrid w:val="0"/>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项目环保投资</w:t>
            </w:r>
            <w:r>
              <w:rPr>
                <w:rFonts w:hint="eastAsia" w:ascii="Times New Roman" w:hAnsi="Times New Roman"/>
                <w:color w:val="000000" w:themeColor="text1"/>
                <w:sz w:val="24"/>
                <w:highlight w:val="none"/>
                <w:lang w:val="en-US" w:eastAsia="zh-CN"/>
                <w14:textFill>
                  <w14:solidFill>
                    <w14:schemeClr w14:val="tx1"/>
                  </w14:solidFill>
                </w14:textFill>
              </w:rPr>
              <w:t>36.8</w:t>
            </w:r>
            <w:r>
              <w:rPr>
                <w:rFonts w:ascii="Times New Roman" w:hAnsi="Times New Roman"/>
                <w:color w:val="000000" w:themeColor="text1"/>
                <w:sz w:val="24"/>
                <w:highlight w:val="none"/>
                <w14:textFill>
                  <w14:solidFill>
                    <w14:schemeClr w14:val="tx1"/>
                  </w14:solidFill>
                </w14:textFill>
              </w:rPr>
              <w:t>万元，占总投资</w:t>
            </w:r>
            <w:r>
              <w:rPr>
                <w:rFonts w:hint="eastAsia" w:ascii="Times New Roman" w:hAnsi="Times New Roman"/>
                <w:color w:val="000000" w:themeColor="text1"/>
                <w:sz w:val="24"/>
                <w:highlight w:val="none"/>
                <w:lang w:eastAsia="zh-CN"/>
                <w14:textFill>
                  <w14:solidFill>
                    <w14:schemeClr w14:val="tx1"/>
                  </w14:solidFill>
                </w14:textFill>
              </w:rPr>
              <w:t>179.7082</w:t>
            </w:r>
            <w:r>
              <w:rPr>
                <w:rFonts w:ascii="Times New Roman" w:hAnsi="Times New Roman"/>
                <w:color w:val="000000" w:themeColor="text1"/>
                <w:sz w:val="24"/>
                <w:highlight w:val="none"/>
                <w14:textFill>
                  <w14:solidFill>
                    <w14:schemeClr w14:val="tx1"/>
                  </w14:solidFill>
                </w14:textFill>
              </w:rPr>
              <w:t>万元的</w:t>
            </w:r>
            <w:r>
              <w:rPr>
                <w:rFonts w:hint="eastAsia" w:ascii="Times New Roman" w:hAnsi="Times New Roman"/>
                <w:color w:val="000000" w:themeColor="text1"/>
                <w:sz w:val="24"/>
                <w:highlight w:val="none"/>
                <w:lang w:val="en-US" w:eastAsia="zh-CN"/>
                <w14:textFill>
                  <w14:solidFill>
                    <w14:schemeClr w14:val="tx1"/>
                  </w14:solidFill>
                </w14:textFill>
              </w:rPr>
              <w:t>20.5</w:t>
            </w:r>
            <w:r>
              <w:rPr>
                <w:rFonts w:ascii="Times New Roman" w:hAnsi="Times New Roman"/>
                <w:color w:val="000000" w:themeColor="text1"/>
                <w:sz w:val="24"/>
                <w:highlight w:val="none"/>
                <w14:textFill>
                  <w14:solidFill>
                    <w14:schemeClr w14:val="tx1"/>
                  </w14:solidFill>
                </w14:textFill>
              </w:rPr>
              <w:t>%，环保投资估算详见下表。</w:t>
            </w:r>
          </w:p>
          <w:p w14:paraId="010432C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表5-</w:t>
            </w:r>
            <w:r>
              <w:rPr>
                <w:rFonts w:hint="eastAsia" w:ascii="Times New Roman" w:hAnsi="Times New Roman"/>
                <w:b/>
                <w:color w:val="auto"/>
                <w:sz w:val="21"/>
                <w:szCs w:val="21"/>
                <w:highlight w:val="none"/>
                <w:lang w:val="en-US" w:eastAsia="zh-CN"/>
              </w:rPr>
              <w:t>2</w:t>
            </w:r>
            <w:r>
              <w:rPr>
                <w:rFonts w:ascii="Times New Roman" w:hAnsi="Times New Roman"/>
                <w:b/>
                <w:color w:val="auto"/>
                <w:sz w:val="21"/>
                <w:szCs w:val="21"/>
                <w:highlight w:val="none"/>
              </w:rPr>
              <w:t xml:space="preserve">  环保投资一览表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38"/>
              <w:gridCol w:w="1509"/>
              <w:gridCol w:w="4493"/>
              <w:gridCol w:w="753"/>
            </w:tblGrid>
            <w:tr w14:paraId="08F0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2438" w:type="dxa"/>
                  <w:gridSpan w:val="3"/>
                  <w:noWrap/>
                  <w:vAlign w:val="center"/>
                </w:tcPr>
                <w:p w14:paraId="0FEAE623">
                  <w:pPr>
                    <w:ind w:left="-105" w:leftChars="-50" w:right="-105" w:rightChars="-50"/>
                    <w:jc w:val="center"/>
                    <w:rPr>
                      <w:rFonts w:ascii="Times New Roman" w:hAnsi="Times New Roman"/>
                      <w:b/>
                      <w:bCs/>
                      <w:color w:val="auto"/>
                      <w:szCs w:val="21"/>
                      <w:highlight w:val="none"/>
                    </w:rPr>
                  </w:pPr>
                  <w:r>
                    <w:rPr>
                      <w:rFonts w:ascii="Times New Roman" w:hAnsi="Times New Roman"/>
                      <w:b/>
                      <w:bCs/>
                      <w:color w:val="auto"/>
                      <w:szCs w:val="21"/>
                      <w:highlight w:val="none"/>
                    </w:rPr>
                    <w:t>项目</w:t>
                  </w:r>
                </w:p>
              </w:tc>
              <w:tc>
                <w:tcPr>
                  <w:tcW w:w="4493" w:type="dxa"/>
                  <w:noWrap/>
                  <w:vAlign w:val="center"/>
                </w:tcPr>
                <w:p w14:paraId="60B76CD0">
                  <w:pPr>
                    <w:ind w:left="-105" w:leftChars="-50" w:right="-105" w:rightChars="-50"/>
                    <w:jc w:val="center"/>
                    <w:rPr>
                      <w:rFonts w:ascii="Times New Roman" w:hAnsi="Times New Roman"/>
                      <w:b/>
                      <w:bCs/>
                      <w:color w:val="auto"/>
                      <w:szCs w:val="21"/>
                      <w:highlight w:val="none"/>
                    </w:rPr>
                  </w:pPr>
                  <w:r>
                    <w:rPr>
                      <w:rFonts w:ascii="Times New Roman" w:hAnsi="Times New Roman"/>
                      <w:b/>
                      <w:bCs/>
                      <w:color w:val="auto"/>
                      <w:szCs w:val="21"/>
                      <w:highlight w:val="none"/>
                    </w:rPr>
                    <w:t>环保措施</w:t>
                  </w:r>
                </w:p>
              </w:tc>
              <w:tc>
                <w:tcPr>
                  <w:tcW w:w="753" w:type="dxa"/>
                  <w:noWrap/>
                  <w:vAlign w:val="center"/>
                </w:tcPr>
                <w:p w14:paraId="34262376">
                  <w:pPr>
                    <w:ind w:left="-105" w:leftChars="-50" w:right="-105" w:rightChars="-50"/>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投资</w:t>
                  </w:r>
                </w:p>
                <w:p w14:paraId="274A09D2">
                  <w:pPr>
                    <w:ind w:left="-105" w:leftChars="-50" w:right="-105" w:rightChars="-50"/>
                    <w:jc w:val="center"/>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（万元）</w:t>
                  </w:r>
                </w:p>
              </w:tc>
            </w:tr>
            <w:tr w14:paraId="230D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restart"/>
                  <w:noWrap/>
                  <w:vAlign w:val="center"/>
                </w:tcPr>
                <w:p w14:paraId="73834BE3">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施</w:t>
                  </w:r>
                </w:p>
                <w:p w14:paraId="037539BD">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工</w:t>
                  </w:r>
                </w:p>
                <w:p w14:paraId="7A16F3B9">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期</w:t>
                  </w:r>
                </w:p>
              </w:tc>
              <w:tc>
                <w:tcPr>
                  <w:tcW w:w="538" w:type="dxa"/>
                  <w:noWrap/>
                  <w:vAlign w:val="center"/>
                </w:tcPr>
                <w:p w14:paraId="14913FB6">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废气</w:t>
                  </w:r>
                </w:p>
              </w:tc>
              <w:tc>
                <w:tcPr>
                  <w:tcW w:w="1509" w:type="dxa"/>
                  <w:noWrap/>
                  <w:vAlign w:val="center"/>
                </w:tcPr>
                <w:p w14:paraId="2DCD72E8">
                  <w:pPr>
                    <w:jc w:val="center"/>
                    <w:rPr>
                      <w:rFonts w:ascii="Times New Roman" w:hAnsi="Times New Roman"/>
                      <w:color w:val="auto"/>
                      <w:szCs w:val="21"/>
                      <w:highlight w:val="none"/>
                    </w:rPr>
                  </w:pPr>
                  <w:r>
                    <w:rPr>
                      <w:rFonts w:ascii="Times New Roman" w:hAnsi="Times New Roman"/>
                      <w:color w:val="auto"/>
                      <w:szCs w:val="21"/>
                      <w:highlight w:val="none"/>
                    </w:rPr>
                    <w:t>扬尘治理</w:t>
                  </w:r>
                </w:p>
              </w:tc>
              <w:tc>
                <w:tcPr>
                  <w:tcW w:w="4493" w:type="dxa"/>
                  <w:noWrap/>
                  <w:vAlign w:val="center"/>
                </w:tcPr>
                <w:p w14:paraId="16C9465F">
                  <w:pPr>
                    <w:jc w:val="center"/>
                    <w:rPr>
                      <w:rFonts w:ascii="Times New Roman" w:hAnsi="Times New Roman"/>
                      <w:color w:val="auto"/>
                      <w:szCs w:val="21"/>
                      <w:highlight w:val="none"/>
                    </w:rPr>
                  </w:pPr>
                  <w:r>
                    <w:rPr>
                      <w:rFonts w:ascii="Times New Roman" w:hAnsi="Times New Roman"/>
                      <w:color w:val="auto"/>
                      <w:szCs w:val="21"/>
                      <w:highlight w:val="none"/>
                    </w:rPr>
                    <w:t>施工期影响主要为施工扬尘、机械尾气等。通过加强施工机械、车辆管理，进行物料覆盖，对施工道路进行固化、洒水处理等措施，施工现场扬尘污染防治应做到</w:t>
                  </w:r>
                  <w:r>
                    <w:rPr>
                      <w:rFonts w:hint="eastAsia" w:ascii="Times New Roman" w:hAnsi="Times New Roman"/>
                      <w:color w:val="auto"/>
                      <w:szCs w:val="21"/>
                      <w:highlight w:val="none"/>
                      <w:lang w:eastAsia="zh-CN"/>
                    </w:rPr>
                    <w:t>“</w:t>
                  </w:r>
                  <w:r>
                    <w:rPr>
                      <w:rFonts w:ascii="Times New Roman" w:hAnsi="Times New Roman"/>
                      <w:color w:val="auto"/>
                      <w:szCs w:val="21"/>
                      <w:highlight w:val="none"/>
                    </w:rPr>
                    <w:t>六个百分之百</w:t>
                  </w:r>
                  <w:r>
                    <w:rPr>
                      <w:rFonts w:hint="eastAsia" w:ascii="Times New Roman" w:hAnsi="Times New Roman"/>
                      <w:color w:val="auto"/>
                      <w:szCs w:val="21"/>
                      <w:highlight w:val="none"/>
                      <w:lang w:eastAsia="zh-CN"/>
                    </w:rPr>
                    <w:t>”</w:t>
                  </w:r>
                  <w:r>
                    <w:rPr>
                      <w:rFonts w:ascii="Times New Roman" w:hAnsi="Times New Roman"/>
                      <w:color w:val="auto"/>
                      <w:szCs w:val="21"/>
                      <w:highlight w:val="none"/>
                    </w:rPr>
                    <w:t>，减少对周边空气环境的影响</w:t>
                  </w:r>
                </w:p>
              </w:tc>
              <w:tc>
                <w:tcPr>
                  <w:tcW w:w="753" w:type="dxa"/>
                  <w:noWrap/>
                  <w:vAlign w:val="center"/>
                </w:tcPr>
                <w:p w14:paraId="21CAA885">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5</w:t>
                  </w:r>
                </w:p>
              </w:tc>
            </w:tr>
            <w:tr w14:paraId="2C63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ign w:val="center"/>
                </w:tcPr>
                <w:p w14:paraId="6B572DA4">
                  <w:pPr>
                    <w:ind w:left="-105" w:leftChars="-50" w:right="-105" w:rightChars="-50"/>
                    <w:jc w:val="center"/>
                    <w:rPr>
                      <w:rFonts w:ascii="Times New Roman" w:hAnsi="Times New Roman"/>
                      <w:color w:val="auto"/>
                      <w:szCs w:val="21"/>
                      <w:highlight w:val="none"/>
                    </w:rPr>
                  </w:pPr>
                </w:p>
              </w:tc>
              <w:tc>
                <w:tcPr>
                  <w:tcW w:w="538" w:type="dxa"/>
                  <w:vMerge w:val="restart"/>
                  <w:noWrap/>
                  <w:vAlign w:val="center"/>
                </w:tcPr>
                <w:p w14:paraId="0F0A8291">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废水</w:t>
                  </w:r>
                </w:p>
              </w:tc>
              <w:tc>
                <w:tcPr>
                  <w:tcW w:w="1509" w:type="dxa"/>
                  <w:vMerge w:val="restart"/>
                  <w:noWrap/>
                  <w:vAlign w:val="center"/>
                </w:tcPr>
                <w:p w14:paraId="6ADA78CD">
                  <w:pPr>
                    <w:jc w:val="center"/>
                    <w:rPr>
                      <w:rFonts w:ascii="Times New Roman" w:hAnsi="Times New Roman"/>
                      <w:color w:val="auto"/>
                      <w:szCs w:val="21"/>
                      <w:highlight w:val="none"/>
                    </w:rPr>
                  </w:pPr>
                  <w:r>
                    <w:rPr>
                      <w:rFonts w:ascii="Times New Roman" w:hAnsi="Times New Roman"/>
                      <w:color w:val="auto"/>
                      <w:szCs w:val="21"/>
                      <w:highlight w:val="none"/>
                    </w:rPr>
                    <w:t>废水</w:t>
                  </w:r>
                </w:p>
              </w:tc>
              <w:tc>
                <w:tcPr>
                  <w:tcW w:w="4493" w:type="dxa"/>
                  <w:noWrap/>
                  <w:vAlign w:val="center"/>
                </w:tcPr>
                <w:p w14:paraId="79A54C63">
                  <w:pPr>
                    <w:jc w:val="center"/>
                    <w:rPr>
                      <w:rFonts w:ascii="Times New Roman" w:hAnsi="Times New Roman"/>
                      <w:color w:val="auto"/>
                      <w:szCs w:val="21"/>
                      <w:highlight w:val="none"/>
                    </w:rPr>
                  </w:pPr>
                  <w:r>
                    <w:rPr>
                      <w:rFonts w:ascii="Times New Roman" w:hAnsi="Times New Roman"/>
                      <w:color w:val="auto"/>
                      <w:szCs w:val="21"/>
                      <w:highlight w:val="none"/>
                    </w:rPr>
                    <w:t>施工人员租住附近民房，用水量较少，生活污水经</w:t>
                  </w:r>
                  <w:r>
                    <w:rPr>
                      <w:rFonts w:hint="eastAsia" w:ascii="Times New Roman" w:hAnsi="Times New Roman"/>
                      <w:color w:val="auto"/>
                      <w:szCs w:val="21"/>
                      <w:highlight w:val="none"/>
                    </w:rPr>
                    <w:t>场地临时</w:t>
                  </w:r>
                  <w:r>
                    <w:rPr>
                      <w:rFonts w:ascii="Times New Roman" w:hAnsi="Times New Roman"/>
                      <w:color w:val="auto"/>
                      <w:szCs w:val="21"/>
                      <w:highlight w:val="none"/>
                    </w:rPr>
                    <w:t>化粪池处理后清掏农用，不外排。</w:t>
                  </w:r>
                </w:p>
              </w:tc>
              <w:tc>
                <w:tcPr>
                  <w:tcW w:w="753" w:type="dxa"/>
                  <w:noWrap/>
                  <w:vAlign w:val="center"/>
                </w:tcPr>
                <w:p w14:paraId="6546F561">
                  <w:pPr>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1</w:t>
                  </w:r>
                </w:p>
              </w:tc>
            </w:tr>
            <w:tr w14:paraId="2479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ign w:val="center"/>
                </w:tcPr>
                <w:p w14:paraId="270A18BE">
                  <w:pPr>
                    <w:ind w:left="-105" w:leftChars="-50" w:right="-105" w:rightChars="-50"/>
                    <w:jc w:val="center"/>
                    <w:rPr>
                      <w:rFonts w:ascii="Times New Roman" w:hAnsi="Times New Roman"/>
                      <w:color w:val="auto"/>
                      <w:szCs w:val="21"/>
                      <w:highlight w:val="none"/>
                    </w:rPr>
                  </w:pPr>
                </w:p>
              </w:tc>
              <w:tc>
                <w:tcPr>
                  <w:tcW w:w="538" w:type="dxa"/>
                  <w:vMerge w:val="continue"/>
                  <w:noWrap/>
                  <w:vAlign w:val="center"/>
                </w:tcPr>
                <w:p w14:paraId="6630BAB3">
                  <w:pPr>
                    <w:ind w:left="-105" w:leftChars="-50" w:right="-105" w:rightChars="-50"/>
                    <w:jc w:val="center"/>
                    <w:rPr>
                      <w:rFonts w:ascii="Times New Roman" w:hAnsi="Times New Roman"/>
                      <w:color w:val="auto"/>
                      <w:szCs w:val="21"/>
                      <w:highlight w:val="none"/>
                    </w:rPr>
                  </w:pPr>
                </w:p>
              </w:tc>
              <w:tc>
                <w:tcPr>
                  <w:tcW w:w="1509" w:type="dxa"/>
                  <w:vMerge w:val="continue"/>
                  <w:noWrap/>
                  <w:vAlign w:val="center"/>
                </w:tcPr>
                <w:p w14:paraId="25C57103">
                  <w:pPr>
                    <w:jc w:val="center"/>
                    <w:rPr>
                      <w:rFonts w:ascii="Times New Roman" w:hAnsi="Times New Roman"/>
                      <w:color w:val="auto"/>
                      <w:szCs w:val="21"/>
                      <w:highlight w:val="none"/>
                    </w:rPr>
                  </w:pPr>
                </w:p>
              </w:tc>
              <w:tc>
                <w:tcPr>
                  <w:tcW w:w="4493" w:type="dxa"/>
                  <w:noWrap/>
                  <w:vAlign w:val="center"/>
                </w:tcPr>
                <w:p w14:paraId="4198E31E">
                  <w:pPr>
                    <w:jc w:val="center"/>
                    <w:rPr>
                      <w:rFonts w:hint="default" w:ascii="Times New Roman" w:hAnsi="Times New Roman" w:eastAsia="宋体"/>
                      <w:color w:val="auto"/>
                      <w:szCs w:val="21"/>
                      <w:highlight w:val="none"/>
                      <w:lang w:val="en-US" w:eastAsia="zh-CN"/>
                    </w:rPr>
                  </w:pPr>
                  <w:r>
                    <w:rPr>
                      <w:rFonts w:ascii="Times New Roman" w:hAnsi="Times New Roman"/>
                      <w:color w:val="auto"/>
                      <w:szCs w:val="21"/>
                      <w:highlight w:val="none"/>
                    </w:rPr>
                    <w:t>每个井场进出口</w:t>
                  </w:r>
                  <w:r>
                    <w:rPr>
                      <w:rFonts w:hint="eastAsia" w:ascii="Times New Roman" w:hAnsi="Times New Roman"/>
                      <w:color w:val="auto"/>
                      <w:szCs w:val="21"/>
                      <w:highlight w:val="none"/>
                    </w:rPr>
                    <w:t>要对车辆进行冲洗</w:t>
                  </w:r>
                  <w:r>
                    <w:rPr>
                      <w:rFonts w:ascii="Times New Roman" w:hAnsi="Times New Roman"/>
                      <w:color w:val="auto"/>
                      <w:szCs w:val="21"/>
                      <w:highlight w:val="none"/>
                    </w:rPr>
                    <w:t>，配套建设容积</w:t>
                  </w:r>
                  <w:r>
                    <w:rPr>
                      <w:rFonts w:hint="eastAsia" w:ascii="Times New Roman" w:hAnsi="Times New Roman"/>
                      <w:color w:val="auto"/>
                      <w:szCs w:val="21"/>
                      <w:highlight w:val="none"/>
                      <w:lang w:val="en-US" w:eastAsia="zh-CN"/>
                    </w:rPr>
                    <w:t>8</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循环沉淀池，车辆清洗废水经沉淀池沉淀后循环使用，不外排；每个井场钻探废水设置设1个</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，设置设1个干化池，容积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，钻探废水经沉淀后回用于钻探用水</w:t>
                  </w:r>
                  <w:r>
                    <w:rPr>
                      <w:rFonts w:hint="eastAsia" w:ascii="Times New Roman" w:hAnsi="Times New Roman"/>
                      <w:color w:val="auto"/>
                      <w:szCs w:val="21"/>
                      <w:highlight w:val="none"/>
                      <w:lang w:eastAsia="zh-CN"/>
                    </w:rPr>
                    <w:t>；洗井废水利用泥浆池上清水，清洗后返回泥浆池内，不外排；抽水试验废水排入清水池，</w:t>
                  </w:r>
                  <w:r>
                    <w:rPr>
                      <w:rFonts w:hint="eastAsia" w:ascii="Times New Roman" w:hAnsi="Times New Roman"/>
                      <w:color w:val="auto"/>
                      <w:szCs w:val="21"/>
                      <w:highlight w:val="none"/>
                      <w:lang w:val="en-US" w:eastAsia="zh-CN"/>
                    </w:rPr>
                    <w:t>施工单位根据抽水试验水质全成分检测结果进行针对性处置，若水质质量满足农田灌溉要求，则</w:t>
                  </w:r>
                  <w:r>
                    <w:rPr>
                      <w:rFonts w:hint="eastAsia" w:ascii="Times New Roman" w:hAnsi="Times New Roman"/>
                      <w:color w:val="auto"/>
                      <w:szCs w:val="21"/>
                      <w:highlight w:val="none"/>
                      <w:lang w:eastAsia="zh-CN"/>
                    </w:rPr>
                    <w:t>与周边农户协商好之后，用于周边农田灌溉使用，</w:t>
                  </w:r>
                  <w:r>
                    <w:rPr>
                      <w:rFonts w:hint="eastAsia" w:ascii="Times New Roman" w:hAnsi="Times New Roman"/>
                      <w:color w:val="auto"/>
                      <w:szCs w:val="21"/>
                      <w:highlight w:val="none"/>
                      <w:lang w:val="en-US" w:eastAsia="zh-CN"/>
                    </w:rPr>
                    <w:t>若水质质量不满足农田灌溉要求，则委托有处置能力单位进行处置</w:t>
                  </w:r>
                  <w:r>
                    <w:rPr>
                      <w:rFonts w:hint="eastAsia" w:ascii="Times New Roman" w:hAnsi="Times New Roman"/>
                      <w:color w:val="auto"/>
                      <w:szCs w:val="21"/>
                      <w:highlight w:val="none"/>
                      <w:lang w:eastAsia="zh-CN"/>
                    </w:rPr>
                    <w:t>；</w:t>
                  </w:r>
                </w:p>
              </w:tc>
              <w:tc>
                <w:tcPr>
                  <w:tcW w:w="753" w:type="dxa"/>
                  <w:noWrap/>
                  <w:vAlign w:val="center"/>
                </w:tcPr>
                <w:p w14:paraId="4EF3D301">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10</w:t>
                  </w:r>
                </w:p>
              </w:tc>
            </w:tr>
            <w:tr w14:paraId="179B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6B991DF0">
                  <w:pPr>
                    <w:ind w:left="-105" w:leftChars="-50" w:right="-105" w:rightChars="-50"/>
                    <w:jc w:val="center"/>
                    <w:rPr>
                      <w:rFonts w:ascii="Times New Roman" w:hAnsi="Times New Roman"/>
                      <w:color w:val="auto"/>
                      <w:szCs w:val="21"/>
                      <w:highlight w:val="none"/>
                    </w:rPr>
                  </w:pPr>
                </w:p>
              </w:tc>
              <w:tc>
                <w:tcPr>
                  <w:tcW w:w="538" w:type="dxa"/>
                  <w:noWrap/>
                  <w:vAlign w:val="center"/>
                </w:tcPr>
                <w:p w14:paraId="7F15A7FF">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噪声</w:t>
                  </w:r>
                </w:p>
              </w:tc>
              <w:tc>
                <w:tcPr>
                  <w:tcW w:w="1509" w:type="dxa"/>
                  <w:noWrap/>
                  <w:vAlign w:val="center"/>
                </w:tcPr>
                <w:p w14:paraId="05003BEF">
                  <w:pPr>
                    <w:jc w:val="center"/>
                    <w:rPr>
                      <w:rFonts w:ascii="Times New Roman" w:hAnsi="Times New Roman"/>
                      <w:color w:val="auto"/>
                      <w:szCs w:val="21"/>
                      <w:highlight w:val="none"/>
                    </w:rPr>
                  </w:pPr>
                  <w:r>
                    <w:rPr>
                      <w:rFonts w:ascii="Times New Roman" w:hAnsi="Times New Roman"/>
                      <w:color w:val="auto"/>
                      <w:szCs w:val="21"/>
                      <w:highlight w:val="none"/>
                    </w:rPr>
                    <w:t>施工机械噪声</w:t>
                  </w:r>
                </w:p>
              </w:tc>
              <w:tc>
                <w:tcPr>
                  <w:tcW w:w="4493" w:type="dxa"/>
                  <w:noWrap/>
                  <w:vAlign w:val="center"/>
                </w:tcPr>
                <w:p w14:paraId="11417156">
                  <w:pPr>
                    <w:jc w:val="center"/>
                    <w:rPr>
                      <w:rFonts w:ascii="Times New Roman" w:hAnsi="Times New Roman"/>
                      <w:color w:val="auto"/>
                      <w:szCs w:val="21"/>
                      <w:highlight w:val="none"/>
                    </w:rPr>
                  </w:pPr>
                  <w:r>
                    <w:rPr>
                      <w:rFonts w:ascii="Times New Roman" w:hAnsi="Times New Roman"/>
                      <w:color w:val="auto"/>
                      <w:szCs w:val="21"/>
                      <w:highlight w:val="none"/>
                    </w:rPr>
                    <w:t>选用低噪声设备，合理布置施工机械，合理安排施工时间，加强施工管理，设置施工围墙、降噪安全围帘等，面向敏感点一侧布置</w:t>
                  </w:r>
                  <w:r>
                    <w:rPr>
                      <w:rFonts w:hint="eastAsia" w:ascii="Times New Roman" w:hAnsi="Times New Roman"/>
                      <w:color w:val="auto"/>
                      <w:szCs w:val="21"/>
                      <w:highlight w:val="none"/>
                      <w:lang w:val="en-US" w:eastAsia="zh-CN"/>
                    </w:rPr>
                    <w:t>移动声屏障</w:t>
                  </w:r>
                  <w:r>
                    <w:rPr>
                      <w:rFonts w:ascii="Times New Roman" w:hAnsi="Times New Roman"/>
                      <w:bCs/>
                      <w:color w:val="auto"/>
                      <w:szCs w:val="21"/>
                      <w:highlight w:val="none"/>
                    </w:rPr>
                    <w:t>，可有效降低对周边敏感点的影响</w:t>
                  </w:r>
                </w:p>
              </w:tc>
              <w:tc>
                <w:tcPr>
                  <w:tcW w:w="753" w:type="dxa"/>
                  <w:noWrap/>
                  <w:vAlign w:val="center"/>
                </w:tcPr>
                <w:p w14:paraId="1C3C8535">
                  <w:pPr>
                    <w:jc w:val="center"/>
                    <w:rPr>
                      <w:rFonts w:hint="default" w:ascii="Times New Roman" w:hAnsi="Times New Roman"/>
                      <w:color w:val="000000" w:themeColor="text1"/>
                      <w:szCs w:val="21"/>
                      <w:highlight w:val="none"/>
                      <w:lang w:val="en-US"/>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2.5</w:t>
                  </w:r>
                </w:p>
              </w:tc>
            </w:tr>
            <w:tr w14:paraId="2A0E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391" w:type="dxa"/>
                  <w:vMerge w:val="continue"/>
                  <w:noWrap/>
                  <w:vAlign w:val="center"/>
                </w:tcPr>
                <w:p w14:paraId="3F34386B">
                  <w:pPr>
                    <w:ind w:left="-105" w:leftChars="-50" w:right="-105" w:rightChars="-50"/>
                    <w:jc w:val="center"/>
                    <w:rPr>
                      <w:rFonts w:ascii="Times New Roman" w:hAnsi="Times New Roman"/>
                      <w:color w:val="auto"/>
                      <w:szCs w:val="21"/>
                      <w:highlight w:val="none"/>
                    </w:rPr>
                  </w:pPr>
                </w:p>
              </w:tc>
              <w:tc>
                <w:tcPr>
                  <w:tcW w:w="538" w:type="dxa"/>
                  <w:vMerge w:val="restart"/>
                  <w:noWrap/>
                  <w:vAlign w:val="center"/>
                </w:tcPr>
                <w:p w14:paraId="78CF8859">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固体</w:t>
                  </w:r>
                </w:p>
                <w:p w14:paraId="245F499F">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废物</w:t>
                  </w:r>
                </w:p>
              </w:tc>
              <w:tc>
                <w:tcPr>
                  <w:tcW w:w="1509" w:type="dxa"/>
                  <w:noWrap/>
                  <w:vAlign w:val="center"/>
                </w:tcPr>
                <w:p w14:paraId="04DCFC17">
                  <w:pPr>
                    <w:jc w:val="center"/>
                    <w:rPr>
                      <w:rFonts w:ascii="Times New Roman" w:hAnsi="Times New Roman"/>
                      <w:color w:val="auto"/>
                      <w:szCs w:val="21"/>
                      <w:highlight w:val="none"/>
                    </w:rPr>
                  </w:pPr>
                  <w:r>
                    <w:rPr>
                      <w:rFonts w:ascii="Times New Roman" w:hAnsi="Times New Roman"/>
                      <w:color w:val="auto"/>
                      <w:szCs w:val="21"/>
                      <w:highlight w:val="none"/>
                    </w:rPr>
                    <w:t>施工期固废</w:t>
                  </w:r>
                </w:p>
              </w:tc>
              <w:tc>
                <w:tcPr>
                  <w:tcW w:w="4493" w:type="dxa"/>
                  <w:noWrap/>
                  <w:vAlign w:val="center"/>
                </w:tcPr>
                <w:p w14:paraId="3F493631">
                  <w:pPr>
                    <w:rPr>
                      <w:rFonts w:ascii="Times New Roman" w:hAnsi="Times New Roman"/>
                      <w:color w:val="auto"/>
                      <w:szCs w:val="21"/>
                      <w:highlight w:val="none"/>
                    </w:rPr>
                  </w:pPr>
                  <w:r>
                    <w:rPr>
                      <w:rFonts w:ascii="Times New Roman" w:hAnsi="Times New Roman"/>
                      <w:color w:val="auto"/>
                      <w:szCs w:val="21"/>
                      <w:highlight w:val="none"/>
                    </w:rPr>
                    <w:t>施工结束后，开挖的土方后期回覆；</w:t>
                  </w:r>
                  <w:r>
                    <w:rPr>
                      <w:rFonts w:hint="eastAsia" w:ascii="Times New Roman" w:hAnsi="Times New Roman"/>
                      <w:color w:val="auto"/>
                      <w:szCs w:val="21"/>
                      <w:highlight w:val="none"/>
                      <w:lang w:val="en-US" w:eastAsia="zh-CN"/>
                    </w:rPr>
                    <w:t>钻井泥浆</w:t>
                  </w:r>
                  <w:r>
                    <w:rPr>
                      <w:rFonts w:ascii="Times New Roman" w:hAnsi="Times New Roman"/>
                      <w:color w:val="auto"/>
                      <w:szCs w:val="21"/>
                      <w:highlight w:val="none"/>
                    </w:rPr>
                    <w:t>暂存于废浆干化池中，待钻井结束后投加泥浆固化剂</w:t>
                  </w:r>
                  <w:r>
                    <w:rPr>
                      <w:rFonts w:hint="eastAsia" w:ascii="Times New Roman" w:hAnsi="Times New Roman"/>
                      <w:color w:val="auto"/>
                      <w:szCs w:val="21"/>
                      <w:highlight w:val="none"/>
                      <w:lang w:eastAsia="zh-CN"/>
                    </w:rPr>
                    <w:t>固化后作为建筑材料外售</w:t>
                  </w:r>
                  <w:r>
                    <w:rPr>
                      <w:rFonts w:ascii="Times New Roman" w:hAnsi="Times New Roman"/>
                      <w:color w:val="auto"/>
                      <w:szCs w:val="21"/>
                      <w:highlight w:val="none"/>
                    </w:rPr>
                    <w:t>；</w:t>
                  </w:r>
                  <w:r>
                    <w:rPr>
                      <w:rFonts w:hint="eastAsia" w:ascii="Times New Roman" w:hAnsi="Times New Roman"/>
                      <w:color w:val="auto"/>
                      <w:szCs w:val="21"/>
                      <w:highlight w:val="none"/>
                      <w:lang w:eastAsia="zh-CN"/>
                    </w:rPr>
                    <w:t>岩芯碎屑</w:t>
                  </w:r>
                  <w:r>
                    <w:rPr>
                      <w:rFonts w:hint="eastAsia" w:ascii="Times New Roman" w:hAnsi="Times New Roman"/>
                      <w:color w:val="auto"/>
                      <w:szCs w:val="21"/>
                      <w:highlight w:val="none"/>
                      <w:lang w:val="en-US" w:eastAsia="zh-CN"/>
                    </w:rPr>
                    <w:t>委托建材单位回收处置</w:t>
                  </w:r>
                  <w:r>
                    <w:rPr>
                      <w:rFonts w:ascii="Times New Roman" w:hAnsi="Times New Roman"/>
                      <w:color w:val="auto"/>
                      <w:szCs w:val="21"/>
                      <w:highlight w:val="none"/>
                    </w:rPr>
                    <w:t>；废包装材料集中收集后外售处理。废润滑油、废润滑油桶</w:t>
                  </w:r>
                  <w:r>
                    <w:rPr>
                      <w:rFonts w:hint="eastAsia" w:ascii="Times New Roman" w:hAnsi="Times New Roman"/>
                      <w:color w:val="auto"/>
                      <w:szCs w:val="21"/>
                      <w:highlight w:val="none"/>
                    </w:rPr>
                    <w:t>、</w:t>
                  </w:r>
                  <w:r>
                    <w:rPr>
                      <w:rFonts w:ascii="Times New Roman" w:hAnsi="Times New Roman"/>
                      <w:color w:val="auto"/>
                      <w:szCs w:val="21"/>
                      <w:highlight w:val="none"/>
                    </w:rPr>
                    <w:t>废含油抹布和废含油手套属于危险废物，</w:t>
                  </w:r>
                  <w:r>
                    <w:rPr>
                      <w:rFonts w:hint="eastAsia" w:ascii="Times New Roman" w:hAnsi="Times New Roman"/>
                      <w:color w:val="auto"/>
                      <w:szCs w:val="21"/>
                      <w:highlight w:val="none"/>
                      <w:lang w:val="en-US" w:eastAsia="zh-CN"/>
                    </w:rPr>
                    <w:t>暂存于各个井场危废暂存间内</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委托资质单位处置。</w:t>
                  </w:r>
                </w:p>
              </w:tc>
              <w:tc>
                <w:tcPr>
                  <w:tcW w:w="753" w:type="dxa"/>
                  <w:noWrap/>
                  <w:vAlign w:val="center"/>
                </w:tcPr>
                <w:p w14:paraId="7C19A0DA">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2.5</w:t>
                  </w:r>
                </w:p>
              </w:tc>
            </w:tr>
            <w:tr w14:paraId="6FD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030728A3">
                  <w:pPr>
                    <w:ind w:left="-105" w:leftChars="-50" w:right="-105" w:rightChars="-50"/>
                    <w:jc w:val="center"/>
                    <w:rPr>
                      <w:rFonts w:ascii="Times New Roman" w:hAnsi="Times New Roman"/>
                      <w:color w:val="auto"/>
                      <w:szCs w:val="21"/>
                      <w:highlight w:val="none"/>
                    </w:rPr>
                  </w:pPr>
                </w:p>
              </w:tc>
              <w:tc>
                <w:tcPr>
                  <w:tcW w:w="538" w:type="dxa"/>
                  <w:vMerge w:val="continue"/>
                  <w:noWrap/>
                  <w:vAlign w:val="center"/>
                </w:tcPr>
                <w:p w14:paraId="2CFE73CF">
                  <w:pPr>
                    <w:ind w:left="-105" w:leftChars="-50" w:right="-105" w:rightChars="-50"/>
                    <w:jc w:val="center"/>
                    <w:rPr>
                      <w:rFonts w:ascii="Times New Roman" w:hAnsi="Times New Roman"/>
                      <w:color w:val="auto"/>
                      <w:szCs w:val="21"/>
                      <w:highlight w:val="none"/>
                    </w:rPr>
                  </w:pPr>
                </w:p>
              </w:tc>
              <w:tc>
                <w:tcPr>
                  <w:tcW w:w="1509" w:type="dxa"/>
                  <w:noWrap/>
                  <w:vAlign w:val="center"/>
                </w:tcPr>
                <w:p w14:paraId="5E08C3F9">
                  <w:pPr>
                    <w:jc w:val="center"/>
                    <w:rPr>
                      <w:rFonts w:ascii="Times New Roman" w:hAnsi="Times New Roman"/>
                      <w:color w:val="auto"/>
                      <w:szCs w:val="21"/>
                      <w:highlight w:val="none"/>
                    </w:rPr>
                  </w:pPr>
                  <w:r>
                    <w:rPr>
                      <w:rFonts w:ascii="Times New Roman" w:hAnsi="Times New Roman"/>
                      <w:color w:val="auto"/>
                      <w:szCs w:val="21"/>
                      <w:highlight w:val="none"/>
                    </w:rPr>
                    <w:t>生活垃圾</w:t>
                  </w:r>
                </w:p>
              </w:tc>
              <w:tc>
                <w:tcPr>
                  <w:tcW w:w="4493" w:type="dxa"/>
                  <w:noWrap/>
                  <w:vAlign w:val="center"/>
                </w:tcPr>
                <w:p w14:paraId="074FB8BB">
                  <w:pPr>
                    <w:jc w:val="center"/>
                    <w:rPr>
                      <w:rFonts w:ascii="Times New Roman" w:hAnsi="Times New Roman"/>
                      <w:color w:val="auto"/>
                      <w:szCs w:val="21"/>
                      <w:highlight w:val="none"/>
                    </w:rPr>
                  </w:pPr>
                  <w:r>
                    <w:rPr>
                      <w:rFonts w:ascii="Times New Roman" w:hAnsi="Times New Roman"/>
                      <w:color w:val="auto"/>
                      <w:szCs w:val="21"/>
                      <w:highlight w:val="none"/>
                    </w:rPr>
                    <w:t>生活垃圾收集后由环卫部门统一清运</w:t>
                  </w:r>
                </w:p>
              </w:tc>
              <w:tc>
                <w:tcPr>
                  <w:tcW w:w="753" w:type="dxa"/>
                  <w:noWrap/>
                  <w:vAlign w:val="center"/>
                </w:tcPr>
                <w:p w14:paraId="05E88EA7">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0.5</w:t>
                  </w:r>
                </w:p>
              </w:tc>
            </w:tr>
            <w:tr w14:paraId="1B45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30352E0B">
                  <w:pPr>
                    <w:ind w:left="-105" w:leftChars="-50" w:right="-105" w:rightChars="-50"/>
                    <w:jc w:val="center"/>
                    <w:rPr>
                      <w:rFonts w:ascii="Times New Roman" w:hAnsi="Times New Roman"/>
                      <w:color w:val="auto"/>
                      <w:szCs w:val="21"/>
                      <w:highlight w:val="none"/>
                    </w:rPr>
                  </w:pPr>
                </w:p>
              </w:tc>
              <w:tc>
                <w:tcPr>
                  <w:tcW w:w="538" w:type="dxa"/>
                  <w:noWrap/>
                  <w:vAlign w:val="center"/>
                </w:tcPr>
                <w:p w14:paraId="5C3E3DEF">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土壤、地下水环境</w:t>
                  </w:r>
                </w:p>
              </w:tc>
              <w:tc>
                <w:tcPr>
                  <w:tcW w:w="1509" w:type="dxa"/>
                  <w:noWrap/>
                  <w:vAlign w:val="center"/>
                </w:tcPr>
                <w:p w14:paraId="02B2A4F9">
                  <w:pPr>
                    <w:jc w:val="center"/>
                    <w:rPr>
                      <w:rFonts w:ascii="Times New Roman" w:hAnsi="Times New Roman"/>
                      <w:color w:val="auto"/>
                      <w:szCs w:val="21"/>
                      <w:highlight w:val="none"/>
                    </w:rPr>
                  </w:pPr>
                  <w:r>
                    <w:rPr>
                      <w:rFonts w:ascii="Times New Roman" w:hAnsi="Times New Roman"/>
                      <w:color w:val="auto"/>
                      <w:szCs w:val="21"/>
                      <w:highlight w:val="none"/>
                    </w:rPr>
                    <w:t>分区防渗及处理措施</w:t>
                  </w:r>
                </w:p>
              </w:tc>
              <w:tc>
                <w:tcPr>
                  <w:tcW w:w="4493" w:type="dxa"/>
                  <w:noWrap/>
                  <w:vAlign w:val="center"/>
                </w:tcPr>
                <w:p w14:paraId="4E9807BB">
                  <w:pPr>
                    <w:jc w:val="center"/>
                    <w:rPr>
                      <w:rFonts w:ascii="Times New Roman" w:hAnsi="Times New Roman"/>
                      <w:color w:val="auto"/>
                      <w:szCs w:val="21"/>
                      <w:highlight w:val="none"/>
                    </w:rPr>
                  </w:pPr>
                  <w:r>
                    <w:rPr>
                      <w:rFonts w:hint="eastAsia" w:ascii="Times New Roman" w:hAnsi="Times New Roman"/>
                      <w:color w:val="auto"/>
                      <w:szCs w:val="21"/>
                      <w:highlight w:val="none"/>
                    </w:rPr>
                    <w:t>项目采取分区防渗措施。</w:t>
                  </w:r>
                  <w:r>
                    <w:rPr>
                      <w:rFonts w:ascii="Times New Roman" w:hAnsi="Times New Roman"/>
                      <w:color w:val="auto"/>
                      <w:szCs w:val="21"/>
                      <w:highlight w:val="none"/>
                    </w:rPr>
                    <w:t>重点防渗区</w:t>
                  </w:r>
                  <w:r>
                    <w:rPr>
                      <w:rFonts w:ascii="Times New Roman" w:hAnsi="Times New Roman"/>
                      <w:color w:val="000000" w:themeColor="text1"/>
                      <w:szCs w:val="21"/>
                      <w:highlight w:val="none"/>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危废暂存间</w:t>
                  </w:r>
                  <w:r>
                    <w:rPr>
                      <w:rFonts w:ascii="Times New Roman" w:hAnsi="Times New Roman"/>
                      <w:color w:val="000000" w:themeColor="text1"/>
                      <w:szCs w:val="21"/>
                      <w:highlight w:val="none"/>
                      <w14:textFill>
                        <w14:solidFill>
                          <w14:schemeClr w14:val="tx1"/>
                        </w14:solidFill>
                      </w14:textFill>
                    </w:rPr>
                    <w:t>。防渗要求</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采用</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防渗混凝土+防渗布+砂浆层</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进行防渗，等效厚度≥6.0m，确保渗透系数不大于10</w:t>
                  </w:r>
                  <w:r>
                    <w:rPr>
                      <w:rFonts w:ascii="Times New Roman" w:hAnsi="Times New Roman"/>
                      <w:color w:val="000000" w:themeColor="text1"/>
                      <w:szCs w:val="21"/>
                      <w:highlight w:val="none"/>
                      <w:vertAlign w:val="superscript"/>
                      <w14:textFill>
                        <w14:solidFill>
                          <w14:schemeClr w14:val="tx1"/>
                        </w14:solidFill>
                      </w14:textFill>
                    </w:rPr>
                    <w:t>-</w:t>
                  </w:r>
                  <w:r>
                    <w:rPr>
                      <w:rFonts w:hint="eastAsia" w:ascii="Times New Roman" w:hAnsi="Times New Roman"/>
                      <w:color w:val="000000" w:themeColor="text1"/>
                      <w:szCs w:val="21"/>
                      <w:highlight w:val="none"/>
                      <w:vertAlign w:val="superscript"/>
                      <w14:textFill>
                        <w14:solidFill>
                          <w14:schemeClr w14:val="tx1"/>
                        </w14:solidFill>
                      </w14:textFill>
                    </w:rPr>
                    <w:t>7</w:t>
                  </w:r>
                  <w:r>
                    <w:rPr>
                      <w:rFonts w:ascii="Times New Roman" w:hAnsi="Times New Roman"/>
                      <w:color w:val="000000" w:themeColor="text1"/>
                      <w:szCs w:val="21"/>
                      <w:highlight w:val="none"/>
                      <w14:textFill>
                        <w14:solidFill>
                          <w14:schemeClr w14:val="tx1"/>
                        </w14:solidFill>
                      </w14:textFill>
                    </w:rPr>
                    <w:t>cm/s</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一般防渗区：钻</w:t>
                  </w:r>
                  <w:r>
                    <w:rPr>
                      <w:rFonts w:hint="eastAsia" w:ascii="Times New Roman" w:hAnsi="Times New Roman"/>
                      <w:color w:val="000000" w:themeColor="text1"/>
                      <w:szCs w:val="21"/>
                      <w:highlight w:val="none"/>
                      <w14:textFill>
                        <w14:solidFill>
                          <w14:schemeClr w14:val="tx1"/>
                        </w14:solidFill>
                      </w14:textFill>
                    </w:rPr>
                    <w:t>机</w:t>
                  </w:r>
                  <w:r>
                    <w:rPr>
                      <w:rFonts w:ascii="Times New Roman" w:hAnsi="Times New Roman"/>
                      <w:color w:val="000000" w:themeColor="text1"/>
                      <w:szCs w:val="21"/>
                      <w:highlight w:val="none"/>
                      <w14:textFill>
                        <w14:solidFill>
                          <w14:schemeClr w14:val="tx1"/>
                        </w14:solidFill>
                      </w14:textFill>
                    </w:rPr>
                    <w:t>房井口区域、</w:t>
                  </w:r>
                  <w:r>
                    <w:rPr>
                      <w:rFonts w:hint="eastAsia" w:ascii="Times New Roman" w:hAnsi="Times New Roman"/>
                      <w:color w:val="000000" w:themeColor="text1"/>
                      <w:szCs w:val="21"/>
                      <w:highlight w:val="none"/>
                      <w:lang w:eastAsia="zh-CN"/>
                      <w14:textFill>
                        <w14:solidFill>
                          <w14:schemeClr w14:val="tx1"/>
                        </w14:solidFill>
                      </w14:textFill>
                    </w:rPr>
                    <w:t>泥浆池</w:t>
                  </w:r>
                  <w:r>
                    <w:rPr>
                      <w:rFonts w:ascii="Times New Roman" w:hAnsi="Times New Roman"/>
                      <w:color w:val="000000" w:themeColor="text1"/>
                      <w:szCs w:val="21"/>
                      <w:highlight w:val="none"/>
                      <w14:textFill>
                        <w14:solidFill>
                          <w14:schemeClr w14:val="tx1"/>
                        </w14:solidFill>
                      </w14:textFill>
                    </w:rPr>
                    <w:t>、沉淀池、干化池</w:t>
                  </w:r>
                  <w:r>
                    <w:rPr>
                      <w:rFonts w:hint="eastAsia" w:ascii="Times New Roman" w:hAnsi="Times New Roman"/>
                      <w:color w:val="000000" w:themeColor="text1"/>
                      <w:szCs w:val="21"/>
                      <w:highlight w:val="none"/>
                      <w:lang w:eastAsia="zh-CN"/>
                      <w14:textFill>
                        <w14:solidFill>
                          <w14:schemeClr w14:val="tx1"/>
                        </w14:solidFill>
                      </w14:textFill>
                    </w:rPr>
                    <w:t>、设备及库房</w:t>
                  </w:r>
                  <w:r>
                    <w:rPr>
                      <w:rFonts w:ascii="Times New Roman" w:hAnsi="Times New Roman"/>
                      <w:color w:val="000000" w:themeColor="text1"/>
                      <w:szCs w:val="21"/>
                      <w:highlight w:val="none"/>
                      <w14:textFill>
                        <w14:solidFill>
                          <w14:schemeClr w14:val="tx1"/>
                        </w14:solidFill>
                      </w14:textFill>
                    </w:rPr>
                    <w:t>。防渗要求</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采取防渗混凝土进行防渗，等效厚度≥1.5m</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简单防渗区：除重点防渗区和一</w:t>
                  </w:r>
                  <w:r>
                    <w:rPr>
                      <w:rFonts w:ascii="Times New Roman" w:hAnsi="Times New Roman"/>
                      <w:color w:val="auto"/>
                      <w:szCs w:val="21"/>
                      <w:highlight w:val="none"/>
                    </w:rPr>
                    <w:t>般防渗区以外的其他区域。防渗要求</w:t>
                  </w:r>
                  <w:r>
                    <w:rPr>
                      <w:rFonts w:hint="eastAsia" w:ascii="Times New Roman" w:hAnsi="Times New Roman"/>
                      <w:color w:val="auto"/>
                      <w:szCs w:val="21"/>
                      <w:highlight w:val="none"/>
                    </w:rPr>
                    <w:t>：</w:t>
                  </w:r>
                  <w:r>
                    <w:rPr>
                      <w:rFonts w:ascii="Times New Roman" w:hAnsi="Times New Roman"/>
                      <w:color w:val="auto"/>
                      <w:szCs w:val="21"/>
                      <w:highlight w:val="none"/>
                    </w:rPr>
                    <w:t>采用一般地面硬化。</w:t>
                  </w:r>
                </w:p>
              </w:tc>
              <w:tc>
                <w:tcPr>
                  <w:tcW w:w="753" w:type="dxa"/>
                  <w:noWrap/>
                  <w:vAlign w:val="center"/>
                </w:tcPr>
                <w:p w14:paraId="73F6F83B">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0.5</w:t>
                  </w:r>
                </w:p>
              </w:tc>
            </w:tr>
            <w:tr w14:paraId="39FB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ign w:val="center"/>
                </w:tcPr>
                <w:p w14:paraId="0F0EA832">
                  <w:pPr>
                    <w:ind w:left="-105" w:leftChars="-50" w:right="-105" w:rightChars="-50"/>
                    <w:jc w:val="center"/>
                    <w:rPr>
                      <w:rFonts w:ascii="Times New Roman" w:hAnsi="Times New Roman"/>
                      <w:color w:val="auto"/>
                      <w:szCs w:val="21"/>
                      <w:highlight w:val="none"/>
                    </w:rPr>
                  </w:pPr>
                </w:p>
              </w:tc>
              <w:tc>
                <w:tcPr>
                  <w:tcW w:w="538" w:type="dxa"/>
                  <w:noWrap/>
                  <w:vAlign w:val="center"/>
                </w:tcPr>
                <w:p w14:paraId="65FD35E1">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生态环境</w:t>
                  </w:r>
                </w:p>
              </w:tc>
              <w:tc>
                <w:tcPr>
                  <w:tcW w:w="1509" w:type="dxa"/>
                  <w:noWrap/>
                  <w:vAlign w:val="center"/>
                </w:tcPr>
                <w:p w14:paraId="4F910380">
                  <w:pPr>
                    <w:jc w:val="center"/>
                    <w:rPr>
                      <w:rFonts w:ascii="Times New Roman" w:hAnsi="Times New Roman"/>
                      <w:color w:val="auto"/>
                      <w:szCs w:val="21"/>
                      <w:highlight w:val="none"/>
                    </w:rPr>
                  </w:pPr>
                  <w:r>
                    <w:rPr>
                      <w:rFonts w:ascii="Times New Roman" w:hAnsi="Times New Roman"/>
                      <w:color w:val="auto"/>
                      <w:szCs w:val="21"/>
                      <w:highlight w:val="none"/>
                    </w:rPr>
                    <w:t>生态环境保护措施</w:t>
                  </w:r>
                </w:p>
              </w:tc>
              <w:tc>
                <w:tcPr>
                  <w:tcW w:w="4493" w:type="dxa"/>
                  <w:noWrap/>
                  <w:vAlign w:val="center"/>
                </w:tcPr>
                <w:p w14:paraId="6E644921">
                  <w:pPr>
                    <w:jc w:val="center"/>
                    <w:rPr>
                      <w:rFonts w:ascii="Times New Roman" w:hAnsi="Times New Roman"/>
                      <w:color w:val="auto"/>
                      <w:szCs w:val="21"/>
                      <w:highlight w:val="none"/>
                    </w:rPr>
                  </w:pPr>
                  <w:r>
                    <w:rPr>
                      <w:rFonts w:ascii="Times New Roman" w:hAnsi="Times New Roman"/>
                      <w:color w:val="auto"/>
                      <w:szCs w:val="21"/>
                      <w:highlight w:val="none"/>
                    </w:rPr>
                    <w:t>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highlight w:val="none"/>
                    </w:rPr>
                    <w:t>。</w:t>
                  </w:r>
                </w:p>
              </w:tc>
              <w:tc>
                <w:tcPr>
                  <w:tcW w:w="753" w:type="dxa"/>
                  <w:noWrap/>
                  <w:vAlign w:val="center"/>
                </w:tcPr>
                <w:p w14:paraId="26126B35">
                  <w:pPr>
                    <w:jc w:val="center"/>
                    <w:rPr>
                      <w:rFonts w:hint="default" w:ascii="Times New Roman" w:hAnsi="Times New Roman"/>
                      <w:color w:val="000000" w:themeColor="text1"/>
                      <w:szCs w:val="21"/>
                      <w:highlight w:val="none"/>
                      <w:lang w:val="en-US"/>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10</w:t>
                  </w:r>
                </w:p>
              </w:tc>
            </w:tr>
            <w:tr w14:paraId="510C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91" w:type="dxa"/>
                  <w:vMerge w:val="continue"/>
                  <w:noWrap/>
                  <w:vAlign w:val="center"/>
                </w:tcPr>
                <w:p w14:paraId="15EC0F02">
                  <w:pPr>
                    <w:ind w:left="-105" w:leftChars="-50" w:right="-105" w:rightChars="-50"/>
                    <w:jc w:val="center"/>
                    <w:rPr>
                      <w:rFonts w:ascii="Times New Roman" w:hAnsi="Times New Roman"/>
                      <w:color w:val="auto"/>
                      <w:szCs w:val="21"/>
                      <w:highlight w:val="none"/>
                    </w:rPr>
                  </w:pPr>
                </w:p>
              </w:tc>
              <w:tc>
                <w:tcPr>
                  <w:tcW w:w="538" w:type="dxa"/>
                  <w:noWrap/>
                  <w:vAlign w:val="center"/>
                </w:tcPr>
                <w:p w14:paraId="01D1C7A3">
                  <w:pPr>
                    <w:ind w:left="-105" w:leftChars="-50" w:right="-105" w:rightChars="-50"/>
                    <w:jc w:val="center"/>
                    <w:rPr>
                      <w:rFonts w:ascii="Times New Roman" w:hAnsi="Times New Roman"/>
                      <w:color w:val="auto"/>
                      <w:szCs w:val="21"/>
                      <w:highlight w:val="none"/>
                    </w:rPr>
                  </w:pPr>
                  <w:r>
                    <w:rPr>
                      <w:rFonts w:ascii="Times New Roman" w:hAnsi="Times New Roman"/>
                      <w:color w:val="auto"/>
                      <w:szCs w:val="21"/>
                      <w:highlight w:val="none"/>
                    </w:rPr>
                    <w:t>风险防范</w:t>
                  </w:r>
                </w:p>
              </w:tc>
              <w:tc>
                <w:tcPr>
                  <w:tcW w:w="1509" w:type="dxa"/>
                  <w:noWrap/>
                  <w:vAlign w:val="center"/>
                </w:tcPr>
                <w:p w14:paraId="3A7629EE">
                  <w:pPr>
                    <w:jc w:val="center"/>
                    <w:rPr>
                      <w:rFonts w:ascii="Times New Roman" w:hAnsi="Times New Roman"/>
                      <w:color w:val="auto"/>
                      <w:szCs w:val="21"/>
                      <w:highlight w:val="none"/>
                    </w:rPr>
                  </w:pPr>
                  <w:r>
                    <w:rPr>
                      <w:rFonts w:ascii="Times New Roman" w:hAnsi="Times New Roman"/>
                      <w:color w:val="auto"/>
                      <w:szCs w:val="21"/>
                      <w:highlight w:val="none"/>
                    </w:rPr>
                    <w:t>风险风范措施</w:t>
                  </w:r>
                </w:p>
              </w:tc>
              <w:tc>
                <w:tcPr>
                  <w:tcW w:w="4493" w:type="dxa"/>
                  <w:noWrap/>
                  <w:vAlign w:val="center"/>
                </w:tcPr>
                <w:p w14:paraId="798166B7">
                  <w:pPr>
                    <w:jc w:val="center"/>
                    <w:rPr>
                      <w:rFonts w:ascii="Times New Roman" w:hAnsi="Times New Roman"/>
                      <w:color w:val="auto"/>
                      <w:szCs w:val="21"/>
                      <w:highlight w:val="none"/>
                    </w:rPr>
                  </w:pPr>
                  <w:r>
                    <w:rPr>
                      <w:rFonts w:ascii="Times New Roman" w:hAnsi="Times New Roman"/>
                      <w:color w:val="auto"/>
                      <w:szCs w:val="21"/>
                      <w:highlight w:val="none"/>
                    </w:rPr>
                    <w:t>防止泥浆水外溢，设置必要的护坡等，加强巡视、检查和日常宣传</w:t>
                  </w:r>
                  <w:r>
                    <w:rPr>
                      <w:rFonts w:hint="eastAsia" w:ascii="Times New Roman" w:hAnsi="Times New Roman"/>
                      <w:color w:val="auto"/>
                      <w:szCs w:val="21"/>
                      <w:highlight w:val="none"/>
                    </w:rPr>
                    <w:t>。</w:t>
                  </w:r>
                </w:p>
              </w:tc>
              <w:tc>
                <w:tcPr>
                  <w:tcW w:w="753" w:type="dxa"/>
                  <w:noWrap/>
                  <w:vAlign w:val="center"/>
                </w:tcPr>
                <w:p w14:paraId="48C9AB62">
                  <w:pPr>
                    <w:ind w:left="-105" w:leftChars="-50" w:right="-105" w:rightChars="-50"/>
                    <w:jc w:val="center"/>
                    <w:rPr>
                      <w:rFonts w:hint="default" w:ascii="Times New Roman" w:hAnsi="Times New Roman"/>
                      <w:color w:val="000000" w:themeColor="text1"/>
                      <w:szCs w:val="21"/>
                      <w:highlight w:val="none"/>
                      <w:lang w:val="en-US"/>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4.8</w:t>
                  </w:r>
                </w:p>
              </w:tc>
            </w:tr>
            <w:tr w14:paraId="7543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31" w:type="dxa"/>
                  <w:gridSpan w:val="4"/>
                  <w:noWrap/>
                  <w:vAlign w:val="center"/>
                </w:tcPr>
                <w:p w14:paraId="52145C57">
                  <w:pPr>
                    <w:jc w:val="center"/>
                    <w:rPr>
                      <w:rFonts w:ascii="Times New Roman" w:hAnsi="Times New Roman"/>
                      <w:color w:val="auto"/>
                      <w:szCs w:val="21"/>
                      <w:highlight w:val="none"/>
                    </w:rPr>
                  </w:pPr>
                  <w:r>
                    <w:rPr>
                      <w:rFonts w:ascii="Times New Roman" w:hAnsi="Times New Roman"/>
                      <w:color w:val="auto"/>
                      <w:szCs w:val="21"/>
                      <w:highlight w:val="none"/>
                    </w:rPr>
                    <w:t>合计</w:t>
                  </w:r>
                </w:p>
              </w:tc>
              <w:tc>
                <w:tcPr>
                  <w:tcW w:w="753" w:type="dxa"/>
                  <w:noWrap/>
                  <w:vAlign w:val="center"/>
                </w:tcPr>
                <w:p w14:paraId="01AD69A6">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36.8</w:t>
                  </w:r>
                </w:p>
              </w:tc>
            </w:tr>
          </w:tbl>
          <w:p w14:paraId="43EE7550">
            <w:pPr>
              <w:pStyle w:val="31"/>
              <w:rPr>
                <w:rFonts w:ascii="Times New Roman" w:hAnsi="Times New Roman"/>
                <w:bCs/>
                <w:color w:val="auto"/>
                <w:spacing w:val="10"/>
                <w:szCs w:val="21"/>
                <w:highlight w:val="none"/>
              </w:rPr>
            </w:pPr>
          </w:p>
        </w:tc>
      </w:tr>
    </w:tbl>
    <w:p w14:paraId="3CECCC75">
      <w:pPr>
        <w:rPr>
          <w:rFonts w:ascii="Times New Roman" w:hAnsi="Times New Roman"/>
          <w:color w:val="auto"/>
          <w:highlight w:val="none"/>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14:paraId="46603418">
      <w:pPr>
        <w:pStyle w:val="21"/>
        <w:jc w:val="center"/>
        <w:outlineLvl w:val="0"/>
        <w:rPr>
          <w:rFonts w:ascii="Times New Roman" w:hAnsi="Times New Roman" w:eastAsia="黑体"/>
          <w:snapToGrid w:val="0"/>
          <w:sz w:val="30"/>
          <w:szCs w:val="30"/>
        </w:rPr>
      </w:pPr>
      <w:bookmarkStart w:id="17" w:name="_Toc27653"/>
      <w:r>
        <w:rPr>
          <w:rFonts w:ascii="Times New Roman" w:hAnsi="Times New Roman" w:eastAsia="黑体"/>
          <w:snapToGrid w:val="0"/>
          <w:color w:val="auto"/>
          <w:sz w:val="30"/>
          <w:szCs w:val="30"/>
          <w:highlight w:val="none"/>
        </w:rPr>
        <w:t>六、</w:t>
      </w:r>
      <w:bookmarkEnd w:id="17"/>
      <w:r>
        <w:rPr>
          <w:rFonts w:ascii="Times New Roman" w:hAnsi="Times New Roman" w:eastAsia="黑体"/>
          <w:snapToGrid w:val="0"/>
          <w:sz w:val="30"/>
          <w:szCs w:val="30"/>
        </w:rPr>
        <w:t>生态环境保护措施监督检查清单</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978"/>
        <w:gridCol w:w="3518"/>
        <w:gridCol w:w="1174"/>
        <w:gridCol w:w="852"/>
        <w:gridCol w:w="757"/>
      </w:tblGrid>
      <w:tr w14:paraId="087F6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tcBorders>
              <w:tl2br w:val="single" w:color="auto" w:sz="4" w:space="0"/>
            </w:tcBorders>
            <w:noWrap/>
          </w:tcPr>
          <w:p w14:paraId="4BC6F105">
            <w:pPr>
              <w:jc w:val="center"/>
              <w:rPr>
                <w:rFonts w:ascii="Times New Roman" w:hAnsi="Times New Roman"/>
                <w:color w:val="auto"/>
                <w:szCs w:val="21"/>
                <w:highlight w:val="none"/>
              </w:rPr>
            </w:pPr>
            <w:r>
              <w:rPr>
                <w:rFonts w:ascii="Times New Roman" w:hAnsi="Times New Roman"/>
                <w:color w:val="auto"/>
                <w:szCs w:val="21"/>
                <w:highlight w:val="none"/>
              </w:rPr>
              <w:t>内容</w:t>
            </w:r>
          </w:p>
          <w:p w14:paraId="171648FE">
            <w:pPr>
              <w:rPr>
                <w:rFonts w:ascii="Times New Roman" w:hAnsi="Times New Roman"/>
                <w:color w:val="auto"/>
                <w:szCs w:val="21"/>
                <w:highlight w:val="none"/>
              </w:rPr>
            </w:pPr>
          </w:p>
          <w:p w14:paraId="5A970096">
            <w:pPr>
              <w:rPr>
                <w:rFonts w:ascii="Times New Roman" w:hAnsi="Times New Roman"/>
                <w:color w:val="auto"/>
                <w:szCs w:val="21"/>
                <w:highlight w:val="none"/>
              </w:rPr>
            </w:pPr>
            <w:r>
              <w:rPr>
                <w:rFonts w:ascii="Times New Roman" w:hAnsi="Times New Roman"/>
                <w:color w:val="auto"/>
                <w:szCs w:val="21"/>
                <w:highlight w:val="none"/>
              </w:rPr>
              <w:t>要素</w:t>
            </w:r>
          </w:p>
        </w:tc>
        <w:tc>
          <w:tcPr>
            <w:tcW w:w="5670" w:type="dxa"/>
            <w:gridSpan w:val="3"/>
            <w:noWrap/>
            <w:vAlign w:val="center"/>
          </w:tcPr>
          <w:p w14:paraId="6073A15C">
            <w:pPr>
              <w:jc w:val="center"/>
              <w:rPr>
                <w:rFonts w:ascii="Times New Roman" w:hAnsi="Times New Roman"/>
                <w:color w:val="auto"/>
                <w:szCs w:val="21"/>
                <w:highlight w:val="none"/>
              </w:rPr>
            </w:pPr>
            <w:r>
              <w:rPr>
                <w:rFonts w:ascii="Times New Roman" w:hAnsi="Times New Roman"/>
                <w:color w:val="auto"/>
                <w:szCs w:val="21"/>
                <w:highlight w:val="none"/>
              </w:rPr>
              <w:t>施工期</w:t>
            </w:r>
          </w:p>
        </w:tc>
        <w:tc>
          <w:tcPr>
            <w:tcW w:w="1609" w:type="dxa"/>
            <w:gridSpan w:val="2"/>
            <w:noWrap/>
            <w:vAlign w:val="center"/>
          </w:tcPr>
          <w:p w14:paraId="3BE172A7">
            <w:pPr>
              <w:jc w:val="center"/>
              <w:rPr>
                <w:rFonts w:ascii="Times New Roman" w:hAnsi="Times New Roman"/>
                <w:color w:val="auto"/>
                <w:szCs w:val="21"/>
                <w:highlight w:val="none"/>
              </w:rPr>
            </w:pPr>
            <w:r>
              <w:rPr>
                <w:rFonts w:ascii="Times New Roman" w:hAnsi="Times New Roman"/>
                <w:color w:val="auto"/>
                <w:szCs w:val="21"/>
                <w:highlight w:val="none"/>
              </w:rPr>
              <w:t>运营期</w:t>
            </w:r>
          </w:p>
        </w:tc>
      </w:tr>
      <w:tr w14:paraId="053BC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tcPr>
          <w:p w14:paraId="16B83F00">
            <w:pPr>
              <w:jc w:val="center"/>
              <w:rPr>
                <w:rFonts w:ascii="Times New Roman" w:hAnsi="Times New Roman"/>
                <w:color w:val="auto"/>
                <w:szCs w:val="21"/>
                <w:highlight w:val="none"/>
              </w:rPr>
            </w:pPr>
          </w:p>
        </w:tc>
        <w:tc>
          <w:tcPr>
            <w:tcW w:w="4496" w:type="dxa"/>
            <w:gridSpan w:val="2"/>
            <w:noWrap/>
            <w:vAlign w:val="center"/>
          </w:tcPr>
          <w:p w14:paraId="522C71F5">
            <w:pPr>
              <w:jc w:val="center"/>
              <w:rPr>
                <w:rFonts w:ascii="Times New Roman" w:hAnsi="Times New Roman"/>
                <w:color w:val="auto"/>
                <w:szCs w:val="21"/>
                <w:highlight w:val="none"/>
              </w:rPr>
            </w:pPr>
            <w:r>
              <w:rPr>
                <w:rFonts w:ascii="Times New Roman" w:hAnsi="Times New Roman"/>
                <w:color w:val="auto"/>
                <w:szCs w:val="21"/>
                <w:highlight w:val="none"/>
              </w:rPr>
              <w:t>环境保护措施</w:t>
            </w:r>
          </w:p>
        </w:tc>
        <w:tc>
          <w:tcPr>
            <w:tcW w:w="1174" w:type="dxa"/>
            <w:noWrap/>
            <w:vAlign w:val="center"/>
          </w:tcPr>
          <w:p w14:paraId="47E6212D">
            <w:pPr>
              <w:jc w:val="center"/>
              <w:rPr>
                <w:rFonts w:ascii="Times New Roman" w:hAnsi="Times New Roman"/>
                <w:color w:val="auto"/>
                <w:szCs w:val="21"/>
                <w:highlight w:val="none"/>
              </w:rPr>
            </w:pPr>
            <w:r>
              <w:rPr>
                <w:rFonts w:ascii="Times New Roman" w:hAnsi="Times New Roman"/>
                <w:color w:val="auto"/>
                <w:szCs w:val="21"/>
                <w:highlight w:val="none"/>
              </w:rPr>
              <w:t>验收要求</w:t>
            </w:r>
          </w:p>
        </w:tc>
        <w:tc>
          <w:tcPr>
            <w:tcW w:w="852" w:type="dxa"/>
            <w:noWrap/>
            <w:vAlign w:val="center"/>
          </w:tcPr>
          <w:p w14:paraId="612A2755">
            <w:pPr>
              <w:jc w:val="center"/>
              <w:rPr>
                <w:rFonts w:ascii="Times New Roman" w:hAnsi="Times New Roman"/>
                <w:color w:val="auto"/>
                <w:szCs w:val="21"/>
                <w:highlight w:val="none"/>
              </w:rPr>
            </w:pPr>
            <w:r>
              <w:rPr>
                <w:rFonts w:ascii="Times New Roman" w:hAnsi="Times New Roman"/>
                <w:color w:val="auto"/>
                <w:szCs w:val="21"/>
                <w:highlight w:val="none"/>
              </w:rPr>
              <w:t>环境保护措施</w:t>
            </w:r>
          </w:p>
        </w:tc>
        <w:tc>
          <w:tcPr>
            <w:tcW w:w="757" w:type="dxa"/>
            <w:noWrap/>
            <w:vAlign w:val="center"/>
          </w:tcPr>
          <w:p w14:paraId="47CD9336">
            <w:pPr>
              <w:jc w:val="center"/>
              <w:rPr>
                <w:rFonts w:ascii="Times New Roman" w:hAnsi="Times New Roman"/>
                <w:color w:val="auto"/>
                <w:szCs w:val="21"/>
                <w:highlight w:val="none"/>
              </w:rPr>
            </w:pPr>
            <w:r>
              <w:rPr>
                <w:rFonts w:ascii="Times New Roman" w:hAnsi="Times New Roman"/>
                <w:color w:val="auto"/>
                <w:szCs w:val="21"/>
                <w:highlight w:val="none"/>
              </w:rPr>
              <w:t>验收要求</w:t>
            </w:r>
          </w:p>
        </w:tc>
      </w:tr>
      <w:tr w14:paraId="4AE13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noWrap/>
            <w:vAlign w:val="center"/>
          </w:tcPr>
          <w:p w14:paraId="0451960C">
            <w:pPr>
              <w:jc w:val="center"/>
              <w:rPr>
                <w:rFonts w:ascii="Times New Roman" w:hAnsi="Times New Roman"/>
                <w:color w:val="auto"/>
                <w:szCs w:val="21"/>
                <w:highlight w:val="none"/>
              </w:rPr>
            </w:pPr>
            <w:r>
              <w:rPr>
                <w:rFonts w:ascii="Times New Roman" w:hAnsi="Times New Roman"/>
                <w:color w:val="auto"/>
                <w:szCs w:val="21"/>
                <w:highlight w:val="none"/>
              </w:rPr>
              <w:t>陆生生态</w:t>
            </w:r>
          </w:p>
        </w:tc>
        <w:tc>
          <w:tcPr>
            <w:tcW w:w="978" w:type="dxa"/>
            <w:vMerge w:val="restart"/>
            <w:noWrap/>
            <w:vAlign w:val="center"/>
          </w:tcPr>
          <w:p w14:paraId="581BD11D">
            <w:pPr>
              <w:rPr>
                <w:rFonts w:ascii="Times New Roman" w:hAnsi="Times New Roman"/>
                <w:color w:val="auto"/>
                <w:szCs w:val="21"/>
                <w:highlight w:val="none"/>
              </w:rPr>
            </w:pPr>
            <w:r>
              <w:rPr>
                <w:rFonts w:ascii="Times New Roman" w:hAnsi="Times New Roman"/>
                <w:color w:val="auto"/>
                <w:szCs w:val="21"/>
                <w:highlight w:val="none"/>
              </w:rPr>
              <w:t>补偿、减少影响范围、生态恢复</w:t>
            </w:r>
          </w:p>
        </w:tc>
        <w:tc>
          <w:tcPr>
            <w:tcW w:w="3518" w:type="dxa"/>
            <w:noWrap/>
            <w:vAlign w:val="center"/>
          </w:tcPr>
          <w:p w14:paraId="5003277E">
            <w:pPr>
              <w:rPr>
                <w:rFonts w:ascii="Times New Roman" w:hAnsi="Times New Roman"/>
                <w:color w:val="auto"/>
                <w:szCs w:val="21"/>
                <w:highlight w:val="none"/>
              </w:rPr>
            </w:pPr>
            <w:r>
              <w:rPr>
                <w:rFonts w:ascii="Times New Roman" w:hAnsi="Times New Roman"/>
                <w:color w:val="auto"/>
                <w:szCs w:val="21"/>
                <w:highlight w:val="none"/>
              </w:rPr>
              <w:t>井场铺设钢板减少雨水冲刷；场地周围修临时排水沟；表层土壤采用分层开挖、分区堆放、分层填埋，减少因施工造成生土上翻、耕层养分损失、农作物减产等后果；堆场采取篷布遮盖或表面洒水抑尘等措施，并设置拦挡、排水措施</w:t>
            </w:r>
            <w:r>
              <w:rPr>
                <w:rFonts w:hint="eastAsia" w:ascii="Times New Roman" w:hAnsi="Times New Roman"/>
                <w:color w:val="auto"/>
                <w:szCs w:val="21"/>
                <w:highlight w:val="none"/>
              </w:rPr>
              <w:t>。</w:t>
            </w:r>
          </w:p>
        </w:tc>
        <w:tc>
          <w:tcPr>
            <w:tcW w:w="1174" w:type="dxa"/>
            <w:vMerge w:val="restart"/>
            <w:noWrap/>
            <w:vAlign w:val="center"/>
          </w:tcPr>
          <w:p w14:paraId="3BB873FC">
            <w:pPr>
              <w:jc w:val="center"/>
              <w:rPr>
                <w:rFonts w:ascii="Times New Roman" w:hAnsi="Times New Roman"/>
                <w:color w:val="auto"/>
                <w:szCs w:val="21"/>
                <w:highlight w:val="none"/>
              </w:rPr>
            </w:pPr>
            <w:r>
              <w:rPr>
                <w:rFonts w:ascii="Times New Roman" w:hAnsi="Times New Roman"/>
                <w:color w:val="auto"/>
                <w:szCs w:val="21"/>
                <w:highlight w:val="none"/>
              </w:rPr>
              <w:t>强化并落实水土保持措施，减轻对生态环境的影响</w:t>
            </w:r>
          </w:p>
        </w:tc>
        <w:tc>
          <w:tcPr>
            <w:tcW w:w="852" w:type="dxa"/>
            <w:noWrap/>
            <w:vAlign w:val="center"/>
          </w:tcPr>
          <w:p w14:paraId="33078194">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3914EBA1">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2AC56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43" w:type="dxa"/>
            <w:vMerge w:val="continue"/>
            <w:noWrap/>
            <w:vAlign w:val="center"/>
          </w:tcPr>
          <w:p w14:paraId="7905F4CA">
            <w:pPr>
              <w:jc w:val="center"/>
              <w:rPr>
                <w:rFonts w:ascii="Times New Roman" w:hAnsi="Times New Roman"/>
                <w:color w:val="auto"/>
                <w:szCs w:val="21"/>
                <w:highlight w:val="none"/>
              </w:rPr>
            </w:pPr>
          </w:p>
        </w:tc>
        <w:tc>
          <w:tcPr>
            <w:tcW w:w="978" w:type="dxa"/>
            <w:vMerge w:val="continue"/>
            <w:noWrap/>
            <w:vAlign w:val="center"/>
          </w:tcPr>
          <w:p w14:paraId="35BD5602">
            <w:pPr>
              <w:rPr>
                <w:rFonts w:ascii="Times New Roman" w:hAnsi="Times New Roman"/>
                <w:color w:val="auto"/>
                <w:szCs w:val="21"/>
                <w:highlight w:val="none"/>
              </w:rPr>
            </w:pPr>
          </w:p>
        </w:tc>
        <w:tc>
          <w:tcPr>
            <w:tcW w:w="3518" w:type="dxa"/>
            <w:noWrap/>
            <w:vAlign w:val="center"/>
          </w:tcPr>
          <w:p w14:paraId="60786CD6">
            <w:pPr>
              <w:rPr>
                <w:rFonts w:ascii="Times New Roman" w:hAnsi="Times New Roman"/>
                <w:color w:val="auto"/>
                <w:szCs w:val="21"/>
                <w:highlight w:val="none"/>
              </w:rPr>
            </w:pPr>
            <w:r>
              <w:rPr>
                <w:rFonts w:ascii="Times New Roman" w:hAnsi="Times New Roman"/>
                <w:color w:val="auto"/>
                <w:szCs w:val="21"/>
                <w:highlight w:val="none"/>
              </w:rPr>
              <w:t>对井场占用的耕地给予经济补偿</w:t>
            </w:r>
          </w:p>
        </w:tc>
        <w:tc>
          <w:tcPr>
            <w:tcW w:w="1174" w:type="dxa"/>
            <w:vMerge w:val="continue"/>
            <w:noWrap/>
            <w:vAlign w:val="center"/>
          </w:tcPr>
          <w:p w14:paraId="0006FF75">
            <w:pPr>
              <w:jc w:val="center"/>
              <w:rPr>
                <w:rFonts w:ascii="Times New Roman" w:hAnsi="Times New Roman"/>
                <w:color w:val="auto"/>
                <w:szCs w:val="21"/>
                <w:highlight w:val="none"/>
              </w:rPr>
            </w:pPr>
          </w:p>
        </w:tc>
        <w:tc>
          <w:tcPr>
            <w:tcW w:w="852" w:type="dxa"/>
            <w:noWrap/>
            <w:vAlign w:val="center"/>
          </w:tcPr>
          <w:p w14:paraId="590075D1">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0DA93631">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591C7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ign w:val="center"/>
          </w:tcPr>
          <w:p w14:paraId="5B6EDE14">
            <w:pPr>
              <w:jc w:val="center"/>
              <w:rPr>
                <w:rFonts w:ascii="Times New Roman" w:hAnsi="Times New Roman"/>
                <w:color w:val="auto"/>
                <w:szCs w:val="21"/>
                <w:highlight w:val="none"/>
              </w:rPr>
            </w:pPr>
          </w:p>
        </w:tc>
        <w:tc>
          <w:tcPr>
            <w:tcW w:w="978" w:type="dxa"/>
            <w:vMerge w:val="continue"/>
            <w:noWrap/>
            <w:vAlign w:val="center"/>
          </w:tcPr>
          <w:p w14:paraId="1D0E4AFD">
            <w:pPr>
              <w:rPr>
                <w:rFonts w:ascii="Times New Roman" w:hAnsi="Times New Roman"/>
                <w:color w:val="auto"/>
                <w:szCs w:val="21"/>
                <w:highlight w:val="none"/>
              </w:rPr>
            </w:pPr>
          </w:p>
        </w:tc>
        <w:tc>
          <w:tcPr>
            <w:tcW w:w="3518" w:type="dxa"/>
            <w:noWrap/>
            <w:vAlign w:val="center"/>
          </w:tcPr>
          <w:p w14:paraId="77BA6EB9">
            <w:pPr>
              <w:rPr>
                <w:rFonts w:ascii="Times New Roman" w:hAnsi="Times New Roman"/>
                <w:color w:val="auto"/>
                <w:szCs w:val="21"/>
                <w:highlight w:val="none"/>
              </w:rPr>
            </w:pPr>
            <w:r>
              <w:rPr>
                <w:rFonts w:ascii="Times New Roman" w:hAnsi="Times New Roman"/>
                <w:color w:val="auto"/>
                <w:szCs w:val="21"/>
                <w:highlight w:val="none"/>
              </w:rPr>
              <w:t>禁砍伐野外植被；严格划定施工作业范围、不得超越范围</w:t>
            </w:r>
          </w:p>
        </w:tc>
        <w:tc>
          <w:tcPr>
            <w:tcW w:w="1174" w:type="dxa"/>
            <w:vMerge w:val="continue"/>
            <w:noWrap/>
            <w:vAlign w:val="center"/>
          </w:tcPr>
          <w:p w14:paraId="7A4DC189">
            <w:pPr>
              <w:jc w:val="center"/>
              <w:rPr>
                <w:rFonts w:ascii="Times New Roman" w:hAnsi="Times New Roman"/>
                <w:color w:val="auto"/>
                <w:szCs w:val="21"/>
                <w:highlight w:val="none"/>
              </w:rPr>
            </w:pPr>
          </w:p>
        </w:tc>
        <w:tc>
          <w:tcPr>
            <w:tcW w:w="852" w:type="dxa"/>
            <w:noWrap/>
            <w:vAlign w:val="center"/>
          </w:tcPr>
          <w:p w14:paraId="3F782DA5">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497D5BB3">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6C985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ign w:val="center"/>
          </w:tcPr>
          <w:p w14:paraId="1257C9B6">
            <w:pPr>
              <w:jc w:val="center"/>
              <w:rPr>
                <w:rFonts w:ascii="Times New Roman" w:hAnsi="Times New Roman"/>
                <w:color w:val="auto"/>
                <w:szCs w:val="21"/>
                <w:highlight w:val="none"/>
              </w:rPr>
            </w:pPr>
          </w:p>
        </w:tc>
        <w:tc>
          <w:tcPr>
            <w:tcW w:w="978" w:type="dxa"/>
            <w:noWrap/>
            <w:vAlign w:val="center"/>
          </w:tcPr>
          <w:p w14:paraId="1CAA93A7">
            <w:pPr>
              <w:rPr>
                <w:rFonts w:ascii="Times New Roman" w:hAnsi="Times New Roman"/>
                <w:color w:val="auto"/>
                <w:szCs w:val="21"/>
                <w:highlight w:val="none"/>
              </w:rPr>
            </w:pPr>
            <w:r>
              <w:rPr>
                <w:rFonts w:ascii="Times New Roman" w:hAnsi="Times New Roman"/>
                <w:color w:val="auto"/>
                <w:szCs w:val="21"/>
                <w:highlight w:val="none"/>
              </w:rPr>
              <w:t>临时占地恢复</w:t>
            </w:r>
          </w:p>
        </w:tc>
        <w:tc>
          <w:tcPr>
            <w:tcW w:w="3518" w:type="dxa"/>
            <w:noWrap/>
            <w:vAlign w:val="center"/>
          </w:tcPr>
          <w:p w14:paraId="6BBE8411">
            <w:pPr>
              <w:rPr>
                <w:rFonts w:ascii="Times New Roman" w:hAnsi="Times New Roman"/>
                <w:color w:val="auto"/>
                <w:szCs w:val="21"/>
                <w:highlight w:val="none"/>
              </w:rPr>
            </w:pPr>
            <w:r>
              <w:rPr>
                <w:rFonts w:hint="eastAsia" w:ascii="Times New Roman" w:hAnsi="Times New Roman"/>
                <w:color w:val="auto"/>
                <w:szCs w:val="21"/>
                <w:highlight w:val="none"/>
              </w:rPr>
              <w:t>根据</w:t>
            </w:r>
            <w:r>
              <w:rPr>
                <w:rFonts w:ascii="Times New Roman" w:hAnsi="Times New Roman"/>
                <w:color w:val="auto"/>
                <w:szCs w:val="21"/>
                <w:highlight w:val="none"/>
              </w:rPr>
              <w:t>复垦方案和相关地方规定，</w:t>
            </w:r>
            <w:r>
              <w:rPr>
                <w:rFonts w:hint="eastAsia" w:ascii="Times New Roman" w:hAnsi="Times New Roman"/>
                <w:color w:val="auto"/>
                <w:szCs w:val="21"/>
                <w:highlight w:val="none"/>
              </w:rPr>
              <w:t>对工程临时征地进行补偿；严禁砍伐野外植被；严格规定施工作业范围，严格限制施工活动范围。项目施工结束后，硬化地面、雨水沟、污水沟等地面设施进行整体拆除，对拆除过程中可重复使用的材</w:t>
            </w:r>
            <w:r>
              <w:rPr>
                <w:rFonts w:hint="eastAsia" w:ascii="Times New Roman" w:hAnsi="Times New Roman"/>
                <w:color w:val="000000" w:themeColor="text1"/>
                <w:szCs w:val="21"/>
                <w:highlight w:val="none"/>
                <w14:textFill>
                  <w14:solidFill>
                    <w14:schemeClr w14:val="tx1"/>
                  </w14:solidFill>
                </w14:textFill>
              </w:rPr>
              <w:t>料可运至其他井站进行重复利用，水泥渣、碎石等</w:t>
            </w:r>
            <w:r>
              <w:rPr>
                <w:rFonts w:hint="eastAsia" w:ascii="Times New Roman" w:hAnsi="Times New Roman"/>
                <w:color w:val="000000" w:themeColor="text1"/>
                <w:szCs w:val="21"/>
                <w:highlight w:val="none"/>
                <w:lang w:val="en-US" w:eastAsia="zh-CN"/>
                <w14:textFill>
                  <w14:solidFill>
                    <w14:schemeClr w14:val="tx1"/>
                  </w14:solidFill>
                </w14:textFill>
              </w:rPr>
              <w:t>外售综合利用</w:t>
            </w:r>
            <w:r>
              <w:rPr>
                <w:rFonts w:hint="eastAsia" w:ascii="Times New Roman" w:hAnsi="Times New Roman"/>
                <w:color w:val="000000" w:themeColor="text1"/>
                <w:szCs w:val="21"/>
                <w:highlight w:val="none"/>
                <w14:textFill>
                  <w14:solidFill>
                    <w14:schemeClr w14:val="tx1"/>
                  </w14:solidFill>
                </w14:textFill>
              </w:rPr>
              <w:t>，不可利用部分运至政府指定的渣场，做到工完、料净、场地清，对构筑的设备基础拆除后作场地边坡凹地平整填方区填方回</w:t>
            </w:r>
            <w:r>
              <w:rPr>
                <w:rFonts w:hint="eastAsia" w:ascii="Times New Roman" w:hAnsi="Times New Roman"/>
                <w:color w:val="auto"/>
                <w:szCs w:val="21"/>
                <w:highlight w:val="none"/>
              </w:rPr>
              <w:t>填，不留坑凼；清除场内固体废物，平整井场，在表层覆盖耕作土层，将废弃的井场恢复原状；</w:t>
            </w:r>
            <w:r>
              <w:rPr>
                <w:rFonts w:ascii="Times New Roman" w:hAnsi="Times New Roman"/>
                <w:color w:val="auto"/>
                <w:szCs w:val="21"/>
                <w:highlight w:val="none"/>
              </w:rPr>
              <w:t>对临时占地上的设施进行拆除并搬迁，对</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等池体进行拆除并回填，现场无废弃构造设施遗留，平整井场，在表层覆盖耕作土层，进行复垦到原状态</w:t>
            </w:r>
            <w:r>
              <w:rPr>
                <w:rFonts w:hint="eastAsia" w:ascii="Times New Roman" w:hAnsi="Times New Roman"/>
                <w:color w:val="auto"/>
                <w:szCs w:val="21"/>
                <w:highlight w:val="none"/>
              </w:rPr>
              <w:t>。</w:t>
            </w:r>
          </w:p>
        </w:tc>
        <w:tc>
          <w:tcPr>
            <w:tcW w:w="1174" w:type="dxa"/>
            <w:noWrap/>
            <w:vAlign w:val="center"/>
          </w:tcPr>
          <w:p w14:paraId="77AD40DB">
            <w:pPr>
              <w:jc w:val="center"/>
              <w:rPr>
                <w:rFonts w:ascii="Times New Roman" w:hAnsi="Times New Roman"/>
                <w:color w:val="auto"/>
                <w:szCs w:val="21"/>
                <w:highlight w:val="none"/>
              </w:rPr>
            </w:pPr>
            <w:r>
              <w:rPr>
                <w:rFonts w:ascii="Times New Roman" w:hAnsi="Times New Roman"/>
                <w:color w:val="auto"/>
                <w:szCs w:val="21"/>
                <w:highlight w:val="none"/>
              </w:rPr>
              <w:t>恢复占地原有土地利用性质</w:t>
            </w:r>
          </w:p>
        </w:tc>
        <w:tc>
          <w:tcPr>
            <w:tcW w:w="852" w:type="dxa"/>
            <w:noWrap/>
            <w:vAlign w:val="center"/>
          </w:tcPr>
          <w:p w14:paraId="4C2015C9">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7DDB53A9">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66EF7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ign w:val="center"/>
          </w:tcPr>
          <w:p w14:paraId="48602420">
            <w:pPr>
              <w:jc w:val="center"/>
              <w:rPr>
                <w:rFonts w:ascii="Times New Roman" w:hAnsi="Times New Roman"/>
                <w:color w:val="auto"/>
                <w:szCs w:val="21"/>
                <w:highlight w:val="none"/>
              </w:rPr>
            </w:pPr>
          </w:p>
        </w:tc>
        <w:tc>
          <w:tcPr>
            <w:tcW w:w="978" w:type="dxa"/>
            <w:noWrap/>
            <w:vAlign w:val="center"/>
          </w:tcPr>
          <w:p w14:paraId="0F15F374">
            <w:pPr>
              <w:rPr>
                <w:rFonts w:ascii="Times New Roman" w:hAnsi="Times New Roman"/>
                <w:color w:val="auto"/>
                <w:szCs w:val="21"/>
                <w:highlight w:val="none"/>
              </w:rPr>
            </w:pPr>
            <w:r>
              <w:rPr>
                <w:rFonts w:ascii="Times New Roman" w:hAnsi="Times New Roman"/>
                <w:color w:val="auto"/>
                <w:szCs w:val="21"/>
                <w:highlight w:val="none"/>
              </w:rPr>
              <w:t>植被恢复</w:t>
            </w:r>
          </w:p>
        </w:tc>
        <w:tc>
          <w:tcPr>
            <w:tcW w:w="3518" w:type="dxa"/>
            <w:noWrap/>
            <w:vAlign w:val="center"/>
          </w:tcPr>
          <w:p w14:paraId="48E0C2C3">
            <w:pPr>
              <w:rPr>
                <w:rFonts w:ascii="Times New Roman" w:hAnsi="Times New Roman"/>
                <w:color w:val="auto"/>
                <w:szCs w:val="21"/>
                <w:highlight w:val="none"/>
              </w:rPr>
            </w:pPr>
            <w:r>
              <w:rPr>
                <w:rFonts w:ascii="Times New Roman" w:hAnsi="Times New Roman"/>
                <w:color w:val="auto"/>
                <w:szCs w:val="21"/>
                <w:highlight w:val="none"/>
              </w:rPr>
              <w:t>对</w:t>
            </w:r>
            <w:r>
              <w:rPr>
                <w:rFonts w:hint="eastAsia" w:ascii="Times New Roman" w:hAnsi="Times New Roman"/>
                <w:color w:val="auto"/>
                <w:szCs w:val="21"/>
                <w:highlight w:val="none"/>
              </w:rPr>
              <w:t>配电室</w:t>
            </w:r>
            <w:r>
              <w:rPr>
                <w:rFonts w:ascii="Times New Roman" w:hAnsi="Times New Roman"/>
                <w:color w:val="auto"/>
                <w:szCs w:val="21"/>
                <w:highlight w:val="none"/>
              </w:rPr>
              <w:t>等建构物临时占地、回填后的</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等池体表面覆盖耕作土层，恢复生态，以恢复耕地为主，同时进行土壤培育，复垦后应满足《土地复垦质量控制标准》（TD</w:t>
            </w:r>
            <w:r>
              <w:rPr>
                <w:rFonts w:hint="eastAsia" w:ascii="Times New Roman" w:hAnsi="Times New Roman"/>
                <w:color w:val="auto"/>
                <w:szCs w:val="21"/>
                <w:highlight w:val="none"/>
              </w:rPr>
              <w:t>/</w:t>
            </w:r>
            <w:r>
              <w:rPr>
                <w:rFonts w:ascii="Times New Roman" w:hAnsi="Times New Roman"/>
                <w:color w:val="auto"/>
                <w:szCs w:val="21"/>
                <w:highlight w:val="none"/>
              </w:rPr>
              <w:t>T1036-2013）中的要求，满足居民正常耕种要求</w:t>
            </w:r>
          </w:p>
        </w:tc>
        <w:tc>
          <w:tcPr>
            <w:tcW w:w="1174" w:type="dxa"/>
            <w:noWrap/>
            <w:vAlign w:val="center"/>
          </w:tcPr>
          <w:p w14:paraId="3788E606">
            <w:pPr>
              <w:jc w:val="center"/>
              <w:rPr>
                <w:rFonts w:ascii="Times New Roman" w:hAnsi="Times New Roman"/>
                <w:color w:val="auto"/>
                <w:szCs w:val="21"/>
                <w:highlight w:val="none"/>
              </w:rPr>
            </w:pPr>
            <w:r>
              <w:rPr>
                <w:rFonts w:ascii="Times New Roman" w:hAnsi="Times New Roman"/>
                <w:color w:val="auto"/>
                <w:szCs w:val="21"/>
                <w:highlight w:val="none"/>
              </w:rPr>
              <w:t>恢复土地生产力，满足《土地复垦质量控制标准》（TDT1036-2013）中要求</w:t>
            </w:r>
          </w:p>
        </w:tc>
        <w:tc>
          <w:tcPr>
            <w:tcW w:w="852" w:type="dxa"/>
            <w:noWrap/>
            <w:vAlign w:val="center"/>
          </w:tcPr>
          <w:p w14:paraId="52A45842">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4F6DFDDC">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5F9E6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43" w:type="dxa"/>
            <w:noWrap/>
            <w:vAlign w:val="center"/>
          </w:tcPr>
          <w:p w14:paraId="2F536866">
            <w:pPr>
              <w:jc w:val="center"/>
              <w:rPr>
                <w:rFonts w:ascii="Times New Roman" w:hAnsi="Times New Roman"/>
                <w:color w:val="auto"/>
                <w:szCs w:val="21"/>
                <w:highlight w:val="none"/>
              </w:rPr>
            </w:pPr>
            <w:r>
              <w:rPr>
                <w:rFonts w:ascii="Times New Roman" w:hAnsi="Times New Roman"/>
                <w:color w:val="auto"/>
                <w:szCs w:val="21"/>
                <w:highlight w:val="none"/>
              </w:rPr>
              <w:t>水生生态</w:t>
            </w:r>
          </w:p>
        </w:tc>
        <w:tc>
          <w:tcPr>
            <w:tcW w:w="4496" w:type="dxa"/>
            <w:gridSpan w:val="2"/>
            <w:noWrap/>
            <w:vAlign w:val="center"/>
          </w:tcPr>
          <w:p w14:paraId="30942A47">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74" w:type="dxa"/>
            <w:noWrap/>
            <w:vAlign w:val="center"/>
          </w:tcPr>
          <w:p w14:paraId="08988F32">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852" w:type="dxa"/>
            <w:noWrap/>
            <w:vAlign w:val="center"/>
          </w:tcPr>
          <w:p w14:paraId="4107F124">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2A99C75B">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09BE6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0979E5CC">
            <w:pPr>
              <w:jc w:val="center"/>
              <w:rPr>
                <w:rFonts w:ascii="Times New Roman" w:hAnsi="Times New Roman"/>
                <w:color w:val="auto"/>
                <w:szCs w:val="21"/>
                <w:highlight w:val="none"/>
              </w:rPr>
            </w:pPr>
            <w:r>
              <w:rPr>
                <w:rFonts w:ascii="Times New Roman" w:hAnsi="Times New Roman"/>
                <w:color w:val="auto"/>
                <w:szCs w:val="21"/>
                <w:highlight w:val="none"/>
              </w:rPr>
              <w:t>地表水环境</w:t>
            </w:r>
          </w:p>
        </w:tc>
        <w:tc>
          <w:tcPr>
            <w:tcW w:w="4496" w:type="dxa"/>
            <w:gridSpan w:val="2"/>
            <w:noWrap/>
            <w:vAlign w:val="center"/>
          </w:tcPr>
          <w:p w14:paraId="40E0B2F5">
            <w:pPr>
              <w:rPr>
                <w:rFonts w:ascii="Times New Roman" w:hAnsi="Times New Roman"/>
                <w:color w:val="auto"/>
                <w:szCs w:val="21"/>
                <w:highlight w:val="none"/>
              </w:rPr>
            </w:pPr>
            <w:r>
              <w:rPr>
                <w:rFonts w:hint="eastAsia" w:ascii="Times New Roman" w:hAnsi="Times New Roman"/>
                <w:color w:val="auto"/>
                <w:szCs w:val="21"/>
                <w:highlight w:val="none"/>
              </w:rPr>
              <w:t>项目区不设置员工食宿，员工食宿依托附近村庄，生活污水经化粪池预处理后委托清掏单位定期清掏处理，不外排，用于当地农作物施肥。</w:t>
            </w:r>
          </w:p>
          <w:p w14:paraId="07790AE0">
            <w:pPr>
              <w:rPr>
                <w:rFonts w:ascii="Times New Roman" w:hAnsi="Times New Roman"/>
                <w:color w:val="auto"/>
                <w:szCs w:val="21"/>
                <w:highlight w:val="none"/>
              </w:rPr>
            </w:pPr>
            <w:r>
              <w:rPr>
                <w:rFonts w:ascii="Times New Roman" w:hAnsi="Times New Roman"/>
                <w:color w:val="auto"/>
                <w:szCs w:val="21"/>
                <w:highlight w:val="none"/>
              </w:rPr>
              <w:t>每个井场进出口</w:t>
            </w:r>
            <w:r>
              <w:rPr>
                <w:rFonts w:hint="eastAsia" w:ascii="Times New Roman" w:hAnsi="Times New Roman"/>
                <w:color w:val="auto"/>
                <w:szCs w:val="21"/>
                <w:highlight w:val="none"/>
              </w:rPr>
              <w:t>对车辆进行冲洗</w:t>
            </w:r>
            <w:r>
              <w:rPr>
                <w:rFonts w:ascii="Times New Roman" w:hAnsi="Times New Roman"/>
                <w:color w:val="auto"/>
                <w:szCs w:val="21"/>
                <w:highlight w:val="none"/>
              </w:rPr>
              <w:t>，配套建设容积</w:t>
            </w:r>
            <w:r>
              <w:rPr>
                <w:rFonts w:hint="eastAsia" w:ascii="Times New Roman" w:hAnsi="Times New Roman"/>
                <w:color w:val="auto"/>
                <w:szCs w:val="21"/>
                <w:highlight w:val="none"/>
                <w:lang w:val="en-US" w:eastAsia="zh-CN"/>
              </w:rPr>
              <w:t>8</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循环沉淀池，车辆清洗废水经沉淀池沉淀后循环使用，不外排；每个井场钻探废水设置设1个</w:t>
            </w:r>
            <w:r>
              <w:rPr>
                <w:rFonts w:hint="eastAsia" w:ascii="Times New Roman" w:hAnsi="Times New Roman"/>
                <w:color w:val="auto"/>
                <w:szCs w:val="21"/>
                <w:highlight w:val="none"/>
                <w:lang w:eastAsia="zh-CN"/>
              </w:rPr>
              <w:t>泥浆池</w:t>
            </w:r>
            <w:r>
              <w:rPr>
                <w:rFonts w:ascii="Times New Roman" w:hAnsi="Times New Roman"/>
                <w:color w:val="auto"/>
                <w:szCs w:val="21"/>
                <w:highlight w:val="none"/>
              </w:rPr>
              <w:t>，容积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，设置设1个干化池，容积</w:t>
            </w:r>
            <w:r>
              <w:rPr>
                <w:rFonts w:hint="eastAsia" w:ascii="Times New Roman" w:hAnsi="Times New Roman"/>
                <w:color w:val="auto"/>
                <w:szCs w:val="21"/>
                <w:highlight w:val="none"/>
                <w:lang w:val="en-US" w:eastAsia="zh-CN"/>
              </w:rPr>
              <w:t>36</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，钻探废水经沉淀后回用于钻探用水</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抽水试验废水根据抽水试验水质全成分检测结果进行针对性处置，若水质质量满足农田灌溉要求，则与周边农户协商好之后，用于周边农田灌溉使用，若水质质量不满足农田灌溉要求，则委托有处置能力单位进行处置；</w:t>
            </w:r>
            <w:r>
              <w:rPr>
                <w:rFonts w:ascii="Times New Roman" w:hAnsi="Times New Roman"/>
                <w:color w:val="auto"/>
                <w:szCs w:val="21"/>
                <w:highlight w:val="none"/>
              </w:rPr>
              <w:t>施工尽量避开雨季施工，雨天做好遮盖工作，减少冲刷雨水的产生量</w:t>
            </w:r>
            <w:r>
              <w:rPr>
                <w:rFonts w:hint="eastAsia" w:ascii="Times New Roman" w:hAnsi="Times New Roman"/>
                <w:color w:val="auto"/>
                <w:szCs w:val="21"/>
                <w:highlight w:val="none"/>
              </w:rPr>
              <w:t>。</w:t>
            </w:r>
          </w:p>
        </w:tc>
        <w:tc>
          <w:tcPr>
            <w:tcW w:w="1174" w:type="dxa"/>
            <w:noWrap/>
            <w:vAlign w:val="center"/>
          </w:tcPr>
          <w:p w14:paraId="6D17FA6A">
            <w:pPr>
              <w:jc w:val="center"/>
              <w:rPr>
                <w:rFonts w:ascii="Times New Roman" w:hAnsi="Times New Roman"/>
                <w:color w:val="auto"/>
                <w:szCs w:val="21"/>
                <w:highlight w:val="none"/>
              </w:rPr>
            </w:pPr>
            <w:r>
              <w:rPr>
                <w:rFonts w:ascii="Times New Roman" w:hAnsi="Times New Roman"/>
                <w:color w:val="auto"/>
                <w:szCs w:val="21"/>
                <w:highlight w:val="none"/>
              </w:rPr>
              <w:t>施工废水、施工生活污水禁止外排至地表水环境</w:t>
            </w:r>
          </w:p>
        </w:tc>
        <w:tc>
          <w:tcPr>
            <w:tcW w:w="852" w:type="dxa"/>
            <w:noWrap/>
            <w:vAlign w:val="center"/>
          </w:tcPr>
          <w:p w14:paraId="4923E1A3">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AF49649">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426B9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5900F516">
            <w:pPr>
              <w:jc w:val="center"/>
              <w:rPr>
                <w:rFonts w:ascii="Times New Roman" w:hAnsi="Times New Roman"/>
                <w:color w:val="auto"/>
                <w:szCs w:val="21"/>
                <w:highlight w:val="none"/>
              </w:rPr>
            </w:pPr>
            <w:r>
              <w:rPr>
                <w:rFonts w:ascii="Times New Roman" w:hAnsi="Times New Roman"/>
                <w:color w:val="auto"/>
                <w:szCs w:val="21"/>
                <w:highlight w:val="none"/>
              </w:rPr>
              <w:t>地下水及土壤环境</w:t>
            </w:r>
          </w:p>
        </w:tc>
        <w:tc>
          <w:tcPr>
            <w:tcW w:w="4496" w:type="dxa"/>
            <w:gridSpan w:val="2"/>
            <w:noWrap/>
            <w:vAlign w:val="center"/>
          </w:tcPr>
          <w:p w14:paraId="15EE7AB1">
            <w:pPr>
              <w:jc w:val="center"/>
              <w:rPr>
                <w:rFonts w:ascii="Times New Roman" w:hAnsi="Times New Roman"/>
                <w:color w:val="auto"/>
                <w:szCs w:val="21"/>
                <w:highlight w:val="none"/>
              </w:rPr>
            </w:pPr>
            <w:r>
              <w:rPr>
                <w:rFonts w:hint="eastAsia" w:ascii="Times New Roman" w:hAnsi="Times New Roman"/>
                <w:color w:val="auto"/>
                <w:szCs w:val="21"/>
                <w:highlight w:val="none"/>
              </w:rPr>
              <w:t>项目采取分区防渗措施。</w:t>
            </w:r>
            <w:r>
              <w:rPr>
                <w:rFonts w:ascii="Times New Roman" w:hAnsi="Times New Roman"/>
                <w:color w:val="auto"/>
                <w:szCs w:val="21"/>
                <w:highlight w:val="none"/>
              </w:rPr>
              <w:t>重点防渗区</w:t>
            </w:r>
            <w:r>
              <w:rPr>
                <w:rFonts w:ascii="Times New Roman" w:hAnsi="Times New Roman"/>
                <w:color w:val="000000" w:themeColor="text1"/>
                <w:szCs w:val="21"/>
                <w:highlight w:val="none"/>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危废暂存间</w:t>
            </w:r>
            <w:r>
              <w:rPr>
                <w:rFonts w:ascii="Times New Roman" w:hAnsi="Times New Roman"/>
                <w:color w:val="000000" w:themeColor="text1"/>
                <w:szCs w:val="21"/>
                <w:highlight w:val="none"/>
                <w14:textFill>
                  <w14:solidFill>
                    <w14:schemeClr w14:val="tx1"/>
                  </w14:solidFill>
                </w14:textFill>
              </w:rPr>
              <w:t>。防渗要求</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采用</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防渗混凝土+防渗布+砂浆层</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进行防渗，等效厚度≥6.0m，确保渗透系数不大于10</w:t>
            </w:r>
            <w:r>
              <w:rPr>
                <w:rFonts w:ascii="Times New Roman" w:hAnsi="Times New Roman"/>
                <w:color w:val="000000" w:themeColor="text1"/>
                <w:szCs w:val="21"/>
                <w:highlight w:val="none"/>
                <w:vertAlign w:val="superscript"/>
                <w14:textFill>
                  <w14:solidFill>
                    <w14:schemeClr w14:val="tx1"/>
                  </w14:solidFill>
                </w14:textFill>
              </w:rPr>
              <w:t>-</w:t>
            </w:r>
            <w:r>
              <w:rPr>
                <w:rFonts w:hint="eastAsia" w:ascii="Times New Roman" w:hAnsi="Times New Roman"/>
                <w:color w:val="000000" w:themeColor="text1"/>
                <w:szCs w:val="21"/>
                <w:highlight w:val="none"/>
                <w:vertAlign w:val="superscript"/>
                <w14:textFill>
                  <w14:solidFill>
                    <w14:schemeClr w14:val="tx1"/>
                  </w14:solidFill>
                </w14:textFill>
              </w:rPr>
              <w:t>7</w:t>
            </w:r>
            <w:r>
              <w:rPr>
                <w:rFonts w:ascii="Times New Roman" w:hAnsi="Times New Roman"/>
                <w:color w:val="000000" w:themeColor="text1"/>
                <w:szCs w:val="21"/>
                <w:highlight w:val="none"/>
                <w14:textFill>
                  <w14:solidFill>
                    <w14:schemeClr w14:val="tx1"/>
                  </w14:solidFill>
                </w14:textFill>
              </w:rPr>
              <w:t>cm/s</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一般防渗区：</w:t>
            </w:r>
            <w:r>
              <w:rPr>
                <w:rFonts w:hint="eastAsia" w:ascii="Times New Roman" w:hAnsi="Times New Roman"/>
                <w:color w:val="000000" w:themeColor="text1"/>
                <w:szCs w:val="21"/>
                <w:highlight w:val="none"/>
                <w:lang w:eastAsia="zh-CN"/>
                <w14:textFill>
                  <w14:solidFill>
                    <w14:schemeClr w14:val="tx1"/>
                  </w14:solidFill>
                </w14:textFill>
              </w:rPr>
              <w:t>钻机房井口区域、泥浆池、沉淀池、干化池、设备及库房</w:t>
            </w:r>
            <w:r>
              <w:rPr>
                <w:rFonts w:ascii="Times New Roman" w:hAnsi="Times New Roman"/>
                <w:color w:val="000000" w:themeColor="text1"/>
                <w:szCs w:val="21"/>
                <w:highlight w:val="none"/>
                <w14:textFill>
                  <w14:solidFill>
                    <w14:schemeClr w14:val="tx1"/>
                  </w14:solidFill>
                </w14:textFill>
              </w:rPr>
              <w:t>。防渗要求</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采取防渗混凝土进行防渗，等效厚度≥1.5m</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简单防渗区：除重点防渗区和一般防渗区以外的其他区域。防渗要求</w:t>
            </w: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采用一</w:t>
            </w:r>
            <w:r>
              <w:rPr>
                <w:rFonts w:ascii="Times New Roman" w:hAnsi="Times New Roman"/>
                <w:color w:val="auto"/>
                <w:szCs w:val="21"/>
                <w:highlight w:val="none"/>
              </w:rPr>
              <w:t>般地面硬化。</w:t>
            </w:r>
          </w:p>
        </w:tc>
        <w:tc>
          <w:tcPr>
            <w:tcW w:w="1174" w:type="dxa"/>
            <w:noWrap/>
            <w:vAlign w:val="center"/>
          </w:tcPr>
          <w:p w14:paraId="55C403E3">
            <w:pPr>
              <w:jc w:val="center"/>
              <w:rPr>
                <w:rFonts w:ascii="Times New Roman" w:hAnsi="Times New Roman"/>
                <w:color w:val="auto"/>
                <w:szCs w:val="21"/>
                <w:highlight w:val="none"/>
              </w:rPr>
            </w:pPr>
            <w:r>
              <w:rPr>
                <w:rFonts w:ascii="Times New Roman" w:hAnsi="Times New Roman"/>
                <w:color w:val="auto"/>
                <w:szCs w:val="21"/>
                <w:highlight w:val="none"/>
              </w:rPr>
              <w:t>不对周边浅层地下水以及周边土壤造成影响</w:t>
            </w:r>
          </w:p>
        </w:tc>
        <w:tc>
          <w:tcPr>
            <w:tcW w:w="852" w:type="dxa"/>
            <w:noWrap/>
            <w:vAlign w:val="center"/>
          </w:tcPr>
          <w:p w14:paraId="05860E82">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2BB6854B">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6FAB3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2B057B7C">
            <w:pPr>
              <w:jc w:val="center"/>
              <w:rPr>
                <w:rFonts w:ascii="Times New Roman" w:hAnsi="Times New Roman"/>
                <w:color w:val="auto"/>
                <w:szCs w:val="21"/>
                <w:highlight w:val="none"/>
              </w:rPr>
            </w:pPr>
            <w:r>
              <w:rPr>
                <w:rFonts w:ascii="Times New Roman" w:hAnsi="Times New Roman"/>
                <w:color w:val="auto"/>
                <w:szCs w:val="21"/>
                <w:highlight w:val="none"/>
              </w:rPr>
              <w:t>声环境</w:t>
            </w:r>
          </w:p>
        </w:tc>
        <w:tc>
          <w:tcPr>
            <w:tcW w:w="4496" w:type="dxa"/>
            <w:gridSpan w:val="2"/>
            <w:noWrap/>
            <w:vAlign w:val="center"/>
          </w:tcPr>
          <w:p w14:paraId="0359EFE0">
            <w:pPr>
              <w:jc w:val="center"/>
              <w:rPr>
                <w:rFonts w:ascii="Times New Roman" w:hAnsi="Times New Roman"/>
                <w:color w:val="auto"/>
                <w:szCs w:val="21"/>
                <w:highlight w:val="none"/>
              </w:rPr>
            </w:pPr>
            <w:r>
              <w:rPr>
                <w:rFonts w:ascii="Times New Roman" w:hAnsi="Times New Roman"/>
                <w:color w:val="auto"/>
                <w:szCs w:val="21"/>
                <w:highlight w:val="none"/>
              </w:rPr>
              <w:t>选用低噪声设备，合理布置施工机械，合理安排施工时间，加强施工管理，设置施工围墙、降噪安全围帘等，根据现场调查，项目部分井场厂界外存在居民点声环境保护目标，项目可在井场面向敏感点一侧布置隔声屏等</w:t>
            </w:r>
            <w:r>
              <w:rPr>
                <w:rFonts w:ascii="Times New Roman" w:hAnsi="Times New Roman"/>
                <w:bCs/>
                <w:color w:val="auto"/>
                <w:szCs w:val="21"/>
                <w:highlight w:val="none"/>
              </w:rPr>
              <w:t>，可有效降低对周边敏感点的影响</w:t>
            </w:r>
          </w:p>
        </w:tc>
        <w:tc>
          <w:tcPr>
            <w:tcW w:w="1174" w:type="dxa"/>
            <w:noWrap/>
            <w:vAlign w:val="center"/>
          </w:tcPr>
          <w:p w14:paraId="0E5BDC35">
            <w:pPr>
              <w:jc w:val="center"/>
              <w:rPr>
                <w:rFonts w:ascii="Times New Roman" w:hAnsi="Times New Roman"/>
                <w:color w:val="auto"/>
                <w:szCs w:val="21"/>
                <w:highlight w:val="none"/>
              </w:rPr>
            </w:pPr>
            <w:r>
              <w:rPr>
                <w:rFonts w:ascii="Times New Roman" w:hAnsi="Times New Roman"/>
                <w:color w:val="auto"/>
                <w:szCs w:val="21"/>
                <w:highlight w:val="none"/>
              </w:rPr>
              <w:t>满足《建筑施工场界环境噪声排放标准》（GB12523-2011），不发生扰民现象。</w:t>
            </w:r>
          </w:p>
        </w:tc>
        <w:tc>
          <w:tcPr>
            <w:tcW w:w="852" w:type="dxa"/>
            <w:noWrap/>
            <w:vAlign w:val="center"/>
          </w:tcPr>
          <w:p w14:paraId="570B5404">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5ADFEADE">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10FC0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3" w:type="dxa"/>
            <w:noWrap/>
            <w:vAlign w:val="center"/>
          </w:tcPr>
          <w:p w14:paraId="6F8378C0">
            <w:pPr>
              <w:jc w:val="center"/>
              <w:rPr>
                <w:rFonts w:ascii="Times New Roman" w:hAnsi="Times New Roman"/>
                <w:color w:val="auto"/>
                <w:szCs w:val="21"/>
                <w:highlight w:val="none"/>
              </w:rPr>
            </w:pPr>
            <w:r>
              <w:rPr>
                <w:rFonts w:ascii="Times New Roman" w:hAnsi="Times New Roman"/>
                <w:color w:val="auto"/>
                <w:szCs w:val="21"/>
                <w:highlight w:val="none"/>
              </w:rPr>
              <w:t>振动</w:t>
            </w:r>
          </w:p>
        </w:tc>
        <w:tc>
          <w:tcPr>
            <w:tcW w:w="4496" w:type="dxa"/>
            <w:gridSpan w:val="2"/>
            <w:noWrap/>
            <w:vAlign w:val="center"/>
          </w:tcPr>
          <w:p w14:paraId="097C6067">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74" w:type="dxa"/>
            <w:noWrap/>
            <w:vAlign w:val="center"/>
          </w:tcPr>
          <w:p w14:paraId="286DE4BA">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852" w:type="dxa"/>
            <w:noWrap/>
            <w:vAlign w:val="center"/>
          </w:tcPr>
          <w:p w14:paraId="648CC021">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442D06C2">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71ACA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3AADCE22">
            <w:pPr>
              <w:jc w:val="center"/>
              <w:rPr>
                <w:rFonts w:ascii="Times New Roman" w:hAnsi="Times New Roman"/>
                <w:color w:val="auto"/>
                <w:szCs w:val="21"/>
                <w:highlight w:val="none"/>
              </w:rPr>
            </w:pPr>
            <w:r>
              <w:rPr>
                <w:rFonts w:ascii="Times New Roman" w:hAnsi="Times New Roman"/>
                <w:color w:val="auto"/>
                <w:szCs w:val="21"/>
                <w:highlight w:val="none"/>
              </w:rPr>
              <w:t>大气环境</w:t>
            </w:r>
          </w:p>
        </w:tc>
        <w:tc>
          <w:tcPr>
            <w:tcW w:w="4496" w:type="dxa"/>
            <w:gridSpan w:val="2"/>
            <w:noWrap/>
            <w:vAlign w:val="center"/>
          </w:tcPr>
          <w:p w14:paraId="610957C4">
            <w:pPr>
              <w:jc w:val="center"/>
              <w:rPr>
                <w:rFonts w:ascii="Times New Roman" w:hAnsi="Times New Roman"/>
                <w:color w:val="auto"/>
                <w:szCs w:val="21"/>
                <w:highlight w:val="none"/>
              </w:rPr>
            </w:pPr>
            <w:r>
              <w:rPr>
                <w:rFonts w:ascii="Times New Roman" w:hAnsi="Times New Roman"/>
                <w:color w:val="auto"/>
                <w:szCs w:val="21"/>
                <w:highlight w:val="none"/>
              </w:rPr>
              <w:t>施工期影响主要为施工扬尘、机械尾气等。通过加强施工机械、车辆管理，进行物料覆盖，对施工道路进行固化、洒水处理等措施，施工现场扬尘污染防治应做到</w:t>
            </w:r>
            <w:r>
              <w:rPr>
                <w:rFonts w:hint="eastAsia" w:ascii="Times New Roman" w:hAnsi="Times New Roman"/>
                <w:color w:val="auto"/>
                <w:szCs w:val="21"/>
                <w:highlight w:val="none"/>
                <w:lang w:eastAsia="zh-CN"/>
              </w:rPr>
              <w:t>“</w:t>
            </w:r>
            <w:r>
              <w:rPr>
                <w:rFonts w:ascii="Times New Roman" w:hAnsi="Times New Roman"/>
                <w:color w:val="auto"/>
                <w:szCs w:val="21"/>
                <w:highlight w:val="none"/>
              </w:rPr>
              <w:t>六个百分之百</w:t>
            </w:r>
            <w:r>
              <w:rPr>
                <w:rFonts w:hint="eastAsia" w:ascii="Times New Roman" w:hAnsi="Times New Roman"/>
                <w:color w:val="auto"/>
                <w:szCs w:val="21"/>
                <w:highlight w:val="none"/>
                <w:lang w:eastAsia="zh-CN"/>
              </w:rPr>
              <w:t>”</w:t>
            </w:r>
            <w:r>
              <w:rPr>
                <w:rFonts w:ascii="Times New Roman" w:hAnsi="Times New Roman"/>
                <w:color w:val="auto"/>
                <w:szCs w:val="21"/>
                <w:highlight w:val="none"/>
              </w:rPr>
              <w:t>，减少对周边空气环境的影响。</w:t>
            </w:r>
          </w:p>
        </w:tc>
        <w:tc>
          <w:tcPr>
            <w:tcW w:w="1174" w:type="dxa"/>
            <w:noWrap/>
            <w:vAlign w:val="center"/>
          </w:tcPr>
          <w:p w14:paraId="1F6D7255">
            <w:pPr>
              <w:jc w:val="center"/>
              <w:rPr>
                <w:rFonts w:ascii="Times New Roman" w:hAnsi="Times New Roman"/>
                <w:color w:val="auto"/>
                <w:szCs w:val="21"/>
                <w:highlight w:val="none"/>
              </w:rPr>
            </w:pPr>
            <w:r>
              <w:rPr>
                <w:rFonts w:hint="eastAsia" w:ascii="Times New Roman" w:hAnsi="Times New Roman"/>
                <w:color w:val="auto"/>
                <w:szCs w:val="21"/>
                <w:highlight w:val="none"/>
              </w:rPr>
              <w:t>施工期扬尘执行《施工场地颗粒物排放标准》（DB34/4811-2024）中厂界大气污染物无组织监控浓度限值要求</w:t>
            </w:r>
          </w:p>
        </w:tc>
        <w:tc>
          <w:tcPr>
            <w:tcW w:w="852" w:type="dxa"/>
            <w:noWrap/>
            <w:vAlign w:val="center"/>
          </w:tcPr>
          <w:p w14:paraId="5D9424C9">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292740E7">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6157B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1243" w:type="dxa"/>
            <w:noWrap/>
            <w:vAlign w:val="center"/>
          </w:tcPr>
          <w:p w14:paraId="06DC0F8A">
            <w:pPr>
              <w:jc w:val="center"/>
              <w:rPr>
                <w:rFonts w:ascii="Times New Roman" w:hAnsi="Times New Roman"/>
                <w:color w:val="auto"/>
                <w:szCs w:val="21"/>
                <w:highlight w:val="none"/>
              </w:rPr>
            </w:pPr>
            <w:r>
              <w:rPr>
                <w:rFonts w:ascii="Times New Roman" w:hAnsi="Times New Roman"/>
                <w:color w:val="auto"/>
                <w:szCs w:val="21"/>
                <w:highlight w:val="none"/>
              </w:rPr>
              <w:t>固体废物</w:t>
            </w:r>
          </w:p>
        </w:tc>
        <w:tc>
          <w:tcPr>
            <w:tcW w:w="4496" w:type="dxa"/>
            <w:gridSpan w:val="2"/>
            <w:noWrap/>
            <w:vAlign w:val="center"/>
          </w:tcPr>
          <w:p w14:paraId="38FBE234">
            <w:pPr>
              <w:jc w:val="center"/>
              <w:rPr>
                <w:rFonts w:ascii="Times New Roman" w:hAnsi="Times New Roman"/>
                <w:color w:val="auto"/>
                <w:szCs w:val="21"/>
                <w:highlight w:val="none"/>
              </w:rPr>
            </w:pPr>
            <w:r>
              <w:rPr>
                <w:rFonts w:ascii="Times New Roman" w:hAnsi="Times New Roman"/>
                <w:color w:val="auto"/>
                <w:szCs w:val="21"/>
                <w:highlight w:val="none"/>
              </w:rPr>
              <w:t>施工结束后，开挖的土方后期回覆；</w:t>
            </w:r>
            <w:r>
              <w:rPr>
                <w:rFonts w:hint="eastAsia" w:ascii="Times New Roman" w:hAnsi="Times New Roman"/>
                <w:color w:val="auto"/>
                <w:szCs w:val="21"/>
                <w:highlight w:val="none"/>
                <w:lang w:val="en-US" w:eastAsia="zh-CN"/>
              </w:rPr>
              <w:t>钻井泥浆</w:t>
            </w:r>
            <w:r>
              <w:rPr>
                <w:rFonts w:ascii="Times New Roman" w:hAnsi="Times New Roman"/>
                <w:color w:val="auto"/>
                <w:szCs w:val="21"/>
                <w:highlight w:val="none"/>
              </w:rPr>
              <w:t>暂存于废浆干化池中，待钻井结束后投加泥浆固化剂</w:t>
            </w:r>
            <w:r>
              <w:rPr>
                <w:rFonts w:hint="eastAsia" w:ascii="Times New Roman" w:hAnsi="Times New Roman"/>
                <w:color w:val="auto"/>
                <w:szCs w:val="21"/>
                <w:highlight w:val="none"/>
                <w:lang w:eastAsia="zh-CN"/>
              </w:rPr>
              <w:t>固化后作为建筑材料外售</w:t>
            </w:r>
            <w:r>
              <w:rPr>
                <w:rFonts w:ascii="Times New Roman" w:hAnsi="Times New Roman"/>
                <w:color w:val="auto"/>
                <w:szCs w:val="21"/>
                <w:highlight w:val="none"/>
              </w:rPr>
              <w:t>；</w:t>
            </w:r>
            <w:r>
              <w:rPr>
                <w:rFonts w:hint="eastAsia" w:ascii="Times New Roman" w:hAnsi="Times New Roman"/>
                <w:color w:val="auto"/>
                <w:szCs w:val="21"/>
                <w:highlight w:val="none"/>
                <w:lang w:eastAsia="zh-CN"/>
              </w:rPr>
              <w:t>岩芯碎屑</w:t>
            </w:r>
            <w:r>
              <w:rPr>
                <w:rFonts w:hint="eastAsia" w:ascii="Times New Roman" w:hAnsi="Times New Roman"/>
                <w:color w:val="auto"/>
                <w:szCs w:val="21"/>
                <w:highlight w:val="none"/>
                <w:lang w:val="en-US" w:eastAsia="zh-CN"/>
              </w:rPr>
              <w:t>委托建材单位回收处置</w:t>
            </w:r>
            <w:r>
              <w:rPr>
                <w:rFonts w:ascii="Times New Roman" w:hAnsi="Times New Roman"/>
                <w:color w:val="auto"/>
                <w:szCs w:val="21"/>
                <w:highlight w:val="none"/>
              </w:rPr>
              <w:t>；废包装材料集中收集后外售处理。废润滑油、废润滑油桶</w:t>
            </w:r>
            <w:r>
              <w:rPr>
                <w:rFonts w:hint="eastAsia" w:ascii="Times New Roman" w:hAnsi="Times New Roman"/>
                <w:color w:val="auto"/>
                <w:szCs w:val="21"/>
                <w:highlight w:val="none"/>
              </w:rPr>
              <w:t>、</w:t>
            </w:r>
            <w:r>
              <w:rPr>
                <w:rFonts w:ascii="Times New Roman" w:hAnsi="Times New Roman"/>
                <w:color w:val="auto"/>
                <w:szCs w:val="21"/>
                <w:highlight w:val="none"/>
              </w:rPr>
              <w:t>废含油抹布和废含油手套属于危险废物，</w:t>
            </w:r>
            <w:r>
              <w:rPr>
                <w:rFonts w:hint="eastAsia" w:ascii="Times New Roman" w:hAnsi="Times New Roman"/>
                <w:color w:val="auto"/>
                <w:szCs w:val="21"/>
                <w:highlight w:val="none"/>
                <w:lang w:val="en-US" w:eastAsia="zh-CN"/>
              </w:rPr>
              <w:t>暂存于各个井场内</w:t>
            </w:r>
            <w:r>
              <w:rPr>
                <w:rFonts w:hint="eastAsia" w:ascii="Times New Roman" w:hAnsi="Times New Roman"/>
                <w:color w:val="auto"/>
                <w:szCs w:val="21"/>
                <w:highlight w:val="none"/>
              </w:rPr>
              <w:t>危废暂存间，</w:t>
            </w:r>
            <w:r>
              <w:rPr>
                <w:rFonts w:ascii="Times New Roman" w:hAnsi="Times New Roman"/>
                <w:color w:val="auto"/>
                <w:szCs w:val="21"/>
                <w:highlight w:val="none"/>
              </w:rPr>
              <w:t>交由有资质单位处置。生活垃圾委托环卫部门</w:t>
            </w:r>
            <w:r>
              <w:rPr>
                <w:rFonts w:hint="eastAsia" w:ascii="Times New Roman" w:hAnsi="Times New Roman"/>
                <w:color w:val="auto"/>
                <w:szCs w:val="21"/>
                <w:highlight w:val="none"/>
              </w:rPr>
              <w:t>统一清运。</w:t>
            </w:r>
          </w:p>
        </w:tc>
        <w:tc>
          <w:tcPr>
            <w:tcW w:w="1174" w:type="dxa"/>
            <w:noWrap/>
            <w:vAlign w:val="center"/>
          </w:tcPr>
          <w:p w14:paraId="73EEBFC8">
            <w:pPr>
              <w:jc w:val="center"/>
              <w:rPr>
                <w:rFonts w:ascii="Times New Roman" w:hAnsi="Times New Roman"/>
                <w:color w:val="auto"/>
                <w:szCs w:val="21"/>
                <w:highlight w:val="none"/>
              </w:rPr>
            </w:pPr>
            <w:r>
              <w:rPr>
                <w:rFonts w:ascii="Times New Roman" w:hAnsi="Times New Roman"/>
                <w:color w:val="auto"/>
                <w:szCs w:val="21"/>
                <w:highlight w:val="none"/>
              </w:rPr>
              <w:t>处置率100%，符合环境卫生及环境保护管理要求</w:t>
            </w:r>
          </w:p>
        </w:tc>
        <w:tc>
          <w:tcPr>
            <w:tcW w:w="852" w:type="dxa"/>
            <w:noWrap/>
            <w:vAlign w:val="center"/>
          </w:tcPr>
          <w:p w14:paraId="45B905B6">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1E009ADB">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71E09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3" w:type="dxa"/>
            <w:noWrap/>
            <w:vAlign w:val="center"/>
          </w:tcPr>
          <w:p w14:paraId="10E7CB9C">
            <w:pPr>
              <w:jc w:val="center"/>
              <w:rPr>
                <w:rFonts w:ascii="Times New Roman" w:hAnsi="Times New Roman"/>
                <w:color w:val="auto"/>
                <w:szCs w:val="21"/>
                <w:highlight w:val="none"/>
              </w:rPr>
            </w:pPr>
            <w:r>
              <w:rPr>
                <w:rFonts w:ascii="Times New Roman" w:hAnsi="Times New Roman"/>
                <w:color w:val="auto"/>
                <w:szCs w:val="21"/>
                <w:highlight w:val="none"/>
              </w:rPr>
              <w:t>电磁环境</w:t>
            </w:r>
          </w:p>
        </w:tc>
        <w:tc>
          <w:tcPr>
            <w:tcW w:w="4496" w:type="dxa"/>
            <w:gridSpan w:val="2"/>
            <w:noWrap/>
            <w:vAlign w:val="center"/>
          </w:tcPr>
          <w:p w14:paraId="532D7D3A">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74" w:type="dxa"/>
            <w:noWrap/>
            <w:vAlign w:val="center"/>
          </w:tcPr>
          <w:p w14:paraId="18AF45AC">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852" w:type="dxa"/>
            <w:noWrap/>
            <w:vAlign w:val="center"/>
          </w:tcPr>
          <w:p w14:paraId="50024928">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05669B3C">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6205A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0EE86F7C">
            <w:pPr>
              <w:jc w:val="center"/>
              <w:rPr>
                <w:rFonts w:ascii="Times New Roman" w:hAnsi="Times New Roman"/>
                <w:color w:val="auto"/>
                <w:szCs w:val="21"/>
                <w:highlight w:val="none"/>
              </w:rPr>
            </w:pPr>
            <w:r>
              <w:rPr>
                <w:rFonts w:ascii="Times New Roman" w:hAnsi="Times New Roman"/>
                <w:color w:val="auto"/>
                <w:szCs w:val="21"/>
                <w:highlight w:val="none"/>
              </w:rPr>
              <w:t>环境风险</w:t>
            </w:r>
          </w:p>
        </w:tc>
        <w:tc>
          <w:tcPr>
            <w:tcW w:w="4496" w:type="dxa"/>
            <w:gridSpan w:val="2"/>
            <w:noWrap/>
            <w:vAlign w:val="center"/>
          </w:tcPr>
          <w:p w14:paraId="55453EC1">
            <w:pPr>
              <w:jc w:val="center"/>
              <w:rPr>
                <w:rFonts w:ascii="Times New Roman" w:hAnsi="Times New Roman"/>
                <w:color w:val="auto"/>
                <w:szCs w:val="21"/>
                <w:highlight w:val="none"/>
              </w:rPr>
            </w:pPr>
            <w:r>
              <w:rPr>
                <w:rFonts w:ascii="Times New Roman" w:hAnsi="Times New Roman"/>
                <w:color w:val="auto"/>
                <w:szCs w:val="21"/>
                <w:highlight w:val="none"/>
              </w:rPr>
              <w:t>防止泥浆水外溢，设置必要的护坡等，加强巡视、检查和日常宣传</w:t>
            </w:r>
          </w:p>
        </w:tc>
        <w:tc>
          <w:tcPr>
            <w:tcW w:w="1174" w:type="dxa"/>
            <w:noWrap/>
            <w:vAlign w:val="center"/>
          </w:tcPr>
          <w:p w14:paraId="0D36CD40">
            <w:pPr>
              <w:jc w:val="center"/>
              <w:rPr>
                <w:rFonts w:ascii="Times New Roman" w:hAnsi="Times New Roman"/>
                <w:color w:val="auto"/>
                <w:szCs w:val="21"/>
                <w:highlight w:val="none"/>
              </w:rPr>
            </w:pPr>
            <w:r>
              <w:rPr>
                <w:rFonts w:ascii="Times New Roman" w:hAnsi="Times New Roman"/>
                <w:color w:val="auto"/>
                <w:szCs w:val="21"/>
                <w:highlight w:val="none"/>
              </w:rPr>
              <w:t>不发生环境风险事故</w:t>
            </w:r>
          </w:p>
        </w:tc>
        <w:tc>
          <w:tcPr>
            <w:tcW w:w="852" w:type="dxa"/>
            <w:noWrap/>
            <w:vAlign w:val="center"/>
          </w:tcPr>
          <w:p w14:paraId="60DAC695">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7C859374">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41D6A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ign w:val="center"/>
          </w:tcPr>
          <w:p w14:paraId="61E66138">
            <w:pPr>
              <w:jc w:val="center"/>
              <w:rPr>
                <w:rFonts w:ascii="Times New Roman" w:hAnsi="Times New Roman"/>
                <w:color w:val="auto"/>
                <w:szCs w:val="21"/>
                <w:highlight w:val="none"/>
              </w:rPr>
            </w:pPr>
            <w:r>
              <w:rPr>
                <w:rFonts w:ascii="Times New Roman" w:hAnsi="Times New Roman"/>
                <w:color w:val="auto"/>
                <w:szCs w:val="21"/>
                <w:highlight w:val="none"/>
              </w:rPr>
              <w:t>环境监测</w:t>
            </w:r>
          </w:p>
        </w:tc>
        <w:tc>
          <w:tcPr>
            <w:tcW w:w="4496" w:type="dxa"/>
            <w:gridSpan w:val="2"/>
            <w:noWrap/>
            <w:vAlign w:val="center"/>
          </w:tcPr>
          <w:p w14:paraId="17F80F3D">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p>
        </w:tc>
        <w:tc>
          <w:tcPr>
            <w:tcW w:w="1174" w:type="dxa"/>
            <w:noWrap/>
            <w:vAlign w:val="center"/>
          </w:tcPr>
          <w:p w14:paraId="72F72FEC">
            <w:pPr>
              <w:jc w:val="center"/>
              <w:rPr>
                <w:rFonts w:hint="eastAsia" w:ascii="Times New Roman" w:hAnsi="Times New Roman" w:eastAsia="宋体"/>
                <w:color w:val="auto"/>
                <w:szCs w:val="21"/>
                <w:highlight w:val="none"/>
                <w:lang w:eastAsia="zh-CN"/>
              </w:rPr>
            </w:pPr>
            <w:r>
              <w:rPr>
                <w:rFonts w:hint="eastAsia" w:ascii="Times New Roman" w:hAnsi="Times New Roman"/>
                <w:color w:val="auto"/>
                <w:highlight w:val="none"/>
                <w:lang w:val="en-US" w:eastAsia="zh-CN"/>
              </w:rPr>
              <w:t>/</w:t>
            </w:r>
          </w:p>
        </w:tc>
        <w:tc>
          <w:tcPr>
            <w:tcW w:w="852" w:type="dxa"/>
            <w:noWrap/>
            <w:vAlign w:val="center"/>
          </w:tcPr>
          <w:p w14:paraId="051794D7">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22D4E3D1">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0039F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43" w:type="dxa"/>
            <w:noWrap/>
            <w:vAlign w:val="center"/>
          </w:tcPr>
          <w:p w14:paraId="37429E01">
            <w:pPr>
              <w:jc w:val="center"/>
              <w:rPr>
                <w:rFonts w:ascii="Times New Roman" w:hAnsi="Times New Roman"/>
                <w:color w:val="auto"/>
                <w:szCs w:val="21"/>
                <w:highlight w:val="none"/>
              </w:rPr>
            </w:pPr>
            <w:r>
              <w:rPr>
                <w:rFonts w:ascii="Times New Roman" w:hAnsi="Times New Roman"/>
                <w:color w:val="auto"/>
                <w:szCs w:val="21"/>
                <w:highlight w:val="none"/>
              </w:rPr>
              <w:t>其他</w:t>
            </w:r>
          </w:p>
        </w:tc>
        <w:tc>
          <w:tcPr>
            <w:tcW w:w="4496" w:type="dxa"/>
            <w:gridSpan w:val="2"/>
            <w:noWrap/>
            <w:vAlign w:val="center"/>
          </w:tcPr>
          <w:p w14:paraId="71395742">
            <w:pPr>
              <w:jc w:val="center"/>
              <w:rPr>
                <w:rFonts w:ascii="Times New Roman" w:hAnsi="Times New Roman"/>
                <w:color w:val="auto"/>
                <w:szCs w:val="21"/>
                <w:highlight w:val="none"/>
              </w:rPr>
            </w:pPr>
            <w:r>
              <w:rPr>
                <w:rFonts w:ascii="Times New Roman" w:hAnsi="Times New Roman"/>
                <w:color w:val="auto"/>
                <w:szCs w:val="21"/>
                <w:highlight w:val="none"/>
              </w:rPr>
              <w:t>设专人负责监督施工单位在施工过程中的环境保护工作，同时监督施工单位落实环境保护措施</w:t>
            </w:r>
          </w:p>
        </w:tc>
        <w:tc>
          <w:tcPr>
            <w:tcW w:w="1174" w:type="dxa"/>
            <w:noWrap/>
            <w:vAlign w:val="center"/>
          </w:tcPr>
          <w:p w14:paraId="197E3FA5">
            <w:pPr>
              <w:jc w:val="center"/>
              <w:rPr>
                <w:rFonts w:ascii="Times New Roman" w:hAnsi="Times New Roman"/>
                <w:color w:val="auto"/>
                <w:szCs w:val="21"/>
                <w:highlight w:val="none"/>
              </w:rPr>
            </w:pPr>
            <w:r>
              <w:rPr>
                <w:rFonts w:ascii="Times New Roman" w:hAnsi="Times New Roman"/>
                <w:color w:val="auto"/>
                <w:szCs w:val="21"/>
                <w:highlight w:val="none"/>
              </w:rPr>
              <w:t>监理日志存档可查</w:t>
            </w:r>
          </w:p>
        </w:tc>
        <w:tc>
          <w:tcPr>
            <w:tcW w:w="852" w:type="dxa"/>
            <w:noWrap/>
            <w:vAlign w:val="center"/>
          </w:tcPr>
          <w:p w14:paraId="5D5AFE02">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757" w:type="dxa"/>
            <w:noWrap/>
            <w:vAlign w:val="center"/>
          </w:tcPr>
          <w:p w14:paraId="6CC7FF88">
            <w:pPr>
              <w:jc w:val="center"/>
              <w:rPr>
                <w:rFonts w:ascii="Times New Roman" w:hAnsi="Times New Roman"/>
                <w:color w:val="auto"/>
                <w:szCs w:val="21"/>
                <w:highlight w:val="none"/>
              </w:rPr>
            </w:pPr>
            <w:r>
              <w:rPr>
                <w:rFonts w:ascii="Times New Roman" w:hAnsi="Times New Roman"/>
                <w:color w:val="auto"/>
                <w:szCs w:val="21"/>
                <w:highlight w:val="none"/>
              </w:rPr>
              <w:t>/</w:t>
            </w:r>
          </w:p>
        </w:tc>
      </w:tr>
    </w:tbl>
    <w:p w14:paraId="43EDFA8A">
      <w:pPr>
        <w:rPr>
          <w:color w:val="auto"/>
          <w:highlight w:val="none"/>
        </w:rPr>
      </w:pPr>
    </w:p>
    <w:p w14:paraId="4FEB77EC">
      <w:pPr>
        <w:rPr>
          <w:color w:val="auto"/>
        </w:rPr>
      </w:pPr>
      <w:r>
        <w:rPr>
          <w:color w:val="auto"/>
          <w:highlight w:val="none"/>
        </w:rPr>
        <w:br w:type="page"/>
      </w:r>
    </w:p>
    <w:p w14:paraId="6D58E1DE">
      <w:pPr>
        <w:pStyle w:val="21"/>
        <w:spacing w:beforeLines="80" w:beforeAutospacing="0"/>
        <w:jc w:val="center"/>
        <w:outlineLvl w:val="0"/>
        <w:rPr>
          <w:rFonts w:ascii="Times New Roman" w:hAnsi="Times New Roman" w:eastAsia="黑体"/>
          <w:snapToGrid w:val="0"/>
          <w:color w:val="auto"/>
          <w:sz w:val="30"/>
          <w:szCs w:val="30"/>
        </w:rPr>
      </w:pPr>
      <w:bookmarkStart w:id="18" w:name="_Toc15634"/>
      <w:r>
        <w:rPr>
          <w:rFonts w:ascii="Times New Roman" w:hAnsi="Times New Roman" w:eastAsia="黑体"/>
          <w:snapToGrid w:val="0"/>
          <w:color w:val="auto"/>
          <w:sz w:val="30"/>
          <w:szCs w:val="30"/>
        </w:rPr>
        <w:t>七、结论</w:t>
      </w:r>
      <w:bookmarkEnd w:id="18"/>
    </w:p>
    <w:tbl>
      <w:tblPr>
        <w:tblStyle w:val="2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14"/>
      </w:tblGrid>
      <w:tr w14:paraId="26490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trPr>
        <w:tc>
          <w:tcPr>
            <w:tcW w:w="8714" w:type="dxa"/>
            <w:noWrap/>
          </w:tcPr>
          <w:p w14:paraId="3BE8E881">
            <w:pPr>
              <w:spacing w:line="360" w:lineRule="auto"/>
              <w:ind w:firstLine="482"/>
              <w:rPr>
                <w:rFonts w:ascii="Times New Roman" w:hAnsi="Times New Roman"/>
                <w:color w:val="auto"/>
                <w:szCs w:val="21"/>
              </w:rPr>
            </w:pPr>
            <w:r>
              <w:rPr>
                <w:rFonts w:ascii="Times New Roman" w:hAnsi="Times New Roman"/>
                <w:b w:val="0"/>
                <w:bCs w:val="0"/>
                <w:color w:val="auto"/>
                <w:sz w:val="24"/>
              </w:rPr>
              <w:t>综上所述，中安联合煤化有限责任公司</w:t>
            </w:r>
            <w:r>
              <w:rPr>
                <w:rFonts w:hint="eastAsia" w:ascii="Times New Roman" w:hAnsi="Times New Roman"/>
                <w:b w:val="0"/>
                <w:bCs w:val="0"/>
                <w:color w:val="auto"/>
                <w:sz w:val="24"/>
                <w:lang w:eastAsia="zh-CN"/>
              </w:rPr>
              <w:t>“朱集西矿地面补勘钻孔及奥灰长观孔项目”</w:t>
            </w:r>
            <w:r>
              <w:rPr>
                <w:rFonts w:ascii="Times New Roman" w:hAnsi="Times New Roman"/>
                <w:b w:val="0"/>
                <w:bCs w:val="0"/>
                <w:color w:val="auto"/>
                <w:sz w:val="24"/>
              </w:rPr>
              <w:t>项目建设符合相关产业政策的要求，选址符合相关规划要求，选址合理，采取的各项污染防治措施可行，能够实现达标排放和总量控制要求，对环境影响较小。只要认真落实报告表提出的各项污染防治措施，从环保角度来看，该项目建设是可行的。</w:t>
            </w:r>
          </w:p>
        </w:tc>
      </w:tr>
    </w:tbl>
    <w:p w14:paraId="31B5C7C9">
      <w:pPr>
        <w:rPr>
          <w:color w:val="auto"/>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43"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Microsoft Uighur">
    <w:panose1 w:val="02000000000000000000"/>
    <w:charset w:val="00"/>
    <w:family w:val="auto"/>
    <w:pitch w:val="default"/>
    <w:sig w:usb0="80002023" w:usb1="80000002" w:usb2="00000008" w:usb3="00000000" w:csb0="0000004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AF4C7">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57F0">
    <w:pPr>
      <w:pStyle w:val="16"/>
      <w:framePr w:wrap="around" w:vAnchor="text" w:hAnchor="margin" w:xAlign="outside" w:y="1"/>
      <w:rPr>
        <w:rStyle w:val="26"/>
      </w:rPr>
    </w:pPr>
    <w:r>
      <w:fldChar w:fldCharType="begin"/>
    </w:r>
    <w:r>
      <w:rPr>
        <w:rStyle w:val="26"/>
      </w:rPr>
      <w:instrText xml:space="preserve">PAGE  </w:instrText>
    </w:r>
    <w:r>
      <w:fldChar w:fldCharType="end"/>
    </w:r>
  </w:p>
  <w:p w14:paraId="04BBD4A6">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BAA03">
    <w:pPr>
      <w:pStyle w:val="16"/>
      <w:snapToGrid/>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534EE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2D534EE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B6817"/>
    <w:multiLevelType w:val="singleLevel"/>
    <w:tmpl w:val="A97B6817"/>
    <w:lvl w:ilvl="0" w:tentative="0">
      <w:start w:val="2"/>
      <w:numFmt w:val="decimal"/>
      <w:suff w:val="nothing"/>
      <w:lvlText w:val="（%1）"/>
      <w:lvlJc w:val="left"/>
    </w:lvl>
  </w:abstractNum>
  <w:abstractNum w:abstractNumId="1">
    <w:nsid w:val="CD2B83F4"/>
    <w:multiLevelType w:val="singleLevel"/>
    <w:tmpl w:val="CD2B83F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F1F7D"/>
    <w:rsid w:val="00172A27"/>
    <w:rsid w:val="00180F87"/>
    <w:rsid w:val="001A64C4"/>
    <w:rsid w:val="006360BD"/>
    <w:rsid w:val="007064C2"/>
    <w:rsid w:val="007C3004"/>
    <w:rsid w:val="00A649F8"/>
    <w:rsid w:val="00AB12B9"/>
    <w:rsid w:val="00C123A1"/>
    <w:rsid w:val="00C8764B"/>
    <w:rsid w:val="00F211EF"/>
    <w:rsid w:val="010549E3"/>
    <w:rsid w:val="010A6538"/>
    <w:rsid w:val="013C10B4"/>
    <w:rsid w:val="01814321"/>
    <w:rsid w:val="01A670F9"/>
    <w:rsid w:val="01DD1E9F"/>
    <w:rsid w:val="01E94899"/>
    <w:rsid w:val="0200793B"/>
    <w:rsid w:val="02274E0E"/>
    <w:rsid w:val="025B0D98"/>
    <w:rsid w:val="02CD4C78"/>
    <w:rsid w:val="03247659"/>
    <w:rsid w:val="039622F6"/>
    <w:rsid w:val="03B44E81"/>
    <w:rsid w:val="03E868D9"/>
    <w:rsid w:val="044C6E68"/>
    <w:rsid w:val="045320D8"/>
    <w:rsid w:val="049C0645"/>
    <w:rsid w:val="04CA4DE0"/>
    <w:rsid w:val="04F95F66"/>
    <w:rsid w:val="05137986"/>
    <w:rsid w:val="05185E57"/>
    <w:rsid w:val="051F1C74"/>
    <w:rsid w:val="0523148E"/>
    <w:rsid w:val="052D4EEB"/>
    <w:rsid w:val="053E7D66"/>
    <w:rsid w:val="05615F60"/>
    <w:rsid w:val="056D353A"/>
    <w:rsid w:val="056F1060"/>
    <w:rsid w:val="05777F14"/>
    <w:rsid w:val="05DE1C0A"/>
    <w:rsid w:val="05EC0669"/>
    <w:rsid w:val="062818A1"/>
    <w:rsid w:val="065A1D10"/>
    <w:rsid w:val="067803E8"/>
    <w:rsid w:val="06DC4464"/>
    <w:rsid w:val="07047ECE"/>
    <w:rsid w:val="07140111"/>
    <w:rsid w:val="071579E5"/>
    <w:rsid w:val="075A189C"/>
    <w:rsid w:val="07630750"/>
    <w:rsid w:val="07A31BFC"/>
    <w:rsid w:val="07B706FD"/>
    <w:rsid w:val="07C03DF5"/>
    <w:rsid w:val="07C05BA3"/>
    <w:rsid w:val="07DB21CB"/>
    <w:rsid w:val="07EA0E72"/>
    <w:rsid w:val="07FB495C"/>
    <w:rsid w:val="080F49BC"/>
    <w:rsid w:val="081F44B1"/>
    <w:rsid w:val="082D4AC6"/>
    <w:rsid w:val="08591B53"/>
    <w:rsid w:val="08687FE8"/>
    <w:rsid w:val="08A96637"/>
    <w:rsid w:val="08D35DAA"/>
    <w:rsid w:val="08DF3B87"/>
    <w:rsid w:val="08E51639"/>
    <w:rsid w:val="092D54BA"/>
    <w:rsid w:val="09320D22"/>
    <w:rsid w:val="09322AD0"/>
    <w:rsid w:val="094F45AF"/>
    <w:rsid w:val="095A3DD5"/>
    <w:rsid w:val="095C6431"/>
    <w:rsid w:val="097843D0"/>
    <w:rsid w:val="09815806"/>
    <w:rsid w:val="09952748"/>
    <w:rsid w:val="09AB4631"/>
    <w:rsid w:val="09D27E0F"/>
    <w:rsid w:val="09FC4E8C"/>
    <w:rsid w:val="0A2C39C3"/>
    <w:rsid w:val="0A2E773B"/>
    <w:rsid w:val="0A2F0DBE"/>
    <w:rsid w:val="0A395E45"/>
    <w:rsid w:val="0A493141"/>
    <w:rsid w:val="0ABA06D3"/>
    <w:rsid w:val="0B186F16"/>
    <w:rsid w:val="0B1D50BA"/>
    <w:rsid w:val="0B8F7F7B"/>
    <w:rsid w:val="0BA53A2D"/>
    <w:rsid w:val="0BA8707A"/>
    <w:rsid w:val="0BD75BB1"/>
    <w:rsid w:val="0BF73B5D"/>
    <w:rsid w:val="0C992E66"/>
    <w:rsid w:val="0C9F66CF"/>
    <w:rsid w:val="0CCA7B3D"/>
    <w:rsid w:val="0CDD2D53"/>
    <w:rsid w:val="0D573E51"/>
    <w:rsid w:val="0D755681"/>
    <w:rsid w:val="0D99471A"/>
    <w:rsid w:val="0DE2712C"/>
    <w:rsid w:val="0DFF4482"/>
    <w:rsid w:val="0E15651D"/>
    <w:rsid w:val="0E434AF6"/>
    <w:rsid w:val="0E910299"/>
    <w:rsid w:val="0EFC66A9"/>
    <w:rsid w:val="0F152C78"/>
    <w:rsid w:val="0F4A19C8"/>
    <w:rsid w:val="0F842885"/>
    <w:rsid w:val="0FFC59B8"/>
    <w:rsid w:val="10036F74"/>
    <w:rsid w:val="100D48FD"/>
    <w:rsid w:val="10134CDE"/>
    <w:rsid w:val="10207B26"/>
    <w:rsid w:val="102F0663"/>
    <w:rsid w:val="10622309"/>
    <w:rsid w:val="106C2D6C"/>
    <w:rsid w:val="107210F8"/>
    <w:rsid w:val="10961B97"/>
    <w:rsid w:val="10EA1EE2"/>
    <w:rsid w:val="10EC7A09"/>
    <w:rsid w:val="114F1D45"/>
    <w:rsid w:val="119711DD"/>
    <w:rsid w:val="11B5604C"/>
    <w:rsid w:val="11DB78AF"/>
    <w:rsid w:val="121D1E44"/>
    <w:rsid w:val="12413D84"/>
    <w:rsid w:val="12437AFC"/>
    <w:rsid w:val="12491843"/>
    <w:rsid w:val="126B3818"/>
    <w:rsid w:val="1272218F"/>
    <w:rsid w:val="12B409FA"/>
    <w:rsid w:val="12C97D02"/>
    <w:rsid w:val="12ED1816"/>
    <w:rsid w:val="130F79DE"/>
    <w:rsid w:val="13385FB9"/>
    <w:rsid w:val="13417BE6"/>
    <w:rsid w:val="13871C6A"/>
    <w:rsid w:val="13AA4928"/>
    <w:rsid w:val="14076907"/>
    <w:rsid w:val="148A7C64"/>
    <w:rsid w:val="14AB3737"/>
    <w:rsid w:val="14DD70DD"/>
    <w:rsid w:val="14F11A91"/>
    <w:rsid w:val="15270331"/>
    <w:rsid w:val="15347BD0"/>
    <w:rsid w:val="1544009F"/>
    <w:rsid w:val="1550037A"/>
    <w:rsid w:val="15553262"/>
    <w:rsid w:val="156404B5"/>
    <w:rsid w:val="15D55C6E"/>
    <w:rsid w:val="15EC4007"/>
    <w:rsid w:val="16D43419"/>
    <w:rsid w:val="16DC407B"/>
    <w:rsid w:val="16F413C5"/>
    <w:rsid w:val="16FB7157"/>
    <w:rsid w:val="170A508C"/>
    <w:rsid w:val="172D0D7B"/>
    <w:rsid w:val="174F11DA"/>
    <w:rsid w:val="175D340E"/>
    <w:rsid w:val="17C03A07"/>
    <w:rsid w:val="17D42FA4"/>
    <w:rsid w:val="17EB6A4A"/>
    <w:rsid w:val="181D0DEF"/>
    <w:rsid w:val="18440CC8"/>
    <w:rsid w:val="184A3267"/>
    <w:rsid w:val="185D2255"/>
    <w:rsid w:val="18736C61"/>
    <w:rsid w:val="187A1186"/>
    <w:rsid w:val="18950986"/>
    <w:rsid w:val="18A57128"/>
    <w:rsid w:val="18C33745"/>
    <w:rsid w:val="18CD7FBE"/>
    <w:rsid w:val="190C3911"/>
    <w:rsid w:val="19257F5C"/>
    <w:rsid w:val="1937768B"/>
    <w:rsid w:val="195B1BCF"/>
    <w:rsid w:val="19801C0C"/>
    <w:rsid w:val="199155F1"/>
    <w:rsid w:val="19E33973"/>
    <w:rsid w:val="1A0A5C1B"/>
    <w:rsid w:val="1A0D2AA2"/>
    <w:rsid w:val="1A7871D0"/>
    <w:rsid w:val="1AA2738A"/>
    <w:rsid w:val="1AE17EB2"/>
    <w:rsid w:val="1AE300CE"/>
    <w:rsid w:val="1B11796B"/>
    <w:rsid w:val="1B356450"/>
    <w:rsid w:val="1B397CEE"/>
    <w:rsid w:val="1B726CF2"/>
    <w:rsid w:val="1B7C5E2D"/>
    <w:rsid w:val="1B8258B9"/>
    <w:rsid w:val="1B851185"/>
    <w:rsid w:val="1B8B5F08"/>
    <w:rsid w:val="1B8D0F31"/>
    <w:rsid w:val="1BD96DDB"/>
    <w:rsid w:val="1BF41E67"/>
    <w:rsid w:val="1BF63E31"/>
    <w:rsid w:val="1BF754B3"/>
    <w:rsid w:val="1BFF6E65"/>
    <w:rsid w:val="1C1222ED"/>
    <w:rsid w:val="1C3D736A"/>
    <w:rsid w:val="1C623275"/>
    <w:rsid w:val="1C627E7C"/>
    <w:rsid w:val="1C7C08C0"/>
    <w:rsid w:val="1C7F15B3"/>
    <w:rsid w:val="1C8562A3"/>
    <w:rsid w:val="1CC00103"/>
    <w:rsid w:val="1CD75A11"/>
    <w:rsid w:val="1CDF3866"/>
    <w:rsid w:val="1D0D31E0"/>
    <w:rsid w:val="1D3A6632"/>
    <w:rsid w:val="1D6A5EFB"/>
    <w:rsid w:val="1D923082"/>
    <w:rsid w:val="1E004AF3"/>
    <w:rsid w:val="1E01086B"/>
    <w:rsid w:val="1E0C793C"/>
    <w:rsid w:val="1E1D46AD"/>
    <w:rsid w:val="1E2A1B70"/>
    <w:rsid w:val="1E366767"/>
    <w:rsid w:val="1E442276"/>
    <w:rsid w:val="1E5E59AA"/>
    <w:rsid w:val="1E6E1383"/>
    <w:rsid w:val="1E832EA2"/>
    <w:rsid w:val="1ED0096A"/>
    <w:rsid w:val="1EE53CE9"/>
    <w:rsid w:val="1F3A3213"/>
    <w:rsid w:val="1F501AAA"/>
    <w:rsid w:val="1F664E2A"/>
    <w:rsid w:val="1F824712"/>
    <w:rsid w:val="1F867A4D"/>
    <w:rsid w:val="1FBB33C8"/>
    <w:rsid w:val="20020FF7"/>
    <w:rsid w:val="2007660D"/>
    <w:rsid w:val="203D202F"/>
    <w:rsid w:val="20831A0C"/>
    <w:rsid w:val="20C73087"/>
    <w:rsid w:val="20CC01D5"/>
    <w:rsid w:val="219739C1"/>
    <w:rsid w:val="21CB5418"/>
    <w:rsid w:val="21D50045"/>
    <w:rsid w:val="220F79FB"/>
    <w:rsid w:val="2216599E"/>
    <w:rsid w:val="22194776"/>
    <w:rsid w:val="223A6964"/>
    <w:rsid w:val="22A31981"/>
    <w:rsid w:val="22D332EF"/>
    <w:rsid w:val="22EC1AEA"/>
    <w:rsid w:val="237815D0"/>
    <w:rsid w:val="23927CFF"/>
    <w:rsid w:val="23D134DD"/>
    <w:rsid w:val="23EB7FF4"/>
    <w:rsid w:val="24104F87"/>
    <w:rsid w:val="242A0B1C"/>
    <w:rsid w:val="242B6642"/>
    <w:rsid w:val="24412260"/>
    <w:rsid w:val="24661428"/>
    <w:rsid w:val="246A716A"/>
    <w:rsid w:val="249E0BC2"/>
    <w:rsid w:val="249F044E"/>
    <w:rsid w:val="24BE3012"/>
    <w:rsid w:val="250849CF"/>
    <w:rsid w:val="25096983"/>
    <w:rsid w:val="250A44A9"/>
    <w:rsid w:val="250E4686"/>
    <w:rsid w:val="252D58FD"/>
    <w:rsid w:val="259118C9"/>
    <w:rsid w:val="259D70CC"/>
    <w:rsid w:val="25E1345C"/>
    <w:rsid w:val="261F21D6"/>
    <w:rsid w:val="2641214D"/>
    <w:rsid w:val="268A3AF4"/>
    <w:rsid w:val="26B50445"/>
    <w:rsid w:val="26C223CD"/>
    <w:rsid w:val="271B474C"/>
    <w:rsid w:val="272E0923"/>
    <w:rsid w:val="2762237B"/>
    <w:rsid w:val="2769195B"/>
    <w:rsid w:val="27A961FC"/>
    <w:rsid w:val="27B0758A"/>
    <w:rsid w:val="27C62A56"/>
    <w:rsid w:val="27D235F6"/>
    <w:rsid w:val="27F21AE8"/>
    <w:rsid w:val="27F232D9"/>
    <w:rsid w:val="27F2701C"/>
    <w:rsid w:val="2818512F"/>
    <w:rsid w:val="282C2A86"/>
    <w:rsid w:val="283F26BC"/>
    <w:rsid w:val="284C7148"/>
    <w:rsid w:val="284E28FF"/>
    <w:rsid w:val="28740FEB"/>
    <w:rsid w:val="287A1946"/>
    <w:rsid w:val="289C7B0E"/>
    <w:rsid w:val="28A91BE3"/>
    <w:rsid w:val="29001E4B"/>
    <w:rsid w:val="291B0A33"/>
    <w:rsid w:val="29385A89"/>
    <w:rsid w:val="2951352F"/>
    <w:rsid w:val="29894CB1"/>
    <w:rsid w:val="29A50C45"/>
    <w:rsid w:val="29A73253"/>
    <w:rsid w:val="29A84037"/>
    <w:rsid w:val="29FF0355"/>
    <w:rsid w:val="2A01508C"/>
    <w:rsid w:val="2A2C466D"/>
    <w:rsid w:val="2A500BB0"/>
    <w:rsid w:val="2AC11AAE"/>
    <w:rsid w:val="2ACA0963"/>
    <w:rsid w:val="2AED3710"/>
    <w:rsid w:val="2B162FF4"/>
    <w:rsid w:val="2B6E6B82"/>
    <w:rsid w:val="2B6F6AC9"/>
    <w:rsid w:val="2B8C79C6"/>
    <w:rsid w:val="2BC37160"/>
    <w:rsid w:val="2C3C359D"/>
    <w:rsid w:val="2C526E62"/>
    <w:rsid w:val="2C55559C"/>
    <w:rsid w:val="2C731A45"/>
    <w:rsid w:val="2C813843"/>
    <w:rsid w:val="2C9E6AF0"/>
    <w:rsid w:val="2CBC252D"/>
    <w:rsid w:val="2CE23E3F"/>
    <w:rsid w:val="2CEB299B"/>
    <w:rsid w:val="2CFB0F00"/>
    <w:rsid w:val="2D483DC1"/>
    <w:rsid w:val="2D4B705C"/>
    <w:rsid w:val="2D4D3D4C"/>
    <w:rsid w:val="2DB84824"/>
    <w:rsid w:val="2DBD6B7D"/>
    <w:rsid w:val="2DBF048A"/>
    <w:rsid w:val="2DF755CD"/>
    <w:rsid w:val="2DFA155F"/>
    <w:rsid w:val="2E382087"/>
    <w:rsid w:val="2E786928"/>
    <w:rsid w:val="2E8B326C"/>
    <w:rsid w:val="2E8C4181"/>
    <w:rsid w:val="2E960B5C"/>
    <w:rsid w:val="2E9A4AF0"/>
    <w:rsid w:val="2E9A5E5D"/>
    <w:rsid w:val="2EA62AFB"/>
    <w:rsid w:val="2EAC2895"/>
    <w:rsid w:val="2EC4391B"/>
    <w:rsid w:val="2EF625EF"/>
    <w:rsid w:val="2F146650"/>
    <w:rsid w:val="2F3B3145"/>
    <w:rsid w:val="2F511653"/>
    <w:rsid w:val="2FB35E69"/>
    <w:rsid w:val="2FD44032"/>
    <w:rsid w:val="2FD76F12"/>
    <w:rsid w:val="2FF53CFF"/>
    <w:rsid w:val="30201025"/>
    <w:rsid w:val="305D256A"/>
    <w:rsid w:val="30772A7B"/>
    <w:rsid w:val="30A864F4"/>
    <w:rsid w:val="30AE4CCA"/>
    <w:rsid w:val="30D677E4"/>
    <w:rsid w:val="30D91B27"/>
    <w:rsid w:val="30E25BAB"/>
    <w:rsid w:val="31232B7B"/>
    <w:rsid w:val="31286F6B"/>
    <w:rsid w:val="31333A07"/>
    <w:rsid w:val="31550A3E"/>
    <w:rsid w:val="3163741B"/>
    <w:rsid w:val="316B2774"/>
    <w:rsid w:val="31EF5153"/>
    <w:rsid w:val="3213183E"/>
    <w:rsid w:val="322B533B"/>
    <w:rsid w:val="324803BF"/>
    <w:rsid w:val="32556074"/>
    <w:rsid w:val="325E57DA"/>
    <w:rsid w:val="327F47A1"/>
    <w:rsid w:val="32DF6F75"/>
    <w:rsid w:val="33260700"/>
    <w:rsid w:val="3341378C"/>
    <w:rsid w:val="3344327C"/>
    <w:rsid w:val="33457039"/>
    <w:rsid w:val="3381002D"/>
    <w:rsid w:val="33846DE1"/>
    <w:rsid w:val="339A68C0"/>
    <w:rsid w:val="339C09C3"/>
    <w:rsid w:val="33BF2BC8"/>
    <w:rsid w:val="33F94067"/>
    <w:rsid w:val="33FC5905"/>
    <w:rsid w:val="341E1D1F"/>
    <w:rsid w:val="3435231F"/>
    <w:rsid w:val="34781430"/>
    <w:rsid w:val="34BB756E"/>
    <w:rsid w:val="34C3033B"/>
    <w:rsid w:val="35213875"/>
    <w:rsid w:val="35364753"/>
    <w:rsid w:val="353E4427"/>
    <w:rsid w:val="3578720D"/>
    <w:rsid w:val="3587383A"/>
    <w:rsid w:val="359A3CDC"/>
    <w:rsid w:val="35A4333B"/>
    <w:rsid w:val="35D42696"/>
    <w:rsid w:val="361E7DB5"/>
    <w:rsid w:val="36270A9E"/>
    <w:rsid w:val="362F3D70"/>
    <w:rsid w:val="363B2715"/>
    <w:rsid w:val="367D0F7F"/>
    <w:rsid w:val="368816D2"/>
    <w:rsid w:val="369C2757"/>
    <w:rsid w:val="36BD75CE"/>
    <w:rsid w:val="36DB5CA6"/>
    <w:rsid w:val="36F4363E"/>
    <w:rsid w:val="371145C5"/>
    <w:rsid w:val="37397F6D"/>
    <w:rsid w:val="375F0685"/>
    <w:rsid w:val="37600FC5"/>
    <w:rsid w:val="37C60704"/>
    <w:rsid w:val="37EE05E4"/>
    <w:rsid w:val="37F708BD"/>
    <w:rsid w:val="37F91C84"/>
    <w:rsid w:val="37FB12D6"/>
    <w:rsid w:val="37FD7071"/>
    <w:rsid w:val="37FE1C4C"/>
    <w:rsid w:val="38685317"/>
    <w:rsid w:val="38875917"/>
    <w:rsid w:val="3897735E"/>
    <w:rsid w:val="391C1F89"/>
    <w:rsid w:val="39203309"/>
    <w:rsid w:val="3935166B"/>
    <w:rsid w:val="397F7046"/>
    <w:rsid w:val="39811679"/>
    <w:rsid w:val="39924D42"/>
    <w:rsid w:val="39C742BF"/>
    <w:rsid w:val="3A43603C"/>
    <w:rsid w:val="3A5D2658"/>
    <w:rsid w:val="3A7E6056"/>
    <w:rsid w:val="3A960861"/>
    <w:rsid w:val="3A973B8B"/>
    <w:rsid w:val="3AB26D1E"/>
    <w:rsid w:val="3ABE3914"/>
    <w:rsid w:val="3AC34280"/>
    <w:rsid w:val="3AC52430"/>
    <w:rsid w:val="3ACD5CBF"/>
    <w:rsid w:val="3AE113B1"/>
    <w:rsid w:val="3B163750"/>
    <w:rsid w:val="3B2C2F74"/>
    <w:rsid w:val="3B673FAC"/>
    <w:rsid w:val="3B6F2C9B"/>
    <w:rsid w:val="3B9D1E23"/>
    <w:rsid w:val="3BB53308"/>
    <w:rsid w:val="3BCE7B87"/>
    <w:rsid w:val="3BE64ED1"/>
    <w:rsid w:val="3C0D4B53"/>
    <w:rsid w:val="3C53115E"/>
    <w:rsid w:val="3C7F70D3"/>
    <w:rsid w:val="3CA11D1C"/>
    <w:rsid w:val="3CA42E02"/>
    <w:rsid w:val="3CAF1767"/>
    <w:rsid w:val="3CB26DAC"/>
    <w:rsid w:val="3CED04E1"/>
    <w:rsid w:val="3CF1446D"/>
    <w:rsid w:val="3D07190C"/>
    <w:rsid w:val="3D263EE9"/>
    <w:rsid w:val="3D281B7F"/>
    <w:rsid w:val="3D5B544A"/>
    <w:rsid w:val="3D8F015E"/>
    <w:rsid w:val="3DAE7C70"/>
    <w:rsid w:val="3DB54DD9"/>
    <w:rsid w:val="3DC2604C"/>
    <w:rsid w:val="3DC41242"/>
    <w:rsid w:val="3DC61838"/>
    <w:rsid w:val="3DD31485"/>
    <w:rsid w:val="3DF37D79"/>
    <w:rsid w:val="3E135CE6"/>
    <w:rsid w:val="3E1B5E09"/>
    <w:rsid w:val="3ECA4F52"/>
    <w:rsid w:val="3ECB11C6"/>
    <w:rsid w:val="3ED23E32"/>
    <w:rsid w:val="3F040AF2"/>
    <w:rsid w:val="3F283A52"/>
    <w:rsid w:val="3F9F32B0"/>
    <w:rsid w:val="3FA532F5"/>
    <w:rsid w:val="3FB84DD6"/>
    <w:rsid w:val="3FD339BE"/>
    <w:rsid w:val="3FDF4AF7"/>
    <w:rsid w:val="402D7572"/>
    <w:rsid w:val="40364CA5"/>
    <w:rsid w:val="40464190"/>
    <w:rsid w:val="405A40DF"/>
    <w:rsid w:val="40C1415E"/>
    <w:rsid w:val="40FC2464"/>
    <w:rsid w:val="411E419C"/>
    <w:rsid w:val="415A3828"/>
    <w:rsid w:val="418D13E5"/>
    <w:rsid w:val="41D35EF7"/>
    <w:rsid w:val="41FC0377"/>
    <w:rsid w:val="42666D6B"/>
    <w:rsid w:val="42F80ECE"/>
    <w:rsid w:val="43303A9D"/>
    <w:rsid w:val="436332AB"/>
    <w:rsid w:val="43770B04"/>
    <w:rsid w:val="438B51D4"/>
    <w:rsid w:val="43BF2BD7"/>
    <w:rsid w:val="43C57AC2"/>
    <w:rsid w:val="43CD6976"/>
    <w:rsid w:val="43D77182"/>
    <w:rsid w:val="43FF1225"/>
    <w:rsid w:val="4420062B"/>
    <w:rsid w:val="442272B0"/>
    <w:rsid w:val="44450930"/>
    <w:rsid w:val="44557097"/>
    <w:rsid w:val="44D6347B"/>
    <w:rsid w:val="450B3BFA"/>
    <w:rsid w:val="454964D0"/>
    <w:rsid w:val="45513D03"/>
    <w:rsid w:val="456F23DB"/>
    <w:rsid w:val="457773CE"/>
    <w:rsid w:val="459D696F"/>
    <w:rsid w:val="45E230E4"/>
    <w:rsid w:val="45E76415"/>
    <w:rsid w:val="45E93C16"/>
    <w:rsid w:val="46207231"/>
    <w:rsid w:val="46587D6C"/>
    <w:rsid w:val="46601D24"/>
    <w:rsid w:val="46D51E1C"/>
    <w:rsid w:val="46ED7A5B"/>
    <w:rsid w:val="46F30DEA"/>
    <w:rsid w:val="47123E9B"/>
    <w:rsid w:val="4723522B"/>
    <w:rsid w:val="474033EB"/>
    <w:rsid w:val="475E2707"/>
    <w:rsid w:val="4762530A"/>
    <w:rsid w:val="47636978"/>
    <w:rsid w:val="47833F1C"/>
    <w:rsid w:val="4799195C"/>
    <w:rsid w:val="479E6FA7"/>
    <w:rsid w:val="47A3011A"/>
    <w:rsid w:val="47A7206B"/>
    <w:rsid w:val="47B83278"/>
    <w:rsid w:val="47B9793D"/>
    <w:rsid w:val="47CE30B0"/>
    <w:rsid w:val="47ED5839"/>
    <w:rsid w:val="47FD5DF2"/>
    <w:rsid w:val="48180B08"/>
    <w:rsid w:val="48205C0E"/>
    <w:rsid w:val="484A4A39"/>
    <w:rsid w:val="487E1A6D"/>
    <w:rsid w:val="489E4A98"/>
    <w:rsid w:val="48D013E2"/>
    <w:rsid w:val="48E42798"/>
    <w:rsid w:val="48E56510"/>
    <w:rsid w:val="490C2C02"/>
    <w:rsid w:val="493A6C69"/>
    <w:rsid w:val="49647D7D"/>
    <w:rsid w:val="498C7B7B"/>
    <w:rsid w:val="49B371DE"/>
    <w:rsid w:val="49C37385"/>
    <w:rsid w:val="49FC2FE4"/>
    <w:rsid w:val="49FD6207"/>
    <w:rsid w:val="4A114D9C"/>
    <w:rsid w:val="4A5C1920"/>
    <w:rsid w:val="4A62606A"/>
    <w:rsid w:val="4A673681"/>
    <w:rsid w:val="4A6F4C2B"/>
    <w:rsid w:val="4A8073FC"/>
    <w:rsid w:val="4A857FAB"/>
    <w:rsid w:val="4ADA2FD2"/>
    <w:rsid w:val="4ADC40E1"/>
    <w:rsid w:val="4AFB026D"/>
    <w:rsid w:val="4B3043BA"/>
    <w:rsid w:val="4B616322"/>
    <w:rsid w:val="4BA65DC5"/>
    <w:rsid w:val="4BBE1169"/>
    <w:rsid w:val="4BFA22D2"/>
    <w:rsid w:val="4C0D2006"/>
    <w:rsid w:val="4C121D12"/>
    <w:rsid w:val="4C5B1A50"/>
    <w:rsid w:val="4C6A7458"/>
    <w:rsid w:val="4C9E3D41"/>
    <w:rsid w:val="4CC335E8"/>
    <w:rsid w:val="4CE54D31"/>
    <w:rsid w:val="4D453A21"/>
    <w:rsid w:val="4D826A23"/>
    <w:rsid w:val="4DE374C2"/>
    <w:rsid w:val="4DE609B2"/>
    <w:rsid w:val="4DF9354F"/>
    <w:rsid w:val="4E163B6E"/>
    <w:rsid w:val="4E197388"/>
    <w:rsid w:val="4E386C87"/>
    <w:rsid w:val="4E3B72FE"/>
    <w:rsid w:val="4E636855"/>
    <w:rsid w:val="4E6A15BF"/>
    <w:rsid w:val="4E83273B"/>
    <w:rsid w:val="4EA56E6D"/>
    <w:rsid w:val="4EE94FAC"/>
    <w:rsid w:val="4F0B3174"/>
    <w:rsid w:val="4F2204BE"/>
    <w:rsid w:val="4F275CED"/>
    <w:rsid w:val="4F32268A"/>
    <w:rsid w:val="4F5435BF"/>
    <w:rsid w:val="4F5F701C"/>
    <w:rsid w:val="4F691C49"/>
    <w:rsid w:val="4F714FA1"/>
    <w:rsid w:val="4F8343BC"/>
    <w:rsid w:val="4FB56C3C"/>
    <w:rsid w:val="4FBA06F6"/>
    <w:rsid w:val="4FBA6948"/>
    <w:rsid w:val="4FC4472B"/>
    <w:rsid w:val="4FC652ED"/>
    <w:rsid w:val="4FFE214A"/>
    <w:rsid w:val="503F5189"/>
    <w:rsid w:val="506F7733"/>
    <w:rsid w:val="507C3BFE"/>
    <w:rsid w:val="509E3B74"/>
    <w:rsid w:val="50C555A5"/>
    <w:rsid w:val="50C77614"/>
    <w:rsid w:val="51357465"/>
    <w:rsid w:val="514069D9"/>
    <w:rsid w:val="51532BB1"/>
    <w:rsid w:val="51CE738D"/>
    <w:rsid w:val="51DF50D1"/>
    <w:rsid w:val="520C2D5F"/>
    <w:rsid w:val="520C4646"/>
    <w:rsid w:val="526B217C"/>
    <w:rsid w:val="527342A0"/>
    <w:rsid w:val="52A64F62"/>
    <w:rsid w:val="52D7511B"/>
    <w:rsid w:val="52F97788"/>
    <w:rsid w:val="533802B0"/>
    <w:rsid w:val="534704F3"/>
    <w:rsid w:val="537F5EDF"/>
    <w:rsid w:val="538E6122"/>
    <w:rsid w:val="539463F2"/>
    <w:rsid w:val="53A854CE"/>
    <w:rsid w:val="53B33222"/>
    <w:rsid w:val="53BD6A07"/>
    <w:rsid w:val="53C51418"/>
    <w:rsid w:val="53C80C03"/>
    <w:rsid w:val="53D51C47"/>
    <w:rsid w:val="543071D9"/>
    <w:rsid w:val="54315818"/>
    <w:rsid w:val="545F7ABE"/>
    <w:rsid w:val="5472334E"/>
    <w:rsid w:val="54A03FFE"/>
    <w:rsid w:val="54B5148C"/>
    <w:rsid w:val="54BC1AD1"/>
    <w:rsid w:val="54D20290"/>
    <w:rsid w:val="550A5C7C"/>
    <w:rsid w:val="55340E5C"/>
    <w:rsid w:val="55344AA7"/>
    <w:rsid w:val="553B5E36"/>
    <w:rsid w:val="555360D3"/>
    <w:rsid w:val="55747599"/>
    <w:rsid w:val="55AF118E"/>
    <w:rsid w:val="55C71477"/>
    <w:rsid w:val="55ED0692"/>
    <w:rsid w:val="55F11B90"/>
    <w:rsid w:val="56496330"/>
    <w:rsid w:val="56521689"/>
    <w:rsid w:val="56C65BD3"/>
    <w:rsid w:val="56E4279D"/>
    <w:rsid w:val="570D735E"/>
    <w:rsid w:val="571C5F7A"/>
    <w:rsid w:val="572A43B4"/>
    <w:rsid w:val="57317798"/>
    <w:rsid w:val="57710EBA"/>
    <w:rsid w:val="577548B2"/>
    <w:rsid w:val="57A001D2"/>
    <w:rsid w:val="57AB2A11"/>
    <w:rsid w:val="57C57C38"/>
    <w:rsid w:val="57D12A81"/>
    <w:rsid w:val="57E83927"/>
    <w:rsid w:val="57F07B81"/>
    <w:rsid w:val="58030761"/>
    <w:rsid w:val="581E77FE"/>
    <w:rsid w:val="58C63C68"/>
    <w:rsid w:val="58CD3249"/>
    <w:rsid w:val="58EF7663"/>
    <w:rsid w:val="59030A18"/>
    <w:rsid w:val="59123351"/>
    <w:rsid w:val="5930373F"/>
    <w:rsid w:val="5963341B"/>
    <w:rsid w:val="597C5CCB"/>
    <w:rsid w:val="598D0C2A"/>
    <w:rsid w:val="59C53F20"/>
    <w:rsid w:val="59CA3C2C"/>
    <w:rsid w:val="5A1E1882"/>
    <w:rsid w:val="5A251F53"/>
    <w:rsid w:val="5A4E03B9"/>
    <w:rsid w:val="5A80766E"/>
    <w:rsid w:val="5AA0749E"/>
    <w:rsid w:val="5AC47BAD"/>
    <w:rsid w:val="5AC90AAA"/>
    <w:rsid w:val="5AD92379"/>
    <w:rsid w:val="5B8C6C7D"/>
    <w:rsid w:val="5BA86D24"/>
    <w:rsid w:val="5BC56459"/>
    <w:rsid w:val="5C164F06"/>
    <w:rsid w:val="5C4604C8"/>
    <w:rsid w:val="5C94679F"/>
    <w:rsid w:val="5C9B41FC"/>
    <w:rsid w:val="5CB6590F"/>
    <w:rsid w:val="5CC74949"/>
    <w:rsid w:val="5D40195D"/>
    <w:rsid w:val="5D587C27"/>
    <w:rsid w:val="5D812854"/>
    <w:rsid w:val="5D964551"/>
    <w:rsid w:val="5D99194B"/>
    <w:rsid w:val="5D9C1821"/>
    <w:rsid w:val="5DD32C89"/>
    <w:rsid w:val="5DEB009B"/>
    <w:rsid w:val="5E392AD0"/>
    <w:rsid w:val="5E3E44B0"/>
    <w:rsid w:val="5EA84FCD"/>
    <w:rsid w:val="5EF534F9"/>
    <w:rsid w:val="5F896A40"/>
    <w:rsid w:val="5F93686E"/>
    <w:rsid w:val="5F97010C"/>
    <w:rsid w:val="5F9A19AB"/>
    <w:rsid w:val="5F9E76ED"/>
    <w:rsid w:val="5FA6034F"/>
    <w:rsid w:val="5FA77C77"/>
    <w:rsid w:val="5FC03B07"/>
    <w:rsid w:val="5FFB4B3F"/>
    <w:rsid w:val="6014175D"/>
    <w:rsid w:val="609028F6"/>
    <w:rsid w:val="60BC66F6"/>
    <w:rsid w:val="6105554A"/>
    <w:rsid w:val="611063C8"/>
    <w:rsid w:val="6151266D"/>
    <w:rsid w:val="61584BF7"/>
    <w:rsid w:val="61753744"/>
    <w:rsid w:val="61A60ADB"/>
    <w:rsid w:val="61B96A60"/>
    <w:rsid w:val="621D6C97"/>
    <w:rsid w:val="62791D4B"/>
    <w:rsid w:val="627B3D15"/>
    <w:rsid w:val="62D17DD9"/>
    <w:rsid w:val="62EF1E1C"/>
    <w:rsid w:val="63123525"/>
    <w:rsid w:val="631A1780"/>
    <w:rsid w:val="632A7CB4"/>
    <w:rsid w:val="632D2C36"/>
    <w:rsid w:val="63E31B72"/>
    <w:rsid w:val="64107EAE"/>
    <w:rsid w:val="641F561C"/>
    <w:rsid w:val="64713622"/>
    <w:rsid w:val="64B17EC2"/>
    <w:rsid w:val="6509385A"/>
    <w:rsid w:val="65371472"/>
    <w:rsid w:val="654725D5"/>
    <w:rsid w:val="65516120"/>
    <w:rsid w:val="65757142"/>
    <w:rsid w:val="6578453C"/>
    <w:rsid w:val="65DD0843"/>
    <w:rsid w:val="65F067C8"/>
    <w:rsid w:val="666F1DE3"/>
    <w:rsid w:val="66BC082E"/>
    <w:rsid w:val="66E2035A"/>
    <w:rsid w:val="66E87218"/>
    <w:rsid w:val="66F35CB5"/>
    <w:rsid w:val="66F745F1"/>
    <w:rsid w:val="6736443F"/>
    <w:rsid w:val="675B2367"/>
    <w:rsid w:val="67753429"/>
    <w:rsid w:val="67760F4F"/>
    <w:rsid w:val="67E20393"/>
    <w:rsid w:val="67F307F2"/>
    <w:rsid w:val="680D3662"/>
    <w:rsid w:val="686139AD"/>
    <w:rsid w:val="6865349E"/>
    <w:rsid w:val="68680898"/>
    <w:rsid w:val="686F7E78"/>
    <w:rsid w:val="68774F7F"/>
    <w:rsid w:val="687C4343"/>
    <w:rsid w:val="689E250C"/>
    <w:rsid w:val="68A45648"/>
    <w:rsid w:val="68C006D4"/>
    <w:rsid w:val="698B1703"/>
    <w:rsid w:val="698C2CAC"/>
    <w:rsid w:val="698F3A71"/>
    <w:rsid w:val="69985062"/>
    <w:rsid w:val="69B603A7"/>
    <w:rsid w:val="69D106BF"/>
    <w:rsid w:val="69D85B86"/>
    <w:rsid w:val="69EA5306"/>
    <w:rsid w:val="6A1B7B8C"/>
    <w:rsid w:val="6A505A87"/>
    <w:rsid w:val="6A615DFE"/>
    <w:rsid w:val="6A8A71EB"/>
    <w:rsid w:val="6AB26742"/>
    <w:rsid w:val="6AE531E9"/>
    <w:rsid w:val="6B0845B4"/>
    <w:rsid w:val="6B2749D6"/>
    <w:rsid w:val="6B2F38EF"/>
    <w:rsid w:val="6B427AC6"/>
    <w:rsid w:val="6B5B0B88"/>
    <w:rsid w:val="6B7C4993"/>
    <w:rsid w:val="6B937C74"/>
    <w:rsid w:val="6B9E0A74"/>
    <w:rsid w:val="6BAF2C82"/>
    <w:rsid w:val="6BCB68C4"/>
    <w:rsid w:val="6C00528B"/>
    <w:rsid w:val="6C2B055A"/>
    <w:rsid w:val="6C5172EB"/>
    <w:rsid w:val="6C5B3CBB"/>
    <w:rsid w:val="6C5B73FB"/>
    <w:rsid w:val="6CB263C9"/>
    <w:rsid w:val="6D2356D5"/>
    <w:rsid w:val="6D374CDD"/>
    <w:rsid w:val="6D376433"/>
    <w:rsid w:val="6E0307C8"/>
    <w:rsid w:val="6E245261"/>
    <w:rsid w:val="6E3A0E77"/>
    <w:rsid w:val="6E481DCD"/>
    <w:rsid w:val="6E731D44"/>
    <w:rsid w:val="6E835323"/>
    <w:rsid w:val="6E9F3C8B"/>
    <w:rsid w:val="6F046E40"/>
    <w:rsid w:val="6F0D03EB"/>
    <w:rsid w:val="6F174DC6"/>
    <w:rsid w:val="6F7E4E45"/>
    <w:rsid w:val="6F977CB5"/>
    <w:rsid w:val="6FCE7B7A"/>
    <w:rsid w:val="6FF139B8"/>
    <w:rsid w:val="6FF653BE"/>
    <w:rsid w:val="70313C65"/>
    <w:rsid w:val="706406DD"/>
    <w:rsid w:val="707A1AB0"/>
    <w:rsid w:val="707F4466"/>
    <w:rsid w:val="70A02B99"/>
    <w:rsid w:val="70F97E5D"/>
    <w:rsid w:val="70FF3D63"/>
    <w:rsid w:val="715776FB"/>
    <w:rsid w:val="715E274E"/>
    <w:rsid w:val="716E7D69"/>
    <w:rsid w:val="71841741"/>
    <w:rsid w:val="718C1A9B"/>
    <w:rsid w:val="71D1444C"/>
    <w:rsid w:val="71EC078C"/>
    <w:rsid w:val="72200435"/>
    <w:rsid w:val="724A54B2"/>
    <w:rsid w:val="727B7697"/>
    <w:rsid w:val="7298210F"/>
    <w:rsid w:val="729F57FE"/>
    <w:rsid w:val="72AA7CFF"/>
    <w:rsid w:val="72AB332E"/>
    <w:rsid w:val="72B82A2F"/>
    <w:rsid w:val="72CB65F3"/>
    <w:rsid w:val="72CE62DB"/>
    <w:rsid w:val="72F521B9"/>
    <w:rsid w:val="733072E3"/>
    <w:rsid w:val="73A11102"/>
    <w:rsid w:val="73B21561"/>
    <w:rsid w:val="73EA3C0A"/>
    <w:rsid w:val="73F25E01"/>
    <w:rsid w:val="73F43927"/>
    <w:rsid w:val="73F82FD0"/>
    <w:rsid w:val="73FC0A2E"/>
    <w:rsid w:val="74177616"/>
    <w:rsid w:val="7443040B"/>
    <w:rsid w:val="74543E56"/>
    <w:rsid w:val="747D1B6F"/>
    <w:rsid w:val="748B3BD7"/>
    <w:rsid w:val="74C36AB8"/>
    <w:rsid w:val="74CC0400"/>
    <w:rsid w:val="75284195"/>
    <w:rsid w:val="753366D1"/>
    <w:rsid w:val="75DD215E"/>
    <w:rsid w:val="75DF2E4D"/>
    <w:rsid w:val="75ED062E"/>
    <w:rsid w:val="760A7432"/>
    <w:rsid w:val="760B6D06"/>
    <w:rsid w:val="76200A04"/>
    <w:rsid w:val="762A6157"/>
    <w:rsid w:val="763B3A90"/>
    <w:rsid w:val="765E777E"/>
    <w:rsid w:val="76857A17"/>
    <w:rsid w:val="76960CC6"/>
    <w:rsid w:val="76984E78"/>
    <w:rsid w:val="76AD665C"/>
    <w:rsid w:val="77387230"/>
    <w:rsid w:val="77453882"/>
    <w:rsid w:val="774D0615"/>
    <w:rsid w:val="77796881"/>
    <w:rsid w:val="777E57F6"/>
    <w:rsid w:val="77882D05"/>
    <w:rsid w:val="77ED3E16"/>
    <w:rsid w:val="77EF4B32"/>
    <w:rsid w:val="78151CD1"/>
    <w:rsid w:val="790E7239"/>
    <w:rsid w:val="792C76C0"/>
    <w:rsid w:val="79955265"/>
    <w:rsid w:val="79C21BAF"/>
    <w:rsid w:val="79DE0E87"/>
    <w:rsid w:val="7A142E56"/>
    <w:rsid w:val="7A2A00A3"/>
    <w:rsid w:val="7A2D1941"/>
    <w:rsid w:val="7A6F5AB6"/>
    <w:rsid w:val="7A7A4B7F"/>
    <w:rsid w:val="7A932850"/>
    <w:rsid w:val="7AA8546C"/>
    <w:rsid w:val="7AAC09E6"/>
    <w:rsid w:val="7AD149C3"/>
    <w:rsid w:val="7AE109F2"/>
    <w:rsid w:val="7AE83ABA"/>
    <w:rsid w:val="7B0F54EB"/>
    <w:rsid w:val="7B172452"/>
    <w:rsid w:val="7B711D02"/>
    <w:rsid w:val="7B780939"/>
    <w:rsid w:val="7B7F7F7B"/>
    <w:rsid w:val="7BCB31C0"/>
    <w:rsid w:val="7BCC6F38"/>
    <w:rsid w:val="7BE129E3"/>
    <w:rsid w:val="7BF42D23"/>
    <w:rsid w:val="7C235250"/>
    <w:rsid w:val="7C7A6994"/>
    <w:rsid w:val="7C8A4E29"/>
    <w:rsid w:val="7CAC1243"/>
    <w:rsid w:val="7CB00608"/>
    <w:rsid w:val="7CBC51FE"/>
    <w:rsid w:val="7CC52305"/>
    <w:rsid w:val="7CFD4B95"/>
    <w:rsid w:val="7D233EA1"/>
    <w:rsid w:val="7D374932"/>
    <w:rsid w:val="7D456FA2"/>
    <w:rsid w:val="7D717D97"/>
    <w:rsid w:val="7D7D04EA"/>
    <w:rsid w:val="7D806106"/>
    <w:rsid w:val="7DBD122E"/>
    <w:rsid w:val="7DD16A88"/>
    <w:rsid w:val="7DE44A0D"/>
    <w:rsid w:val="7DF46DAC"/>
    <w:rsid w:val="7E046E5D"/>
    <w:rsid w:val="7E2D5F39"/>
    <w:rsid w:val="7E462FD2"/>
    <w:rsid w:val="7E786F03"/>
    <w:rsid w:val="7EA83C8C"/>
    <w:rsid w:val="7EE60311"/>
    <w:rsid w:val="7F207CC7"/>
    <w:rsid w:val="7F3D71AE"/>
    <w:rsid w:val="7F7B4EFD"/>
    <w:rsid w:val="7FF07699"/>
    <w:rsid w:val="7FF66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qFormat="1" w:uiPriority="99"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3">
    <w:name w:val="heading 3"/>
    <w:basedOn w:val="1"/>
    <w:next w:val="1"/>
    <w:qFormat/>
    <w:uiPriority w:val="0"/>
    <w:pPr>
      <w:keepNext/>
      <w:keepLines/>
      <w:spacing w:line="416" w:lineRule="auto"/>
      <w:outlineLvl w:val="2"/>
    </w:pPr>
    <w:rPr>
      <w:b/>
      <w:bCs/>
      <w:kern w:val="0"/>
      <w:sz w:val="32"/>
      <w:szCs w:val="32"/>
    </w:rPr>
  </w:style>
  <w:style w:type="paragraph" w:styleId="4">
    <w:name w:val="heading 4"/>
    <w:basedOn w:val="1"/>
    <w:next w:val="1"/>
    <w:qFormat/>
    <w:uiPriority w:val="1"/>
    <w:pPr>
      <w:ind w:left="1068"/>
      <w:outlineLvl w:val="3"/>
    </w:pPr>
    <w:rPr>
      <w:rFonts w:ascii="宋体" w:hAnsi="宋体" w:cs="宋体"/>
      <w:b/>
      <w:bCs/>
      <w:sz w:val="24"/>
      <w:lang w:val="zh-CN" w:bidi="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te Heading"/>
    <w:basedOn w:val="1"/>
    <w:next w:val="1"/>
    <w:unhideWhenUsed/>
    <w:qFormat/>
    <w:uiPriority w:val="0"/>
    <w:pPr>
      <w:jc w:val="center"/>
    </w:pPr>
  </w:style>
  <w:style w:type="paragraph" w:styleId="6">
    <w:name w:val="Normal Indent"/>
    <w:basedOn w:val="1"/>
    <w:qFormat/>
    <w:uiPriority w:val="0"/>
    <w:pPr>
      <w:ind w:firstLine="200" w:firstLineChars="200"/>
    </w:pPr>
    <w:rPr>
      <w:sz w:val="28"/>
    </w:rPr>
  </w:style>
  <w:style w:type="paragraph" w:styleId="7">
    <w:name w:val="caption"/>
    <w:basedOn w:val="1"/>
    <w:next w:val="1"/>
    <w:qFormat/>
    <w:uiPriority w:val="0"/>
    <w:rPr>
      <w:rFonts w:ascii="Cambria" w:hAnsi="Cambria" w:eastAsia="黑体"/>
      <w:sz w:val="20"/>
      <w:szCs w:val="20"/>
    </w:rPr>
  </w:style>
  <w:style w:type="paragraph" w:styleId="8">
    <w:name w:val="annotation text"/>
    <w:basedOn w:val="1"/>
    <w:link w:val="60"/>
    <w:qFormat/>
    <w:uiPriority w:val="99"/>
    <w:pPr>
      <w:jc w:val="left"/>
    </w:pPr>
    <w:rPr>
      <w:rFonts w:ascii="Times New Roman" w:hAnsi="Times New Roman"/>
      <w:kern w:val="0"/>
      <w:sz w:val="24"/>
      <w:szCs w:val="20"/>
    </w:rPr>
  </w:style>
  <w:style w:type="paragraph" w:styleId="9">
    <w:name w:val="Salutation"/>
    <w:basedOn w:val="1"/>
    <w:next w:val="1"/>
    <w:qFormat/>
    <w:uiPriority w:val="0"/>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semiHidden/>
    <w:qFormat/>
    <w:uiPriority w:val="0"/>
    <w:pPr>
      <w:spacing w:after="120"/>
      <w:ind w:left="420" w:leftChars="200"/>
    </w:pPr>
  </w:style>
  <w:style w:type="paragraph" w:styleId="12">
    <w:name w:val="Body Text Indent 2"/>
    <w:basedOn w:val="1"/>
    <w:next w:val="13"/>
    <w:qFormat/>
    <w:uiPriority w:val="0"/>
    <w:pPr>
      <w:spacing w:after="120" w:line="480" w:lineRule="auto"/>
      <w:ind w:left="420" w:leftChars="200"/>
    </w:pPr>
  </w:style>
  <w:style w:type="paragraph" w:styleId="13">
    <w:name w:val="Body Text First Indent 2"/>
    <w:basedOn w:val="11"/>
    <w:next w:val="1"/>
    <w:qFormat/>
    <w:uiPriority w:val="0"/>
    <w:pPr>
      <w:ind w:firstLine="210"/>
    </w:pPr>
    <w:rPr>
      <w:rFonts w:eastAsia="楷体_GB2312"/>
      <w:sz w:val="30"/>
    </w:rPr>
  </w:style>
  <w:style w:type="paragraph" w:styleId="14">
    <w:name w:val="Plain Text"/>
    <w:basedOn w:val="1"/>
    <w:next w:val="9"/>
    <w:qFormat/>
    <w:uiPriority w:val="0"/>
    <w:pPr>
      <w:snapToGrid w:val="0"/>
      <w:spacing w:line="324" w:lineRule="auto"/>
    </w:pPr>
    <w:rPr>
      <w:rFonts w:ascii="宋体" w:hAnsi="Courier New"/>
    </w:rPr>
  </w:style>
  <w:style w:type="paragraph" w:styleId="15">
    <w:name w:val="Balloon Text"/>
    <w:basedOn w:val="1"/>
    <w:link w:val="59"/>
    <w:qFormat/>
    <w:uiPriority w:val="0"/>
    <w:rPr>
      <w:sz w:val="18"/>
      <w:szCs w:val="18"/>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link w:val="58"/>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style>
  <w:style w:type="paragraph" w:styleId="19">
    <w:name w:val="List"/>
    <w:basedOn w:val="1"/>
    <w:qFormat/>
    <w:uiPriority w:val="0"/>
    <w:pPr>
      <w:jc w:val="center"/>
    </w:pPr>
    <w:rPr>
      <w:kern w:val="21"/>
      <w:szCs w:val="22"/>
    </w:rPr>
  </w:style>
  <w:style w:type="paragraph" w:styleId="20">
    <w:name w:val="Body Text 2"/>
    <w:basedOn w:val="1"/>
    <w:semiHidden/>
    <w:unhideWhenUsed/>
    <w:qFormat/>
    <w:uiPriority w:val="99"/>
    <w:pPr>
      <w:spacing w:after="120" w:line="480" w:lineRule="auto"/>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8"/>
    <w:next w:val="8"/>
    <w:link w:val="61"/>
    <w:qFormat/>
    <w:uiPriority w:val="0"/>
    <w:rPr>
      <w:rFonts w:ascii="Calibri" w:hAnsi="Calibri"/>
      <w:b/>
      <w:bCs/>
      <w:kern w:val="2"/>
      <w:sz w:val="21"/>
      <w:szCs w:val="24"/>
    </w:rPr>
  </w:style>
  <w:style w:type="table" w:styleId="24">
    <w:name w:val="Table Grid"/>
    <w:basedOn w:val="23"/>
    <w:qFormat/>
    <w:uiPriority w:val="0"/>
    <w:pPr>
      <w:widowControl w:val="0"/>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annotation reference"/>
    <w:basedOn w:val="25"/>
    <w:semiHidden/>
    <w:qFormat/>
    <w:uiPriority w:val="0"/>
    <w:rPr>
      <w:sz w:val="21"/>
    </w:rPr>
  </w:style>
  <w:style w:type="paragraph" w:customStyle="1" w:styleId="28">
    <w:name w:val="表头"/>
    <w:basedOn w:val="29"/>
    <w:qFormat/>
    <w:uiPriority w:val="99"/>
    <w:pPr>
      <w:spacing w:line="420" w:lineRule="exact"/>
      <w:jc w:val="center"/>
    </w:pPr>
    <w:rPr>
      <w:rFonts w:hAnsi="宋体"/>
      <w:b/>
      <w:color w:val="000000"/>
      <w:position w:val="2"/>
      <w:sz w:val="24"/>
    </w:rPr>
  </w:style>
  <w:style w:type="paragraph" w:customStyle="1" w:styleId="29">
    <w:name w:val="文本"/>
    <w:basedOn w:val="1"/>
    <w:next w:val="1"/>
    <w:qFormat/>
    <w:uiPriority w:val="0"/>
    <w:pPr>
      <w:adjustRightInd w:val="0"/>
      <w:snapToGrid w:val="0"/>
      <w:ind w:firstLine="960"/>
    </w:pPr>
  </w:style>
  <w:style w:type="paragraph" w:customStyle="1" w:styleId="30">
    <w:name w:val="0正文"/>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 w:type="paragraph" w:customStyle="1" w:styleId="31">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2">
    <w:name w:val="表格正文"/>
    <w:basedOn w:val="1"/>
    <w:next w:val="1"/>
    <w:qFormat/>
    <w:uiPriority w:val="0"/>
    <w:pPr>
      <w:spacing w:line="300" w:lineRule="auto"/>
      <w:jc w:val="center"/>
    </w:pPr>
    <w:rPr>
      <w:sz w:val="24"/>
    </w:rPr>
  </w:style>
  <w:style w:type="paragraph" w:customStyle="1" w:styleId="33">
    <w:name w:val="11正文"/>
    <w:qFormat/>
    <w:uiPriority w:val="0"/>
    <w:pPr>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34">
    <w:name w:val="3-四级标题"/>
    <w:basedOn w:val="1"/>
    <w:qFormat/>
    <w:uiPriority w:val="0"/>
    <w:pPr>
      <w:adjustRightInd w:val="0"/>
      <w:snapToGrid w:val="0"/>
      <w:spacing w:line="360" w:lineRule="auto"/>
      <w:ind w:firstLine="200" w:firstLineChars="200"/>
      <w:outlineLvl w:val="3"/>
    </w:pPr>
    <w:rPr>
      <w:rFonts w:ascii="仿宋_GB2312" w:hAnsi="宋体" w:eastAsia="仿宋_GB2312"/>
      <w:b/>
      <w:sz w:val="30"/>
      <w:szCs w:val="32"/>
    </w:rPr>
  </w:style>
  <w:style w:type="paragraph" w:customStyle="1" w:styleId="35">
    <w:name w:val="正式文本"/>
    <w:basedOn w:val="1"/>
    <w:qFormat/>
    <w:uiPriority w:val="0"/>
    <w:pPr>
      <w:adjustRightInd w:val="0"/>
      <w:snapToGrid w:val="0"/>
      <w:spacing w:line="360" w:lineRule="auto"/>
      <w:ind w:firstLine="420" w:firstLineChars="200"/>
      <w:jc w:val="left"/>
    </w:pPr>
    <w:rPr>
      <w:rFonts w:ascii="Times New Roman" w:hAnsi="Times New Roman"/>
      <w:bCs/>
      <w:szCs w:val="21"/>
    </w:rPr>
  </w:style>
  <w:style w:type="paragraph" w:customStyle="1" w:styleId="36">
    <w:name w:val="表头。图尾"/>
    <w:basedOn w:val="1"/>
    <w:next w:val="1"/>
    <w:qFormat/>
    <w:uiPriority w:val="0"/>
    <w:pPr>
      <w:keepNext/>
      <w:jc w:val="center"/>
    </w:pPr>
    <w:rPr>
      <w:rFonts w:ascii="Times New Roman" w:hAnsi="Times New Roman"/>
      <w:b/>
      <w:spacing w:val="10"/>
      <w:kern w:val="21"/>
      <w:szCs w:val="21"/>
    </w:rPr>
  </w:style>
  <w:style w:type="paragraph" w:customStyle="1" w:styleId="37">
    <w:name w:val="表格内格式"/>
    <w:basedOn w:val="1"/>
    <w:qFormat/>
    <w:uiPriority w:val="0"/>
    <w:pPr>
      <w:adjustRightInd w:val="0"/>
      <w:snapToGrid w:val="0"/>
      <w:spacing w:before="60"/>
      <w:jc w:val="center"/>
    </w:pPr>
    <w:rPr>
      <w:rFonts w:ascii="Times New Roman" w:hAnsi="Times New Roman" w:cs="宋体"/>
      <w:snapToGrid w:val="0"/>
      <w:sz w:val="18"/>
      <w:szCs w:val="21"/>
    </w:rPr>
  </w:style>
  <w:style w:type="paragraph" w:customStyle="1" w:styleId="38">
    <w:name w:val="4-正文"/>
    <w:basedOn w:val="1"/>
    <w:qFormat/>
    <w:uiPriority w:val="0"/>
    <w:pPr>
      <w:adjustRightInd w:val="0"/>
      <w:snapToGrid w:val="0"/>
      <w:spacing w:line="360" w:lineRule="auto"/>
      <w:ind w:firstLine="200" w:firstLineChars="200"/>
    </w:pPr>
    <w:rPr>
      <w:rFonts w:ascii="仿宋_GB2312" w:hAnsi="宋体" w:eastAsia="仿宋_GB2312"/>
      <w:sz w:val="30"/>
      <w:szCs w:val="32"/>
    </w:rPr>
  </w:style>
  <w:style w:type="paragraph" w:customStyle="1" w:styleId="39">
    <w:name w:val="说明书正文"/>
    <w:basedOn w:val="1"/>
    <w:qFormat/>
    <w:uiPriority w:val="0"/>
    <w:pPr>
      <w:spacing w:line="480" w:lineRule="exact"/>
      <w:ind w:firstLine="600" w:firstLineChars="200"/>
    </w:pPr>
    <w:rPr>
      <w:rFonts w:ascii="Times New Roman" w:hAnsi="Times New Roman" w:eastAsia="仿宋_GB2312"/>
      <w:color w:val="000000"/>
      <w:sz w:val="30"/>
    </w:rPr>
  </w:style>
  <w:style w:type="paragraph" w:customStyle="1" w:styleId="40">
    <w:name w:val="正文部分"/>
    <w:basedOn w:val="1"/>
    <w:qFormat/>
    <w:uiPriority w:val="0"/>
    <w:pPr>
      <w:topLinePunct/>
      <w:adjustRightInd w:val="0"/>
      <w:snapToGrid w:val="0"/>
      <w:spacing w:line="360" w:lineRule="auto"/>
      <w:ind w:firstLine="480" w:firstLineChars="200"/>
    </w:pPr>
    <w:rPr>
      <w:kern w:val="0"/>
      <w:sz w:val="24"/>
      <w:shd w:val="clear" w:color="auto" w:fill="FFFFFF"/>
      <w:lang w:val="zh-CN"/>
    </w:rPr>
  </w:style>
  <w:style w:type="paragraph" w:customStyle="1" w:styleId="41">
    <w:name w:val="样式 小四 行距: 1.5 倍行距"/>
    <w:basedOn w:val="1"/>
    <w:qFormat/>
    <w:uiPriority w:val="0"/>
    <w:pPr>
      <w:ind w:firstLine="480" w:firstLineChars="200"/>
    </w:pPr>
    <w:rPr>
      <w:rFonts w:ascii="Times New Roman" w:hAnsi="Times New Roman" w:cs="宋体"/>
    </w:rPr>
  </w:style>
  <w:style w:type="paragraph" w:customStyle="1" w:styleId="42">
    <w:name w:val="表格内正文"/>
    <w:basedOn w:val="1"/>
    <w:qFormat/>
    <w:uiPriority w:val="0"/>
    <w:pPr>
      <w:spacing w:line="360" w:lineRule="auto"/>
      <w:ind w:firstLine="720" w:firstLineChars="200"/>
      <w:jc w:val="left"/>
    </w:pPr>
    <w:rPr>
      <w:rFonts w:ascii="Times New Roman" w:hAnsi="Times New Roman"/>
    </w:rPr>
  </w:style>
  <w:style w:type="paragraph" w:customStyle="1" w:styleId="43">
    <w:name w:val="表格内容"/>
    <w:basedOn w:val="14"/>
    <w:next w:val="1"/>
    <w:qFormat/>
    <w:uiPriority w:val="0"/>
    <w:pPr>
      <w:tabs>
        <w:tab w:val="left" w:pos="0"/>
      </w:tabs>
      <w:jc w:val="center"/>
    </w:pPr>
    <w:rPr>
      <w:rFonts w:ascii="Times New Roman" w:hAnsi="Times New Roman"/>
      <w:szCs w:val="21"/>
    </w:rPr>
  </w:style>
  <w:style w:type="character" w:customStyle="1" w:styleId="44">
    <w:name w:val="宋体"/>
    <w:basedOn w:val="25"/>
    <w:qFormat/>
    <w:uiPriority w:val="0"/>
    <w:rPr>
      <w:rFonts w:hint="eastAsia" w:ascii="仿宋" w:hAnsi="仿宋" w:eastAsia="宋体"/>
      <w:color w:val="000000"/>
      <w:sz w:val="24"/>
      <w:szCs w:val="24"/>
    </w:rPr>
  </w:style>
  <w:style w:type="paragraph" w:customStyle="1" w:styleId="45">
    <w:name w:val="样式41"/>
    <w:basedOn w:val="1"/>
    <w:qFormat/>
    <w:uiPriority w:val="0"/>
    <w:pPr>
      <w:spacing w:beforeLines="50" w:afterLines="50" w:line="400" w:lineRule="exact"/>
      <w:jc w:val="center"/>
    </w:pPr>
    <w:rPr>
      <w:rFonts w:ascii="黑体" w:eastAsia="黑体"/>
      <w:kern w:val="0"/>
      <w:sz w:val="24"/>
    </w:rPr>
  </w:style>
  <w:style w:type="paragraph" w:customStyle="1" w:styleId="46">
    <w:name w:val="eia正文"/>
    <w:basedOn w:val="1"/>
    <w:next w:val="1"/>
    <w:unhideWhenUsed/>
    <w:qFormat/>
    <w:uiPriority w:val="99"/>
    <w:pPr>
      <w:spacing w:line="360" w:lineRule="auto"/>
      <w:ind w:firstLine="200" w:firstLineChars="200"/>
      <w:jc w:val="left"/>
    </w:pPr>
    <w:rPr>
      <w:color w:val="000000"/>
      <w:kern w:val="0"/>
      <w:sz w:val="22"/>
      <w:szCs w:val="20"/>
      <w:lang w:val="sq-AL" w:eastAsia="en-US"/>
    </w:rPr>
  </w:style>
  <w:style w:type="paragraph" w:customStyle="1" w:styleId="47">
    <w:name w:val="eia标题表头"/>
    <w:basedOn w:val="7"/>
    <w:unhideWhenUsed/>
    <w:qFormat/>
    <w:uiPriority w:val="99"/>
    <w:pPr>
      <w:tabs>
        <w:tab w:val="left" w:pos="1080"/>
      </w:tabs>
      <w:spacing w:line="360" w:lineRule="auto"/>
      <w:jc w:val="center"/>
    </w:pPr>
    <w:rPr>
      <w:rFonts w:hint="eastAsia" w:ascii="Arial" w:hAnsi="Arial"/>
      <w:sz w:val="24"/>
      <w:lang w:eastAsia="en-US"/>
    </w:rPr>
  </w:style>
  <w:style w:type="character" w:customStyle="1" w:styleId="48">
    <w:name w:val="font21"/>
    <w:basedOn w:val="25"/>
    <w:qFormat/>
    <w:uiPriority w:val="0"/>
    <w:rPr>
      <w:rFonts w:hint="eastAsia" w:ascii="宋体" w:hAnsi="宋体" w:eastAsia="宋体" w:cs="宋体"/>
      <w:color w:val="000000"/>
      <w:sz w:val="21"/>
      <w:szCs w:val="21"/>
      <w:u w:val="none"/>
    </w:rPr>
  </w:style>
  <w:style w:type="character" w:customStyle="1" w:styleId="49">
    <w:name w:val="font31"/>
    <w:basedOn w:val="25"/>
    <w:qFormat/>
    <w:uiPriority w:val="0"/>
    <w:rPr>
      <w:rFonts w:hint="default" w:ascii="Times New Roman" w:hAnsi="Times New Roman" w:cs="Times New Roman"/>
      <w:color w:val="000000"/>
      <w:sz w:val="21"/>
      <w:szCs w:val="21"/>
      <w:u w:val="none"/>
    </w:rPr>
  </w:style>
  <w:style w:type="paragraph" w:customStyle="1" w:styleId="50">
    <w:name w:val="表格文字"/>
    <w:basedOn w:val="51"/>
    <w:next w:val="1"/>
    <w:qFormat/>
    <w:uiPriority w:val="0"/>
    <w:pPr>
      <w:snapToGrid w:val="0"/>
      <w:spacing w:before="60" w:after="160" w:line="259" w:lineRule="auto"/>
      <w:ind w:right="113"/>
    </w:pPr>
    <w:rPr>
      <w:rFonts w:ascii="仿宋_GB2312" w:hAnsi="Arial Black" w:eastAsia="仿宋_GB2312" w:cs="Times New Roman"/>
      <w:kern w:val="44"/>
      <w:sz w:val="24"/>
    </w:rPr>
  </w:style>
  <w:style w:type="paragraph" w:customStyle="1" w:styleId="51">
    <w:name w:val="图标"/>
    <w:basedOn w:val="1"/>
    <w:qFormat/>
    <w:uiPriority w:val="0"/>
    <w:pPr>
      <w:widowControl/>
      <w:jc w:val="center"/>
    </w:pPr>
    <w:rPr>
      <w:rFonts w:eastAsia="仿宋" w:cs="宋体"/>
      <w:color w:val="000000"/>
      <w:kern w:val="0"/>
      <w:sz w:val="20"/>
      <w:szCs w:val="20"/>
    </w:rPr>
  </w:style>
  <w:style w:type="character" w:customStyle="1" w:styleId="52">
    <w:name w:val="font11"/>
    <w:basedOn w:val="25"/>
    <w:qFormat/>
    <w:uiPriority w:val="0"/>
    <w:rPr>
      <w:rFonts w:hint="default" w:ascii="Times New Roman" w:hAnsi="Times New Roman" w:cs="Times New Roman"/>
      <w:color w:val="000000"/>
      <w:sz w:val="21"/>
      <w:szCs w:val="21"/>
      <w:u w:val="none"/>
    </w:rPr>
  </w:style>
  <w:style w:type="character" w:customStyle="1" w:styleId="53">
    <w:name w:val="font51"/>
    <w:basedOn w:val="25"/>
    <w:qFormat/>
    <w:uiPriority w:val="0"/>
    <w:rPr>
      <w:rFonts w:hint="default" w:ascii="Times New Roman" w:hAnsi="Times New Roman" w:cs="Times New Roman"/>
      <w:color w:val="000000"/>
      <w:sz w:val="21"/>
      <w:szCs w:val="21"/>
      <w:u w:val="none"/>
    </w:rPr>
  </w:style>
  <w:style w:type="character" w:customStyle="1" w:styleId="54">
    <w:name w:val="font41"/>
    <w:basedOn w:val="25"/>
    <w:qFormat/>
    <w:uiPriority w:val="0"/>
    <w:rPr>
      <w:rFonts w:hint="eastAsia" w:ascii="宋体" w:hAnsi="宋体" w:eastAsia="宋体" w:cs="宋体"/>
      <w:color w:val="000000"/>
      <w:sz w:val="21"/>
      <w:szCs w:val="21"/>
      <w:u w:val="none"/>
    </w:rPr>
  </w:style>
  <w:style w:type="paragraph" w:customStyle="1" w:styleId="55">
    <w:name w:val="！正文"/>
    <w:basedOn w:val="1"/>
    <w:qFormat/>
    <w:uiPriority w:val="0"/>
    <w:pPr>
      <w:spacing w:line="360" w:lineRule="auto"/>
      <w:ind w:firstLine="480" w:firstLineChars="200"/>
    </w:pPr>
    <w:rPr>
      <w:rFonts w:ascii="Times New Roman" w:hAnsi="Times New Roman"/>
      <w:color w:val="FF0000"/>
      <w:sz w:val="24"/>
    </w:rPr>
  </w:style>
  <w:style w:type="paragraph" w:customStyle="1" w:styleId="56">
    <w:name w:val="Table Text"/>
    <w:basedOn w:val="1"/>
    <w:semiHidden/>
    <w:qFormat/>
    <w:uiPriority w:val="0"/>
    <w:rPr>
      <w:rFonts w:ascii="仿宋" w:hAnsi="仿宋" w:eastAsia="仿宋" w:cs="仿宋"/>
      <w:sz w:val="24"/>
      <w:lang w:eastAsia="en-US"/>
    </w:rPr>
  </w:style>
  <w:style w:type="table" w:customStyle="1" w:styleId="57">
    <w:name w:val="Table Normal"/>
    <w:semiHidden/>
    <w:unhideWhenUsed/>
    <w:qFormat/>
    <w:uiPriority w:val="0"/>
    <w:tblPr>
      <w:tblCellMar>
        <w:top w:w="0" w:type="dxa"/>
        <w:left w:w="0" w:type="dxa"/>
        <w:bottom w:w="0" w:type="dxa"/>
        <w:right w:w="0" w:type="dxa"/>
      </w:tblCellMar>
    </w:tblPr>
  </w:style>
  <w:style w:type="character" w:customStyle="1" w:styleId="58">
    <w:name w:val="页眉 Char"/>
    <w:basedOn w:val="25"/>
    <w:link w:val="17"/>
    <w:qFormat/>
    <w:uiPriority w:val="0"/>
    <w:rPr>
      <w:rFonts w:ascii="Calibri" w:hAnsi="Calibri"/>
      <w:kern w:val="2"/>
      <w:sz w:val="18"/>
      <w:szCs w:val="18"/>
    </w:rPr>
  </w:style>
  <w:style w:type="character" w:customStyle="1" w:styleId="59">
    <w:name w:val="批注框文本 Char"/>
    <w:basedOn w:val="25"/>
    <w:link w:val="15"/>
    <w:qFormat/>
    <w:uiPriority w:val="0"/>
    <w:rPr>
      <w:rFonts w:ascii="Calibri" w:hAnsi="Calibri"/>
      <w:kern w:val="2"/>
      <w:sz w:val="18"/>
      <w:szCs w:val="18"/>
    </w:rPr>
  </w:style>
  <w:style w:type="character" w:customStyle="1" w:styleId="60">
    <w:name w:val="批注文字 Char"/>
    <w:basedOn w:val="25"/>
    <w:link w:val="8"/>
    <w:qFormat/>
    <w:uiPriority w:val="99"/>
    <w:rPr>
      <w:sz w:val="24"/>
    </w:rPr>
  </w:style>
  <w:style w:type="character" w:customStyle="1" w:styleId="61">
    <w:name w:val="批注主题 Char"/>
    <w:basedOn w:val="60"/>
    <w:link w:val="22"/>
    <w:qFormat/>
    <w:uiPriority w:val="0"/>
  </w:style>
  <w:style w:type="paragraph" w:customStyle="1" w:styleId="62">
    <w:name w:val="表"/>
    <w:basedOn w:val="1"/>
    <w:qFormat/>
    <w:uiPriority w:val="0"/>
    <w:pPr>
      <w:spacing w:line="240" w:lineRule="atLeast"/>
    </w:pPr>
    <w:rPr>
      <w:szCs w:val="21"/>
    </w:rPr>
  </w:style>
  <w:style w:type="paragraph" w:customStyle="1" w:styleId="63">
    <w:name w:val="Table Paragraph"/>
    <w:basedOn w:val="1"/>
    <w:qFormat/>
    <w:uiPriority w:val="0"/>
    <w:pPr>
      <w:autoSpaceDE w:val="0"/>
      <w:autoSpaceDN w:val="0"/>
      <w:spacing w:before="33"/>
      <w:jc w:val="center"/>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"/>
    </extobj>
    <extobj name="F360BE8B-6686-4F3D-AEAF-501FE73E4058-2">
      <extobjdata type="F360BE8B-6686-4F3D-AEAF-501FE73E4058" data="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"/>
    </extobj>
    <extobj name="F360BE8B-6686-4F3D-AEAF-501FE73E4058-3">
      <extobjdata type="F360BE8B-6686-4F3D-AEAF-501FE73E4058" data="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"/>
    </extobj>
    <extobj name="F360BE8B-6686-4F3D-AEAF-501FE73E4058-4">
      <extobjdata type="F360BE8B-6686-4F3D-AEAF-501FE73E4058" data="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19290</Words>
  <Characters>20462</Characters>
  <Lines>460</Lines>
  <Paragraphs>129</Paragraphs>
  <TotalTime>4</TotalTime>
  <ScaleCrop>false</ScaleCrop>
  <LinksUpToDate>false</LinksUpToDate>
  <CharactersWithSpaces>20609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2025-07-22T00:54:00Z</dcterms:created>
  <dc:creator>。。。</dc:creator>
  <cp:lastModifiedBy>一见你就笑</cp:lastModifiedBy>
  <dcterms:modified xsi:type="dcterms:W3CDTF">2025-12-18T10:30:41Z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3B8D10B0D2A848038177A4607A146B37_13</vt:lpwstr>
  </property>
  <property fmtid="{D5CDD505-2E9C-101B-9397-08002B2CF9AE}" pid="4" name="KSOTemplateDocerSaveRecord">
    <vt:lpwstr>eyJoZGlkIjoiYmQ5ZTcxMmI3MTI3MmYxZDY5NTRhYWJlY2MzZjg1NjYiLCJ1c2VySWQiOiI0MzMyNjQyOTUifQ==</vt:lpwstr>
  </property>
</Properties>
</file>